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B56012"/>
          <w:sz w:val="19"/>
        </w:rPr>
        <w:t>AIRTRIBE  ·  B2B PRODUCT STRATEGY  ·  VERSION 2</w:t>
      </w:r>
    </w:p>
    <w:p>
      <w:pPr>
        <w:spacing w:after="200" w:before="40"/>
      </w:pPr>
      <w:r>
        <w:rPr>
          <w:rFonts w:ascii="Arial" w:hAnsi="Arial"/>
          <w:b/>
          <w:color w:val="1A1A1A"/>
          <w:sz w:val="54"/>
        </w:rPr>
        <w:t>Earn the platform. Don't announce it.</w:t>
      </w:r>
    </w:p>
    <w:p>
      <w:pPr>
        <w:spacing w:before="80" w:after="200"/>
        <w:pBdr>
          <w:bottom w:val="single" w:sz="18" w:space="1" w:color="B56012"/>
        </w:pBdr>
      </w:pPr>
    </w:p>
    <w:p>
      <w:pPr>
        <w:spacing w:after="280" w:line="283" w:lineRule="auto"/>
      </w:pPr>
      <w:r>
        <w:rPr>
          <w:rFonts w:ascii="Arial" w:hAnsi="Arial"/>
          <w:b w:val="0"/>
          <w:i w:val="0"/>
          <w:color w:val="5B6470"/>
          <w:sz w:val="23"/>
        </w:rPr>
        <w:t>A 2–3 year product strategy for an AI-powered Customer Operations platform, re-derived from the brief's own starting fact: the original mid-market motion adopted slower than expected. This version diagnoses why, then lets that diagnosis drive segment, problem, moat and go-to-market — instead of treating them as separate hypotheses.</w:t>
      </w:r>
    </w:p>
    <w:tbl>
      <w:tblPr>
        <w:tblW w:type="auto" w:w="0"/>
        <w:jc w:val="center"/>
        <w:tblLook w:firstColumn="1" w:firstRow="1" w:lastColumn="0" w:lastRow="0" w:noHBand="0" w:noVBand="1" w:val="04A0"/>
      </w:tblPr>
      <w:tblGrid>
        <w:gridCol w:w="9412"/>
      </w:tblGrid>
      <w:t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RECOMMENDATION   </w:t>
            </w:r>
            <w:r>
              <w:rPr>
                <w:rFonts w:ascii="Arial" w:hAnsi="Arial"/>
                <w:b/>
                <w:color w:val="1A1A1A"/>
                <w:sz w:val="21"/>
              </w:rPr>
              <w:t>leadership is right that the destination is a comprehensive Customer Operations Platform — but naming it doesn't earn it. Start with the smallest possible product that needs the least possible trust: a read-only view that assembles a support agent's scattered context in one place, nothing written back anywhere, sold to a segment picked specifically to avoid the three traps that likely killed the first attempt.</w:t>
            </w:r>
          </w:p>
        </w:tc>
      </w:tr>
    </w:tbl>
    <w:p>
      <w:pPr>
        <w:spacing w:after="40"/>
      </w:pPr>
    </w:p>
    <w:p>
      <w:pPr>
        <w:spacing w:after="80" w:line="283" w:lineRule="auto"/>
      </w:pPr>
      <w:r>
        <w:rPr>
          <w:rFonts w:ascii="Arial" w:hAnsi="Arial"/>
          <w:b w:val="0"/>
          <w:i/>
          <w:color w:val="5B6470"/>
          <w:sz w:val="18"/>
        </w:rPr>
        <w:t>Submission date: 12 September 2026  ·  Evidence base: 91 public evidence records (56 sources), 4 anonymized interviews, 4 incumbent teardowns, plus one new bottom-up market analysis  ·  Research status: evidence-limited; interview saturation and buyer validation not achieved.</w:t>
      </w:r>
    </w:p>
    <w:p>
      <w:r>
        <w:br w:type="page"/>
      </w:r>
    </w:p>
    <w:p>
      <w:pPr>
        <w:spacing w:after="40"/>
      </w:pPr>
      <w:r>
        <w:rPr>
          <w:rFonts w:ascii="Arial" w:hAnsi="Arial"/>
          <w:b/>
          <w:color w:val="B56012"/>
          <w:sz w:val="19"/>
        </w:rPr>
        <w:t>01 · THE DIAGNOSIS</w:t>
      </w:r>
    </w:p>
    <w:p>
      <w:pPr>
        <w:spacing w:after="200" w:before="40"/>
      </w:pPr>
      <w:r>
        <w:rPr>
          <w:rFonts w:ascii="Arial" w:hAnsi="Arial"/>
          <w:b/>
          <w:color w:val="1A1A1A"/>
          <w:sz w:val="44"/>
        </w:rPr>
        <w:t>Why did the original motion stall?</w:t>
      </w:r>
    </w:p>
    <w:p>
      <w:pPr>
        <w:spacing w:after="160" w:line="283" w:lineRule="auto"/>
      </w:pPr>
      <w:r>
        <w:rPr>
          <w:rFonts w:ascii="Arial" w:hAnsi="Arial"/>
          <w:b w:val="0"/>
          <w:i w:val="0"/>
          <w:color w:val="1A1A1A"/>
          <w:sz w:val="21"/>
        </w:rPr>
        <w:t>The brief hands us a fact, not a footnote: mid-sized businesses (200–1,000 employees) were targeted first, and adoption was slower than expected. Before choosing a segment or a problem, that fact needs an explanation — otherwise the next choice risks repeating whatever mistake the first one made. Four failure modes, each traceable to evidence already on file.</w:t>
      </w:r>
    </w:p>
    <w:tbl>
      <w:tblPr>
        <w:tblW w:type="auto" w:w="0"/>
        <w:jc w:val="center"/>
        <w:tblLayout w:type="autofit"/>
        <w:tblLook w:firstColumn="1" w:firstRow="1" w:lastColumn="0" w:lastRow="0" w:noHBand="0" w:noVBand="1" w:val="04A0"/>
      </w:tblPr>
      <w:tblGrid>
        <w:gridCol w:w="3137"/>
        <w:gridCol w:w="3137"/>
        <w:gridCol w:w="3137"/>
      </w:tblGrid>
      <w:tr>
        <w:tc>
          <w:tcPr>
            <w:tcW w:type="dxa" w:w="2160"/>
            <w:shd w:val="clear" w:color="auto" w:fill="1A1A1A"/>
            <w:tcMar>
              <w:top w:w="100" w:type="dxa"/>
              <w:bottom w:w="100" w:type="dxa"/>
              <w:left w:w="150" w:type="dxa"/>
              <w:right w:w="150" w:type="dxa"/>
            </w:tcMar>
          </w:tcPr>
          <w:p>
            <w:r>
              <w:rPr>
                <w:rFonts w:ascii="Arial" w:hAnsi="Arial"/>
                <w:b/>
                <w:color w:val="FFFFFF"/>
                <w:sz w:val="18"/>
              </w:rPr>
              <w:t>FAILURE MODE</w:t>
            </w:r>
          </w:p>
        </w:tc>
        <w:tc>
          <w:tcPr>
            <w:tcW w:type="dxa" w:w="4608"/>
            <w:shd w:val="clear" w:color="auto" w:fill="1A1A1A"/>
            <w:tcMar>
              <w:top w:w="100" w:type="dxa"/>
              <w:bottom w:w="100" w:type="dxa"/>
              <w:left w:w="150" w:type="dxa"/>
              <w:right w:w="150" w:type="dxa"/>
            </w:tcMar>
          </w:tcPr>
          <w:p>
            <w:r>
              <w:rPr>
                <w:rFonts w:ascii="Arial" w:hAnsi="Arial"/>
                <w:b/>
                <w:color w:val="FFFFFF"/>
                <w:sz w:val="18"/>
              </w:rPr>
              <w:t>WHAT HAPPENED</w:t>
            </w:r>
          </w:p>
        </w:tc>
        <w:tc>
          <w:tcPr>
            <w:tcW w:type="dxa" w:w="3312"/>
            <w:shd w:val="clear" w:color="auto" w:fill="1A1A1A"/>
            <w:tcMar>
              <w:top w:w="100" w:type="dxa"/>
              <w:bottom w:w="100" w:type="dxa"/>
              <w:left w:w="150" w:type="dxa"/>
              <w:right w:w="150" w:type="dxa"/>
            </w:tcMar>
          </w:tcPr>
          <w:p>
            <w:r>
              <w:rPr>
                <w:rFonts w:ascii="Arial" w:hAnsi="Arial"/>
                <w:b/>
                <w:color w:val="FFFFFF"/>
                <w:sz w:val="18"/>
              </w:rPr>
              <w:t>EVIDENCE</w:t>
            </w:r>
          </w:p>
        </w:tc>
      </w:tr>
      <w:tr>
        <w:tc>
          <w:tcPr>
            <w:tcW w:type="dxa" w:w="2160"/>
            <w:shd w:val="clear" w:color="auto" w:fill="FFFFFF"/>
            <w:tcMar>
              <w:top w:w="100" w:type="dxa"/>
              <w:bottom w:w="100" w:type="dxa"/>
              <w:left w:w="150" w:type="dxa"/>
              <w:right w:w="150" w:type="dxa"/>
            </w:tcMar>
          </w:tcPr>
          <w:p>
            <w:pPr>
              <w:spacing w:line="264" w:lineRule="auto"/>
            </w:pPr>
            <w:r>
              <w:rPr>
                <w:rFonts w:ascii="Arial" w:hAnsi="Arial"/>
                <w:b/>
                <w:color w:val="1A1A1A"/>
                <w:sz w:val="19"/>
              </w:rPr>
              <w:t>1. Positioning trap</w:t>
            </w:r>
          </w:p>
        </w:tc>
        <w:tc>
          <w:tcPr>
            <w:tcW w:type="dxa" w:w="4608"/>
            <w:shd w:val="clear" w:color="auto" w:fill="FFFFFF"/>
            <w:tcMar>
              <w:top w:w="100" w:type="dxa"/>
              <w:bottom w:w="100" w:type="dxa"/>
              <w:left w:w="150" w:type="dxa"/>
              <w:right w:w="150" w:type="dxa"/>
            </w:tcMar>
          </w:tcPr>
          <w:p>
            <w:pPr>
              <w:spacing w:line="264" w:lineRule="auto"/>
            </w:pPr>
            <w:r>
              <w:rPr>
                <w:rFonts w:ascii="Arial" w:hAnsi="Arial"/>
                <w:b w:val="0"/>
                <w:color w:val="5B6470"/>
                <w:sz w:val="19"/>
              </w:rPr>
              <w:t>Sold as “another AI chatbot.” Every incumbent already claims AI agents, integrations, human handoff and governance — a fifth chatbot has no reason to win.</w:t>
            </w:r>
          </w:p>
        </w:tc>
        <w:tc>
          <w:tcPr>
            <w:tcW w:type="dxa" w:w="3312"/>
            <w:shd w:val="clear" w:color="auto" w:fill="FFFFFF"/>
            <w:tcMar>
              <w:top w:w="100" w:type="dxa"/>
              <w:bottom w:w="100" w:type="dxa"/>
              <w:left w:w="150" w:type="dxa"/>
              <w:right w:w="150" w:type="dxa"/>
            </w:tcMar>
          </w:tcPr>
          <w:p>
            <w:pPr>
              <w:spacing w:line="264" w:lineRule="auto"/>
            </w:pPr>
            <w:r>
              <w:rPr>
                <w:rFonts w:ascii="Arial" w:hAnsi="Arial"/>
                <w:b w:val="0"/>
                <w:color w:val="5B6470"/>
                <w:sz w:val="19"/>
              </w:rPr>
              <w:t>Secondary research capability table (Intercom/Zendesk/Freshdesk/Salesforce)</w:t>
            </w:r>
          </w:p>
        </w:tc>
      </w:tr>
      <w:tr>
        <w:tc>
          <w:tcPr>
            <w:tcW w:type="dxa" w:w="2160"/>
            <w:shd w:val="clear" w:color="auto" w:fill="F2F1EF"/>
            <w:tcMar>
              <w:top w:w="100" w:type="dxa"/>
              <w:bottom w:w="100" w:type="dxa"/>
              <w:left w:w="150" w:type="dxa"/>
              <w:right w:w="150" w:type="dxa"/>
            </w:tcMar>
          </w:tcPr>
          <w:p>
            <w:pPr>
              <w:spacing w:line="264" w:lineRule="auto"/>
            </w:pPr>
            <w:r>
              <w:rPr>
                <w:rFonts w:ascii="Arial" w:hAnsi="Arial"/>
                <w:b/>
                <w:color w:val="1A1A1A"/>
                <w:sz w:val="19"/>
              </w:rPr>
              <w:t>2. Access-and-trust veto</w:t>
            </w:r>
          </w:p>
        </w:tc>
        <w:tc>
          <w:tcPr>
            <w:tcW w:type="dxa" w:w="4608"/>
            <w:shd w:val="clear" w:color="auto" w:fill="F2F1EF"/>
            <w:tcMar>
              <w:top w:w="100" w:type="dxa"/>
              <w:bottom w:w="100" w:type="dxa"/>
              <w:left w:w="150" w:type="dxa"/>
              <w:right w:w="150" w:type="dxa"/>
            </w:tcMar>
          </w:tcPr>
          <w:p>
            <w:pPr>
              <w:spacing w:line="264" w:lineRule="auto"/>
            </w:pPr>
            <w:r>
              <w:rPr>
                <w:rFonts w:ascii="Arial" w:hAnsi="Arial"/>
                <w:b w:val="0"/>
                <w:color w:val="5B6470"/>
                <w:sz w:val="19"/>
              </w:rPr>
              <w:t>IT/security can kill a deal before the product is ever evaluated.</w:t>
            </w:r>
          </w:p>
        </w:tc>
        <w:tc>
          <w:tcPr>
            <w:tcW w:type="dxa" w:w="3312"/>
            <w:shd w:val="clear" w:color="auto" w:fill="F2F1EF"/>
            <w:tcMar>
              <w:top w:w="100" w:type="dxa"/>
              <w:bottom w:w="100" w:type="dxa"/>
              <w:left w:w="150" w:type="dxa"/>
              <w:right w:w="150" w:type="dxa"/>
            </w:tcMar>
          </w:tcPr>
          <w:p>
            <w:pPr>
              <w:spacing w:line="264" w:lineRule="auto"/>
            </w:pPr>
            <w:r>
              <w:rPr>
                <w:rFonts w:ascii="Arial" w:hAnsi="Arial"/>
                <w:b w:val="0"/>
                <w:color w:val="5B6470"/>
                <w:sz w:val="19"/>
              </w:rPr>
              <w:t>P03 — pilot approved only after restricting to 2 queues, write-back disabled</w:t>
            </w:r>
          </w:p>
        </w:tc>
      </w:tr>
      <w:tr>
        <w:tc>
          <w:tcPr>
            <w:tcW w:type="dxa" w:w="2160"/>
            <w:shd w:val="clear" w:color="auto" w:fill="FFFFFF"/>
            <w:tcMar>
              <w:top w:w="100" w:type="dxa"/>
              <w:bottom w:w="100" w:type="dxa"/>
              <w:left w:w="150" w:type="dxa"/>
              <w:right w:w="150" w:type="dxa"/>
            </w:tcMar>
          </w:tcPr>
          <w:p>
            <w:pPr>
              <w:spacing w:line="264" w:lineRule="auto"/>
            </w:pPr>
            <w:r>
              <w:rPr>
                <w:rFonts w:ascii="Arial" w:hAnsi="Arial"/>
                <w:b/>
                <w:color w:val="1A1A1A"/>
                <w:sz w:val="19"/>
              </w:rPr>
              <w:t>3. Bundled-AI trap</w:t>
            </w:r>
          </w:p>
        </w:tc>
        <w:tc>
          <w:tcPr>
            <w:tcW w:type="dxa" w:w="4608"/>
            <w:shd w:val="clear" w:color="auto" w:fill="FFFFFF"/>
            <w:tcMar>
              <w:top w:w="100" w:type="dxa"/>
              <w:bottom w:w="100" w:type="dxa"/>
              <w:left w:w="150" w:type="dxa"/>
              <w:right w:w="150" w:type="dxa"/>
            </w:tcMar>
          </w:tcPr>
          <w:p>
            <w:pPr>
              <w:spacing w:line="264" w:lineRule="auto"/>
            </w:pPr>
            <w:r>
              <w:rPr>
                <w:rFonts w:ascii="Arial" w:hAnsi="Arial"/>
                <w:b w:val="0"/>
                <w:color w:val="5B6470"/>
                <w:sz w:val="19"/>
              </w:rPr>
              <w:t>Mid-market buyers compare a new vendor to the AI they already pay for, not to doing nothing.</w:t>
            </w:r>
          </w:p>
        </w:tc>
        <w:tc>
          <w:tcPr>
            <w:tcW w:type="dxa" w:w="3312"/>
            <w:shd w:val="clear" w:color="auto" w:fill="FFFFFF"/>
            <w:tcMar>
              <w:top w:w="100" w:type="dxa"/>
              <w:bottom w:w="100" w:type="dxa"/>
              <w:left w:w="150" w:type="dxa"/>
              <w:right w:w="150" w:type="dxa"/>
            </w:tcMar>
          </w:tcPr>
          <w:p>
            <w:pPr>
              <w:spacing w:line="264" w:lineRule="auto"/>
            </w:pPr>
            <w:r>
              <w:rPr>
                <w:rFonts w:ascii="Arial" w:hAnsi="Arial"/>
                <w:b w:val="0"/>
                <w:color w:val="5B6470"/>
                <w:sz w:val="19"/>
              </w:rPr>
              <w:t>Freshworks mid-market survey (S09): 36% stuck in pilots; 86% say AI adds workload</w:t>
            </w:r>
          </w:p>
        </w:tc>
      </w:tr>
      <w:tr>
        <w:tc>
          <w:tcPr>
            <w:tcW w:type="dxa" w:w="2160"/>
            <w:shd w:val="clear" w:color="auto" w:fill="F2F1EF"/>
            <w:tcMar>
              <w:top w:w="100" w:type="dxa"/>
              <w:bottom w:w="100" w:type="dxa"/>
              <w:left w:w="150" w:type="dxa"/>
              <w:right w:w="150" w:type="dxa"/>
            </w:tcMar>
          </w:tcPr>
          <w:p>
            <w:pPr>
              <w:spacing w:line="264" w:lineRule="auto"/>
            </w:pPr>
            <w:r>
              <w:rPr>
                <w:rFonts w:ascii="Arial" w:hAnsi="Arial"/>
                <w:b/>
                <w:color w:val="1A1A1A"/>
                <w:sz w:val="19"/>
              </w:rPr>
              <w:t>4. Workflow mismatch</w:t>
            </w:r>
          </w:p>
        </w:tc>
        <w:tc>
          <w:tcPr>
            <w:tcW w:type="dxa" w:w="4608"/>
            <w:shd w:val="clear" w:color="auto" w:fill="F2F1EF"/>
            <w:tcMar>
              <w:top w:w="100" w:type="dxa"/>
              <w:bottom w:w="100" w:type="dxa"/>
              <w:left w:w="150" w:type="dxa"/>
              <w:right w:w="150" w:type="dxa"/>
            </w:tcMar>
          </w:tcPr>
          <w:p>
            <w:pPr>
              <w:spacing w:line="264" w:lineRule="auto"/>
            </w:pPr>
            <w:r>
              <w:rPr>
                <w:rFonts w:ascii="Arial" w:hAnsi="Arial"/>
                <w:b w:val="0"/>
                <w:color w:val="5B6470"/>
                <w:sz w:val="19"/>
              </w:rPr>
              <w:t>The product sold (chat deflection) isn't where the pain is (back-office context work).</w:t>
            </w:r>
          </w:p>
        </w:tc>
        <w:tc>
          <w:tcPr>
            <w:tcW w:type="dxa" w:w="3312"/>
            <w:shd w:val="clear" w:color="auto" w:fill="F2F1EF"/>
            <w:tcMar>
              <w:top w:w="100" w:type="dxa"/>
              <w:bottom w:w="100" w:type="dxa"/>
              <w:left w:w="150" w:type="dxa"/>
              <w:right w:w="150" w:type="dxa"/>
            </w:tcMar>
          </w:tcPr>
          <w:p>
            <w:pPr>
              <w:spacing w:line="264" w:lineRule="auto"/>
            </w:pPr>
            <w:r>
              <w:rPr>
                <w:rFonts w:ascii="Arial" w:hAnsi="Arial"/>
                <w:b w:val="0"/>
                <w:color w:val="5B6470"/>
                <w:sz w:val="19"/>
              </w:rPr>
              <w:t>P01, P02, P04 all describe manual cross-system context reassembly, not failed FAQ answers</w:t>
            </w:r>
          </w:p>
        </w:tc>
      </w:tr>
    </w:tbl>
    <w:p>
      <w:pPr>
        <w:spacing w:after="40"/>
      </w:pPr>
    </w:p>
    <w:p>
      <w:pPr>
        <w:spacing w:after="160" w:line="283" w:lineRule="auto"/>
      </w:pPr>
      <w:r>
        <w:rPr>
          <w:rFonts w:ascii="Arial" w:hAnsi="Arial"/>
          <w:b w:val="0"/>
          <w:i/>
          <w:color w:val="5B6470"/>
          <w:sz w:val="21"/>
        </w:rPr>
        <w:t>None of these four is a new discovery on its own — pieces of all four already exist in the prior research. What's new is treating them as one connected diagnosis that drives every later choice, instead of four separate observations sitting in different sections.</w:t>
      </w:r>
    </w:p>
    <w:p>
      <w:r>
        <w:br w:type="page"/>
      </w:r>
    </w:p>
    <w:p>
      <w:pPr>
        <w:spacing w:after="40"/>
      </w:pPr>
      <w:r>
        <w:rPr>
          <w:rFonts w:ascii="Arial" w:hAnsi="Arial"/>
          <w:b/>
          <w:color w:val="B56012"/>
          <w:sz w:val="19"/>
        </w:rPr>
        <w:t>02 · STEP 1 — CUSTOMER SEGMENT</w:t>
      </w:r>
    </w:p>
    <w:p>
      <w:pPr>
        <w:spacing w:after="200" w:before="40"/>
      </w:pPr>
      <w:r>
        <w:rPr>
          <w:rFonts w:ascii="Arial" w:hAnsi="Arial"/>
          <w:b/>
          <w:color w:val="1A1A1A"/>
          <w:sz w:val="44"/>
        </w:rPr>
        <w:t>Keep the size band. Narrow hard on who.</w:t>
      </w:r>
    </w:p>
    <w:p>
      <w:pPr>
        <w:spacing w:after="160" w:line="283" w:lineRule="auto"/>
      </w:pPr>
      <w:r>
        <w:rPr>
          <w:rFonts w:ascii="Arial" w:hAnsi="Arial"/>
          <w:b w:val="0"/>
          <w:i w:val="0"/>
          <w:color w:val="1A1A1A"/>
          <w:sz w:val="21"/>
        </w:rPr>
        <w:t>Stress-testing the alternatives against the diagnosis — not just against “who has the most pain”:</w:t>
      </w:r>
    </w:p>
    <w:tbl>
      <w:tblPr>
        <w:tblW w:type="auto" w:w="0"/>
        <w:jc w:val="center"/>
        <w:tblLayout w:type="autofit"/>
        <w:tblLook w:firstColumn="1" w:firstRow="1" w:lastColumn="0" w:lastRow="0" w:noHBand="0" w:noVBand="1" w:val="04A0"/>
      </w:tblPr>
      <w:tblGrid>
        <w:gridCol w:w="3137"/>
        <w:gridCol w:w="3137"/>
        <w:gridCol w:w="3137"/>
      </w:tblGrid>
      <w:tr>
        <w:tc>
          <w:tcPr>
            <w:tcW w:type="dxa" w:w="2016"/>
            <w:shd w:val="clear" w:color="auto" w:fill="1A1A1A"/>
            <w:tcMar>
              <w:top w:w="100" w:type="dxa"/>
              <w:bottom w:w="100" w:type="dxa"/>
              <w:left w:w="150" w:type="dxa"/>
              <w:right w:w="150" w:type="dxa"/>
            </w:tcMar>
          </w:tcPr>
          <w:p>
            <w:r>
              <w:rPr>
                <w:rFonts w:ascii="Arial" w:hAnsi="Arial"/>
                <w:b/>
                <w:color w:val="FFFFFF"/>
                <w:sz w:val="18"/>
              </w:rPr>
              <w:t>SEGMENT</w:t>
            </w:r>
          </w:p>
        </w:tc>
        <w:tc>
          <w:tcPr>
            <w:tcW w:type="dxa" w:w="4320"/>
            <w:shd w:val="clear" w:color="auto" w:fill="1A1A1A"/>
            <w:tcMar>
              <w:top w:w="100" w:type="dxa"/>
              <w:bottom w:w="100" w:type="dxa"/>
              <w:left w:w="150" w:type="dxa"/>
              <w:right w:w="150" w:type="dxa"/>
            </w:tcMar>
          </w:tcPr>
          <w:p>
            <w:r>
              <w:rPr>
                <w:rFonts w:ascii="Arial" w:hAnsi="Arial"/>
                <w:b/>
                <w:color w:val="FFFFFF"/>
                <w:sz w:val="18"/>
              </w:rPr>
              <w:t>PAIN EVIDENCE</w:t>
            </w:r>
          </w:p>
        </w:tc>
        <w:tc>
          <w:tcPr>
            <w:tcW w:type="dxa" w:w="3744"/>
            <w:shd w:val="clear" w:color="auto" w:fill="1A1A1A"/>
            <w:tcMar>
              <w:top w:w="100" w:type="dxa"/>
              <w:bottom w:w="100" w:type="dxa"/>
              <w:left w:w="150" w:type="dxa"/>
              <w:right w:w="150" w:type="dxa"/>
            </w:tcMar>
          </w:tcPr>
          <w:p>
            <w:r>
              <w:rPr>
                <w:rFonts w:ascii="Arial" w:hAnsi="Arial"/>
                <w:b/>
                <w:color w:val="FFFFFF"/>
                <w:sz w:val="18"/>
              </w:rPr>
              <w:t>WHY NOT</w:t>
            </w:r>
          </w:p>
        </w:tc>
      </w:tr>
      <w:tr>
        <w:tc>
          <w:tcPr>
            <w:tcW w:type="dxa" w:w="2016"/>
            <w:shd w:val="clear" w:color="auto" w:fill="FFFFFF"/>
            <w:tcMar>
              <w:top w:w="100" w:type="dxa"/>
              <w:bottom w:w="100" w:type="dxa"/>
              <w:left w:w="150" w:type="dxa"/>
              <w:right w:w="150" w:type="dxa"/>
            </w:tcMar>
          </w:tcPr>
          <w:p>
            <w:pPr>
              <w:spacing w:line="264" w:lineRule="auto"/>
            </w:pPr>
            <w:r>
              <w:rPr>
                <w:rFonts w:ascii="Arial" w:hAnsi="Arial"/>
                <w:b/>
                <w:color w:val="1A1A1A"/>
                <w:sz w:val="19"/>
              </w:rPr>
              <w:t>Enterprise</w:t>
            </w:r>
          </w:p>
        </w:tc>
        <w:tc>
          <w:tcPr>
            <w:tcW w:type="dxa" w:w="4320"/>
            <w:shd w:val="clear" w:color="auto" w:fill="FFFFFF"/>
            <w:tcMar>
              <w:top w:w="100" w:type="dxa"/>
              <w:bottom w:w="100" w:type="dxa"/>
              <w:left w:w="150" w:type="dxa"/>
              <w:right w:w="150" w:type="dxa"/>
            </w:tcMar>
          </w:tcPr>
          <w:p>
            <w:pPr>
              <w:spacing w:line="264" w:lineRule="auto"/>
            </w:pPr>
            <w:r>
              <w:rPr>
                <w:rFonts w:ascii="Arial" w:hAnsi="Arial"/>
                <w:b w:val="0"/>
                <w:color w:val="5B6470"/>
                <w:sz w:val="19"/>
              </w:rPr>
              <w:t>Most acute, best-quantified (P01: ~100–150 min/day; P02: 4–6 hr waits)</w:t>
            </w:r>
          </w:p>
        </w:tc>
        <w:tc>
          <w:tcPr>
            <w:tcW w:type="dxa" w:w="3744"/>
            <w:shd w:val="clear" w:color="auto" w:fill="FFFFFF"/>
            <w:tcMar>
              <w:top w:w="100" w:type="dxa"/>
              <w:bottom w:w="100" w:type="dxa"/>
              <w:left w:w="150" w:type="dxa"/>
              <w:right w:w="150" w:type="dxa"/>
            </w:tcMar>
          </w:tcPr>
          <w:p>
            <w:pPr>
              <w:spacing w:line="264" w:lineRule="auto"/>
            </w:pPr>
            <w:r>
              <w:rPr>
                <w:rFonts w:ascii="Arial" w:hAnsi="Arial"/>
                <w:b w:val="0"/>
                <w:color w:val="5B6470"/>
                <w:sz w:val="19"/>
              </w:rPr>
              <w:t>P02 is regulated banking — maximizes the access veto. P01 is a multi-client BPO — no single stack owner.</w:t>
            </w:r>
          </w:p>
        </w:tc>
      </w:tr>
      <w:tr>
        <w:tc>
          <w:tcPr>
            <w:tcW w:type="dxa" w:w="2016"/>
            <w:shd w:val="clear" w:color="auto" w:fill="F2F1EF"/>
            <w:tcMar>
              <w:top w:w="100" w:type="dxa"/>
              <w:bottom w:w="100" w:type="dxa"/>
              <w:left w:w="150" w:type="dxa"/>
              <w:right w:w="150" w:type="dxa"/>
            </w:tcMar>
          </w:tcPr>
          <w:p>
            <w:pPr>
              <w:spacing w:line="264" w:lineRule="auto"/>
            </w:pPr>
            <w:r>
              <w:rPr>
                <w:rFonts w:ascii="Arial" w:hAnsi="Arial"/>
                <w:b/>
                <w:color w:val="1A1A1A"/>
                <w:sz w:val="19"/>
              </w:rPr>
              <w:t>SMB / startups</w:t>
            </w:r>
          </w:p>
        </w:tc>
        <w:tc>
          <w:tcPr>
            <w:tcW w:type="dxa" w:w="4320"/>
            <w:shd w:val="clear" w:color="auto" w:fill="F2F1EF"/>
            <w:tcMar>
              <w:top w:w="100" w:type="dxa"/>
              <w:bottom w:w="100" w:type="dxa"/>
              <w:left w:w="150" w:type="dxa"/>
              <w:right w:w="150" w:type="dxa"/>
            </w:tcMar>
          </w:tcPr>
          <w:p>
            <w:pPr>
              <w:spacing w:line="264" w:lineRule="auto"/>
            </w:pPr>
            <w:r>
              <w:rPr>
                <w:rFonts w:ascii="Arial" w:hAnsi="Arial"/>
                <w:b w:val="0"/>
                <w:color w:val="5B6470"/>
                <w:sz w:val="19"/>
              </w:rPr>
              <w:t>Usually run one consolidated tool</w:t>
            </w:r>
          </w:p>
        </w:tc>
        <w:tc>
          <w:tcPr>
            <w:tcW w:type="dxa" w:w="3744"/>
            <w:shd w:val="clear" w:color="auto" w:fill="F2F1EF"/>
            <w:tcMar>
              <w:top w:w="100" w:type="dxa"/>
              <w:bottom w:w="100" w:type="dxa"/>
              <w:left w:w="150" w:type="dxa"/>
              <w:right w:w="150" w:type="dxa"/>
            </w:tcMar>
          </w:tcPr>
          <w:p>
            <w:pPr>
              <w:spacing w:line="264" w:lineRule="auto"/>
            </w:pPr>
            <w:r>
              <w:rPr>
                <w:rFonts w:ascii="Arial" w:hAnsi="Arial"/>
                <w:b w:val="0"/>
                <w:color w:val="5B6470"/>
                <w:sz w:val="19"/>
              </w:rPr>
              <w:t>No helpdesk + CRM seam — no cross-system wedge to build on</w:t>
            </w:r>
          </w:p>
        </w:tc>
      </w:tr>
      <w:tr>
        <w:tc>
          <w:tcPr>
            <w:tcW w:type="dxa" w:w="2016"/>
            <w:shd w:val="clear" w:color="auto" w:fill="FFFFFF"/>
            <w:tcMar>
              <w:top w:w="100" w:type="dxa"/>
              <w:bottom w:w="100" w:type="dxa"/>
              <w:left w:w="150" w:type="dxa"/>
              <w:right w:w="150" w:type="dxa"/>
            </w:tcMar>
          </w:tcPr>
          <w:p>
            <w:pPr>
              <w:spacing w:line="264" w:lineRule="auto"/>
            </w:pPr>
            <w:r>
              <w:rPr>
                <w:rFonts w:ascii="Arial" w:hAnsi="Arial"/>
                <w:b/>
                <w:color w:val="1A1A1A"/>
                <w:sz w:val="19"/>
              </w:rPr>
              <w:t>Mid-market, filtered</w:t>
            </w:r>
          </w:p>
        </w:tc>
        <w:tc>
          <w:tcPr>
            <w:tcW w:type="dxa" w:w="4320"/>
            <w:shd w:val="clear" w:color="auto" w:fill="FFFFFF"/>
            <w:tcMar>
              <w:top w:w="100" w:type="dxa"/>
              <w:bottom w:w="100" w:type="dxa"/>
              <w:left w:w="150" w:type="dxa"/>
              <w:right w:w="150" w:type="dxa"/>
            </w:tcMar>
          </w:tcPr>
          <w:p>
            <w:pPr>
              <w:spacing w:line="264" w:lineRule="auto"/>
            </w:pPr>
            <w:r>
              <w:rPr>
                <w:rFonts w:ascii="Arial" w:hAnsi="Arial"/>
                <w:b w:val="0"/>
                <w:color w:val="5B6470"/>
                <w:sz w:val="19"/>
              </w:rPr>
              <w:t>The seam exists; buyer is reachable</w:t>
            </w:r>
          </w:p>
        </w:tc>
        <w:tc>
          <w:tcPr>
            <w:tcW w:type="dxa" w:w="3744"/>
            <w:shd w:val="clear" w:color="auto" w:fill="FFFFFF"/>
            <w:tcMar>
              <w:top w:w="100" w:type="dxa"/>
              <w:bottom w:w="100" w:type="dxa"/>
              <w:left w:w="150" w:type="dxa"/>
              <w:right w:w="150" w:type="dxa"/>
            </w:tcMar>
          </w:tcPr>
          <w:p>
            <w:pPr>
              <w:spacing w:line="264" w:lineRule="auto"/>
            </w:pPr>
            <w:r>
              <w:rPr>
                <w:rFonts w:ascii="Arial" w:hAnsi="Arial"/>
                <w:b w:val="0"/>
                <w:color w:val="5B6470"/>
                <w:sz w:val="19"/>
              </w:rPr>
              <w:t>Selected — avoids all three traps at once</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WORKING SEGMENT   </w:t>
            </w:r>
            <w:r>
              <w:rPr>
                <w:rFonts w:ascii="Arial" w:hAnsi="Arial"/>
                <w:b/>
                <w:color w:val="1A1A1A"/>
                <w:sz w:val="21"/>
              </w:rPr>
              <w:t>B2B SaaS or technology-enabled services, roughly 51–1,000 employees, running a helpdesk AND a separate CRM or system of record as two distinct tools.</w:t>
            </w:r>
          </w:p>
        </w:tc>
      </w:tr>
    </w:tbl>
    <w:p>
      <w:pPr>
        <w:spacing w:after="40"/>
      </w:pPr>
    </w:p>
    <w:p>
      <w:pPr>
        <w:spacing w:before="280" w:after="120"/>
      </w:pPr>
      <w:r>
        <w:rPr>
          <w:rFonts w:ascii="Arial" w:hAnsi="Arial"/>
          <w:b/>
          <w:color w:val="8A480B"/>
          <w:sz w:val="28"/>
        </w:rPr>
        <w:t>Anti-personas — named, not implied</w:t>
      </w:r>
    </w:p>
    <w:p>
      <w:pPr>
        <w:spacing w:after="80" w:line="276" w:lineRule="auto"/>
        <w:ind w:left="280"/>
      </w:pPr>
      <w:r>
        <w:rPr>
          <w:rFonts w:ascii="Arial" w:hAnsi="Arial"/>
          <w:b/>
          <w:color w:val="B56012"/>
          <w:sz w:val="21"/>
        </w:rPr>
        <w:t xml:space="preserve">—  </w:t>
      </w:r>
      <w:r>
        <w:rPr>
          <w:rFonts w:ascii="Arial" w:hAnsi="Arial"/>
          <w:color w:val="1A1A1A"/>
          <w:sz w:val="21"/>
        </w:rPr>
        <w:t>Not regulated / financial services — P02 shows the compliance approval chain this triggers (4–6 hour waits, formal risk sign-off).</w:t>
      </w:r>
    </w:p>
    <w:p>
      <w:pPr>
        <w:spacing w:after="80" w:line="276" w:lineRule="auto"/>
        <w:ind w:left="280"/>
      </w:pPr>
      <w:r>
        <w:rPr>
          <w:rFonts w:ascii="Arial" w:hAnsi="Arial"/>
          <w:b/>
          <w:color w:val="B56012"/>
          <w:sz w:val="21"/>
        </w:rPr>
        <w:t xml:space="preserve">—  </w:t>
      </w:r>
      <w:r>
        <w:rPr>
          <w:rFonts w:ascii="Arial" w:hAnsi="Arial"/>
          <w:color w:val="1A1A1A"/>
          <w:sz w:val="21"/>
        </w:rPr>
        <w:t>Not single-system shops — no context to reassemble means no wedge, and no problem to sell against.</w:t>
      </w:r>
    </w:p>
    <w:p>
      <w:pPr>
        <w:spacing w:after="80" w:line="276" w:lineRule="auto"/>
        <w:ind w:left="280"/>
      </w:pPr>
      <w:r>
        <w:rPr>
          <w:rFonts w:ascii="Arial" w:hAnsi="Arial"/>
          <w:b/>
          <w:color w:val="B56012"/>
          <w:sz w:val="21"/>
        </w:rPr>
        <w:t xml:space="preserve">—  </w:t>
      </w:r>
      <w:r>
        <w:rPr>
          <w:rFonts w:ascii="Arial" w:hAnsi="Arial"/>
          <w:color w:val="1A1A1A"/>
          <w:sz w:val="21"/>
        </w:rPr>
        <w:t>Not multi-client outsourced support operations (BPOs) — P01's stack changes by client; no one owns the access decision.</w:t>
      </w:r>
    </w:p>
    <w:p>
      <w:pPr>
        <w:spacing w:after="160" w:line="283" w:lineRule="auto"/>
      </w:pPr>
      <w:r>
        <w:rPr>
          <w:rFonts w:ascii="Arial" w:hAnsi="Arial"/>
          <w:b w:val="0"/>
          <w:i/>
          <w:color w:val="5B6470"/>
          <w:sz w:val="21"/>
        </w:rPr>
        <w:t>This lands close to v1's segment, and should — the underlying facts didn't move. What differs is the reasoning: three specific traps this segment avoids, not a sampling hypothesis picked for convenience.</w:t>
      </w:r>
    </w:p>
    <w:p>
      <w:r>
        <w:br w:type="page"/>
      </w:r>
    </w:p>
    <w:p>
      <w:pPr>
        <w:spacing w:after="40"/>
      </w:pPr>
      <w:r>
        <w:rPr>
          <w:rFonts w:ascii="Arial" w:hAnsi="Arial"/>
          <w:b/>
          <w:color w:val="B56012"/>
          <w:sz w:val="19"/>
        </w:rPr>
        <w:t>03 · STEP 2 — MARKET OPPORTUNITY</w:t>
      </w:r>
    </w:p>
    <w:p>
      <w:pPr>
        <w:spacing w:after="200" w:before="40"/>
      </w:pPr>
      <w:r>
        <w:rPr>
          <w:rFonts w:ascii="Arial" w:hAnsi="Arial"/>
          <w:b/>
          <w:color w:val="1A1A1A"/>
          <w:sz w:val="44"/>
        </w:rPr>
        <w:t>Two honest numbers, plus one new estimate</w:t>
      </w:r>
    </w:p>
    <w:tbl>
      <w:tblPr>
        <w:tblW w:type="auto" w:w="0"/>
        <w:jc w:val="center"/>
        <w:tblLayout w:type="autofit"/>
        <w:tblLook w:firstColumn="1" w:firstRow="1" w:lastColumn="0" w:lastRow="0" w:noHBand="0" w:noVBand="1" w:val="04A0"/>
      </w:tblPr>
      <w:tblGrid>
        <w:gridCol w:w="3137"/>
        <w:gridCol w:w="3137"/>
        <w:gridCol w:w="3137"/>
      </w:tblGrid>
      <w:tr>
        <w:tc>
          <w:tcPr>
            <w:tcW w:type="dxa" w:w="2592"/>
            <w:shd w:val="clear" w:color="auto" w:fill="1A1A1A"/>
            <w:tcMar>
              <w:top w:w="100" w:type="dxa"/>
              <w:bottom w:w="100" w:type="dxa"/>
              <w:left w:w="150" w:type="dxa"/>
              <w:right w:w="150" w:type="dxa"/>
            </w:tcMar>
          </w:tcPr>
          <w:p>
            <w:r>
              <w:rPr>
                <w:rFonts w:ascii="Arial" w:hAnsi="Arial"/>
                <w:b/>
                <w:color w:val="FFFFFF"/>
                <w:sz w:val="18"/>
              </w:rPr>
              <w:t>SIGNAL</w:t>
            </w:r>
          </w:p>
        </w:tc>
        <w:tc>
          <w:tcPr>
            <w:tcW w:type="dxa" w:w="4320"/>
            <w:shd w:val="clear" w:color="auto" w:fill="1A1A1A"/>
            <w:tcMar>
              <w:top w:w="100" w:type="dxa"/>
              <w:bottom w:w="100" w:type="dxa"/>
              <w:left w:w="150" w:type="dxa"/>
              <w:right w:w="150" w:type="dxa"/>
            </w:tcMar>
          </w:tcPr>
          <w:p>
            <w:r>
              <w:rPr>
                <w:rFonts w:ascii="Arial" w:hAnsi="Arial"/>
                <w:b/>
                <w:color w:val="FFFFFF"/>
                <w:sz w:val="18"/>
              </w:rPr>
              <w:t>FIGURE</w:t>
            </w:r>
          </w:p>
        </w:tc>
        <w:tc>
          <w:tcPr>
            <w:tcW w:type="dxa" w:w="3168"/>
            <w:shd w:val="clear" w:color="auto" w:fill="1A1A1A"/>
            <w:tcMar>
              <w:top w:w="100" w:type="dxa"/>
              <w:bottom w:w="100" w:type="dxa"/>
              <w:left w:w="150" w:type="dxa"/>
              <w:right w:w="150" w:type="dxa"/>
            </w:tcMar>
          </w:tcPr>
          <w:p>
            <w:r>
              <w:rPr>
                <w:rFonts w:ascii="Arial" w:hAnsi="Arial"/>
                <w:b/>
                <w:color w:val="FFFFFF"/>
                <w:sz w:val="18"/>
              </w:rPr>
              <w:t>STATUS</w:t>
            </w:r>
          </w:p>
        </w:tc>
      </w:tr>
      <w:tr>
        <w:tc>
          <w:tcPr>
            <w:tcW w:type="dxa" w:w="2592"/>
            <w:shd w:val="clear" w:color="auto" w:fill="FFFFFF"/>
            <w:tcMar>
              <w:top w:w="100" w:type="dxa"/>
              <w:bottom w:w="100" w:type="dxa"/>
              <w:left w:w="150" w:type="dxa"/>
              <w:right w:w="150" w:type="dxa"/>
            </w:tcMar>
          </w:tcPr>
          <w:p>
            <w:pPr>
              <w:spacing w:line="264" w:lineRule="auto"/>
            </w:pPr>
            <w:r>
              <w:rPr>
                <w:rFonts w:ascii="Arial" w:hAnsi="Arial"/>
                <w:b/>
                <w:color w:val="1A1A1A"/>
                <w:sz w:val="19"/>
              </w:rPr>
              <w:t>Category size (top-down)</w:t>
            </w:r>
          </w:p>
        </w:tc>
        <w:tc>
          <w:tcPr>
            <w:tcW w:type="dxa" w:w="4320"/>
            <w:shd w:val="clear" w:color="auto" w:fill="FFFFFF"/>
            <w:tcMar>
              <w:top w:w="100" w:type="dxa"/>
              <w:bottom w:w="100" w:type="dxa"/>
              <w:left w:w="150" w:type="dxa"/>
              <w:right w:w="150" w:type="dxa"/>
            </w:tcMar>
          </w:tcPr>
          <w:p>
            <w:pPr>
              <w:spacing w:line="264" w:lineRule="auto"/>
            </w:pPr>
            <w:r>
              <w:rPr>
                <w:rFonts w:ascii="Arial" w:hAnsi="Arial"/>
                <w:b w:val="0"/>
                <w:color w:val="5B6470"/>
                <w:sz w:val="19"/>
              </w:rPr>
              <w:t>Contact-center $47.7–63.9B; help-desk $14.3B</w:t>
            </w:r>
          </w:p>
        </w:tc>
        <w:tc>
          <w:tcPr>
            <w:tcW w:type="dxa" w:w="3168"/>
            <w:shd w:val="clear" w:color="auto" w:fill="FFFFFF"/>
            <w:tcMar>
              <w:top w:w="100" w:type="dxa"/>
              <w:bottom w:w="100" w:type="dxa"/>
              <w:left w:w="150" w:type="dxa"/>
              <w:right w:w="150" w:type="dxa"/>
            </w:tcMar>
          </w:tcPr>
          <w:p>
            <w:pPr>
              <w:spacing w:line="264" w:lineRule="auto"/>
            </w:pPr>
            <w:r>
              <w:rPr>
                <w:rFonts w:ascii="Arial" w:hAnsi="Arial"/>
                <w:b w:val="0"/>
                <w:color w:val="5B6470"/>
                <w:sz w:val="19"/>
              </w:rPr>
              <w:t>Real category, not one precise TAM — definitions don't align well enough to combine</w:t>
            </w:r>
          </w:p>
        </w:tc>
      </w:tr>
      <w:tr>
        <w:tc>
          <w:tcPr>
            <w:tcW w:type="dxa" w:w="2592"/>
            <w:shd w:val="clear" w:color="auto" w:fill="F2F1EF"/>
            <w:tcMar>
              <w:top w:w="100" w:type="dxa"/>
              <w:bottom w:w="100" w:type="dxa"/>
              <w:left w:w="150" w:type="dxa"/>
              <w:right w:w="150" w:type="dxa"/>
            </w:tcMar>
          </w:tcPr>
          <w:p>
            <w:pPr>
              <w:spacing w:line="264" w:lineRule="auto"/>
            </w:pPr>
            <w:r>
              <w:rPr>
                <w:rFonts w:ascii="Arial" w:hAnsi="Arial"/>
                <w:b/>
                <w:color w:val="1A1A1A"/>
                <w:sz w:val="19"/>
              </w:rPr>
              <w:t>Frequency</w:t>
            </w:r>
          </w:p>
        </w:tc>
        <w:tc>
          <w:tcPr>
            <w:tcW w:type="dxa" w:w="4320"/>
            <w:shd w:val="clear" w:color="auto" w:fill="F2F1EF"/>
            <w:tcMar>
              <w:top w:w="100" w:type="dxa"/>
              <w:bottom w:w="100" w:type="dxa"/>
              <w:left w:w="150" w:type="dxa"/>
              <w:right w:w="150" w:type="dxa"/>
            </w:tcMar>
          </w:tcPr>
          <w:p>
            <w:pPr>
              <w:spacing w:line="264" w:lineRule="auto"/>
            </w:pPr>
            <w:r>
              <w:rPr>
                <w:rFonts w:ascii="Arial" w:hAnsi="Arial"/>
                <w:b w:val="0"/>
                <w:color w:val="5B6470"/>
                <w:sz w:val="19"/>
              </w:rPr>
              <w:t>Up to 1.2B tickets / 138M conversations in vendor datasets</w:t>
            </w:r>
          </w:p>
        </w:tc>
        <w:tc>
          <w:tcPr>
            <w:tcW w:type="dxa" w:w="3168"/>
            <w:shd w:val="clear" w:color="auto" w:fill="F2F1EF"/>
            <w:tcMar>
              <w:top w:w="100" w:type="dxa"/>
              <w:bottom w:w="100" w:type="dxa"/>
              <w:left w:w="150" w:type="dxa"/>
              <w:right w:w="150" w:type="dxa"/>
            </w:tcMar>
          </w:tcPr>
          <w:p>
            <w:pPr>
              <w:spacing w:line="264" w:lineRule="auto"/>
            </w:pPr>
            <w:r>
              <w:rPr>
                <w:rFonts w:ascii="Arial" w:hAnsi="Arial"/>
                <w:b w:val="0"/>
                <w:color w:val="5B6470"/>
                <w:sz w:val="19"/>
              </w:rPr>
              <w:t>Frequent enough to observe repetition inside a 30–60 day pilot</w:t>
            </w:r>
          </w:p>
        </w:tc>
      </w:tr>
      <w:tr>
        <w:tc>
          <w:tcPr>
            <w:tcW w:type="dxa" w:w="2592"/>
            <w:shd w:val="clear" w:color="auto" w:fill="FFFFFF"/>
            <w:tcMar>
              <w:top w:w="100" w:type="dxa"/>
              <w:bottom w:w="100" w:type="dxa"/>
              <w:left w:w="150" w:type="dxa"/>
              <w:right w:w="150" w:type="dxa"/>
            </w:tcMar>
          </w:tcPr>
          <w:p>
            <w:pPr>
              <w:spacing w:line="264" w:lineRule="auto"/>
            </w:pPr>
            <w:r>
              <w:rPr>
                <w:rFonts w:ascii="Arial" w:hAnsi="Arial"/>
                <w:b/>
                <w:color w:val="1A1A1A"/>
                <w:sz w:val="19"/>
              </w:rPr>
              <w:t>New: bottom-up cost pool</w:t>
            </w:r>
          </w:p>
        </w:tc>
        <w:tc>
          <w:tcPr>
            <w:tcW w:type="dxa" w:w="4320"/>
            <w:shd w:val="clear" w:color="auto" w:fill="FFFFFF"/>
            <w:tcMar>
              <w:top w:w="100" w:type="dxa"/>
              <w:bottom w:w="100" w:type="dxa"/>
              <w:left w:w="150" w:type="dxa"/>
              <w:right w:w="150" w:type="dxa"/>
            </w:tcMar>
          </w:tcPr>
          <w:p>
            <w:pPr>
              <w:spacing w:line="264" w:lineRule="auto"/>
            </w:pPr>
            <w:r>
              <w:rPr>
                <w:rFonts w:ascii="Arial" w:hAnsi="Arial"/>
                <w:b w:val="0"/>
                <w:color w:val="5B6470"/>
                <w:sz w:val="19"/>
              </w:rPr>
              <w:t>$430–860M / year, illustrative</w:t>
            </w:r>
          </w:p>
        </w:tc>
        <w:tc>
          <w:tcPr>
            <w:tcW w:type="dxa" w:w="3168"/>
            <w:shd w:val="clear" w:color="auto" w:fill="FFFFFF"/>
            <w:tcMar>
              <w:top w:w="100" w:type="dxa"/>
              <w:bottom w:w="100" w:type="dxa"/>
              <w:left w:w="150" w:type="dxa"/>
              <w:right w:w="150" w:type="dxa"/>
            </w:tcMar>
          </w:tcPr>
          <w:p>
            <w:pPr>
              <w:spacing w:line="264" w:lineRule="auto"/>
            </w:pPr>
            <w:r>
              <w:rPr>
                <w:rFonts w:ascii="Arial" w:hAnsi="Arial"/>
                <w:b w:val="0"/>
                <w:color w:val="5B6470"/>
                <w:sz w:val="19"/>
              </w:rPr>
              <w:t>Chained from the $16B mid-market “complexity drain” survey (S09) × 27% integration-barrier share (E10) × an explicitly labeled 10–20% vertical-share assumption</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WHAT THE NEW ESTIMATE IS NOT   </w:t>
            </w:r>
            <w:r>
              <w:rPr>
                <w:rFonts w:ascii="Arial" w:hAnsi="Arial"/>
                <w:b/>
                <w:color w:val="1A1A1A"/>
                <w:sz w:val="21"/>
              </w:rPr>
              <w:t>a revenue forecast or a validated SOM. It's a cost-of-the-problem ceiling built entirely from evidence already on file, with its weakest input (vertical share) explicitly flagged as the next thing to replace with real data — see research/bottom-up-market-estimate.md for the full chain and its limits.</w:t>
            </w:r>
          </w:p>
        </w:tc>
      </w:tr>
    </w:tbl>
    <w:p>
      <w:pPr>
        <w:spacing w:after="40"/>
      </w:pPr>
    </w:p>
    <w:p>
      <w:pPr>
        <w:spacing w:after="160" w:line="283" w:lineRule="auto"/>
      </w:pPr>
      <w:r>
        <w:rPr>
          <w:rFonts w:ascii="Arial" w:hAnsi="Arial"/>
          <w:b w:val="0"/>
          <w:i w:val="0"/>
          <w:color w:val="1A1A1A"/>
          <w:sz w:val="21"/>
        </w:rPr>
        <w:t>Why customers would pay: removing measurable coordination work, protecting SLA, avoiding reopens, at a predictable total cost — unchanged from v1's logic. Still unproven at the level of an actual price point; no interview established a buyer's budget threshold.</w:t>
      </w:r>
    </w:p>
    <w:p>
      <w:r>
        <w:br w:type="page"/>
      </w:r>
    </w:p>
    <w:p>
      <w:pPr>
        <w:spacing w:after="40"/>
      </w:pPr>
      <w:r>
        <w:rPr>
          <w:rFonts w:ascii="Arial" w:hAnsi="Arial"/>
          <w:b/>
          <w:color w:val="B56012"/>
          <w:sz w:val="19"/>
        </w:rPr>
        <w:t>04 · STEP 3 — CORE PROBLEM</w:t>
      </w:r>
    </w:p>
    <w:p>
      <w:pPr>
        <w:spacing w:after="200" w:before="40"/>
      </w:pPr>
      <w:r>
        <w:rPr>
          <w:rFonts w:ascii="Arial" w:hAnsi="Arial"/>
          <w:b/>
          <w:color w:val="1A1A1A"/>
          <w:sz w:val="44"/>
        </w:rPr>
        <w:t>One problem, aimed at the mismatch</w:t>
      </w:r>
    </w:p>
    <w:tbl>
      <w:tblPr>
        <w:tblW w:type="auto" w:w="0"/>
        <w:jc w:val="center"/>
        <w:tblLook w:firstColumn="1" w:firstRow="1" w:lastColumn="0" w:lastRow="0" w:noHBand="0" w:noVBand="1" w:val="04A0"/>
      </w:tblPr>
      <w:tblGrid>
        <w:gridCol w:w="9412"/>
      </w:tblGrid>
      <w:t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JOB STORY   </w:t>
            </w:r>
            <w:r>
              <w:rPr>
                <w:rFonts w:ascii="Arial" w:hAnsi="Arial"/>
                <w:b/>
                <w:color w:val="1A1A1A"/>
                <w:sz w:val="21"/>
              </w:rPr>
              <w:t>when a support agent picks up a case that needs information or action from a second system, they want a single place to see everything relevant without switching tools or asking someone else — because today that costs 15–25 minutes of manual work per case and leaves duplicate, disconnected history for the next person to reconstruct.</w:t>
            </w:r>
          </w:p>
        </w:tc>
      </w:tr>
    </w:tbl>
    <w:p>
      <w:pPr>
        <w:spacing w:after="40"/>
      </w:pPr>
    </w:p>
    <w:p>
      <w:pPr>
        <w:spacing w:after="160" w:line="283" w:lineRule="auto"/>
      </w:pPr>
      <w:r>
        <w:rPr>
          <w:rFonts w:ascii="Arial" w:hAnsi="Arial"/>
          <w:b w:val="0"/>
          <w:i w:val="0"/>
          <w:color w:val="1A1A1A"/>
          <w:sz w:val="21"/>
        </w:rPr>
        <w:t>This is the same leading pattern v1 identified, carried at the same honesty level: two of four interviews (P01, P04) independently describe it — below the four-participant threshold the interview guide itself set for calling a pattern validated. It's the leading hypothesis, not a proven one, and it targets the mismatch diagnosed above directly, rather than another attempt at conversational deflection.</w:t>
      </w:r>
    </w:p>
    <w:p>
      <w:r>
        <w:br w:type="page"/>
      </w:r>
    </w:p>
    <w:p>
      <w:pPr>
        <w:spacing w:after="40"/>
      </w:pPr>
      <w:r>
        <w:rPr>
          <w:rFonts w:ascii="Arial" w:hAnsi="Arial"/>
          <w:b/>
          <w:color w:val="B56012"/>
          <w:sz w:val="19"/>
        </w:rPr>
        <w:t>05 · STEP 4 — MOAT AND DEFENSIBILITY</w:t>
      </w:r>
    </w:p>
    <w:p>
      <w:pPr>
        <w:spacing w:after="200" w:before="40"/>
      </w:pPr>
      <w:r>
        <w:rPr>
          <w:rFonts w:ascii="Arial" w:hAnsi="Arial"/>
          <w:b/>
          <w:color w:val="1A1A1A"/>
          <w:sz w:val="44"/>
        </w:rPr>
        <w:t>Same categories. One concrete artifact each.</w:t>
      </w:r>
    </w:p>
    <w:tbl>
      <w:tblPr>
        <w:tblW w:type="auto" w:w="0"/>
        <w:jc w:val="center"/>
        <w:tblLayout w:type="autofit"/>
        <w:tblLook w:firstColumn="1" w:firstRow="1" w:lastColumn="0" w:lastRow="0" w:noHBand="0" w:noVBand="1" w:val="04A0"/>
      </w:tblPr>
      <w:tblGrid>
        <w:gridCol w:w="3137"/>
        <w:gridCol w:w="3137"/>
        <w:gridCol w:w="3137"/>
      </w:tblGrid>
      <w:tr>
        <w:tc>
          <w:tcPr>
            <w:tcW w:type="dxa" w:w="2448"/>
            <w:shd w:val="clear" w:color="auto" w:fill="1A1A1A"/>
            <w:tcMar>
              <w:top w:w="100" w:type="dxa"/>
              <w:bottom w:w="100" w:type="dxa"/>
              <w:left w:w="150" w:type="dxa"/>
              <w:right w:w="150" w:type="dxa"/>
            </w:tcMar>
          </w:tcPr>
          <w:p>
            <w:r>
              <w:rPr>
                <w:rFonts w:ascii="Arial" w:hAnsi="Arial"/>
                <w:b/>
                <w:color w:val="FFFFFF"/>
                <w:sz w:val="18"/>
              </w:rPr>
              <w:t>MECHANISM</w:t>
            </w:r>
          </w:p>
        </w:tc>
        <w:tc>
          <w:tcPr>
            <w:tcW w:type="dxa" w:w="4608"/>
            <w:shd w:val="clear" w:color="auto" w:fill="1A1A1A"/>
            <w:tcMar>
              <w:top w:w="100" w:type="dxa"/>
              <w:bottom w:w="100" w:type="dxa"/>
              <w:left w:w="150" w:type="dxa"/>
              <w:right w:w="150" w:type="dxa"/>
            </w:tcMar>
          </w:tcPr>
          <w:p>
            <w:r>
              <w:rPr>
                <w:rFonts w:ascii="Arial" w:hAnsi="Arial"/>
                <w:b/>
                <w:color w:val="FFFFFF"/>
                <w:sz w:val="18"/>
              </w:rPr>
              <w:t>CONCRETE ARTIFACT</w:t>
            </w:r>
          </w:p>
        </w:tc>
        <w:tc>
          <w:tcPr>
            <w:tcW w:type="dxa" w:w="3024"/>
            <w:shd w:val="clear" w:color="auto" w:fill="1A1A1A"/>
            <w:tcMar>
              <w:top w:w="100" w:type="dxa"/>
              <w:bottom w:w="100" w:type="dxa"/>
              <w:left w:w="150" w:type="dxa"/>
              <w:right w:w="150" w:type="dxa"/>
            </w:tcMar>
          </w:tcPr>
          <w:p>
            <w:r>
              <w:rPr>
                <w:rFonts w:ascii="Arial" w:hAnsi="Arial"/>
                <w:b/>
                <w:color w:val="FFFFFF"/>
                <w:sz w:val="18"/>
              </w:rPr>
              <w:t>RISK IT DEFEATS</w:t>
            </w:r>
          </w:p>
        </w:tc>
      </w:tr>
      <w:tr>
        <w:tc>
          <w:tcPr>
            <w:tcW w:type="dxa" w:w="2448"/>
            <w:shd w:val="clear" w:color="auto" w:fill="FFFFFF"/>
            <w:tcMar>
              <w:top w:w="100" w:type="dxa"/>
              <w:bottom w:w="100" w:type="dxa"/>
              <w:left w:w="150" w:type="dxa"/>
              <w:right w:w="150" w:type="dxa"/>
            </w:tcMar>
          </w:tcPr>
          <w:p>
            <w:pPr>
              <w:spacing w:line="264" w:lineRule="auto"/>
            </w:pPr>
            <w:r>
              <w:rPr>
                <w:rFonts w:ascii="Arial" w:hAnsi="Arial"/>
                <w:b/>
                <w:color w:val="1A1A1A"/>
                <w:sz w:val="19"/>
              </w:rPr>
              <w:t>Workflow evaluation data</w:t>
            </w:r>
          </w:p>
        </w:tc>
        <w:tc>
          <w:tcPr>
            <w:tcW w:type="dxa" w:w="4608"/>
            <w:shd w:val="clear" w:color="auto" w:fill="FFFFFF"/>
            <w:tcMar>
              <w:top w:w="100" w:type="dxa"/>
              <w:bottom w:w="100" w:type="dxa"/>
              <w:left w:w="150" w:type="dxa"/>
              <w:right w:w="150" w:type="dxa"/>
            </w:tcMar>
          </w:tcPr>
          <w:p>
            <w:pPr>
              <w:spacing w:line="264" w:lineRule="auto"/>
            </w:pPr>
            <w:r>
              <w:rPr>
                <w:rFonts w:ascii="Arial" w:hAnsi="Arial"/>
                <w:b w:val="0"/>
                <w:color w:val="5B6470"/>
                <w:sz w:val="19"/>
              </w:rPr>
              <w:t>Per-workflow library of correct/refuse/escalate examples from this customer's own cases</w:t>
            </w:r>
          </w:p>
        </w:tc>
        <w:tc>
          <w:tcPr>
            <w:tcW w:type="dxa" w:w="3024"/>
            <w:shd w:val="clear" w:color="auto" w:fill="FFFFFF"/>
            <w:tcMar>
              <w:top w:w="100" w:type="dxa"/>
              <w:bottom w:w="100" w:type="dxa"/>
              <w:left w:w="150" w:type="dxa"/>
              <w:right w:w="150" w:type="dxa"/>
            </w:tcMar>
          </w:tcPr>
          <w:p>
            <w:pPr>
              <w:spacing w:line="264" w:lineRule="auto"/>
            </w:pPr>
            <w:r>
              <w:rPr>
                <w:rFonts w:ascii="Arial" w:hAnsi="Arial"/>
                <w:b w:val="0"/>
                <w:color w:val="5B6470"/>
                <w:sz w:val="19"/>
              </w:rPr>
              <w:t>Competitors copying the feature still start quality from zero</w:t>
            </w:r>
          </w:p>
        </w:tc>
      </w:tr>
      <w:tr>
        <w:tc>
          <w:tcPr>
            <w:tcW w:type="dxa" w:w="2448"/>
            <w:shd w:val="clear" w:color="auto" w:fill="F2F1EF"/>
            <w:tcMar>
              <w:top w:w="100" w:type="dxa"/>
              <w:bottom w:w="100" w:type="dxa"/>
              <w:left w:w="150" w:type="dxa"/>
              <w:right w:w="150" w:type="dxa"/>
            </w:tcMar>
          </w:tcPr>
          <w:p>
            <w:pPr>
              <w:spacing w:line="264" w:lineRule="auto"/>
            </w:pPr>
            <w:r>
              <w:rPr>
                <w:rFonts w:ascii="Arial" w:hAnsi="Arial"/>
                <w:b/>
                <w:color w:val="1A1A1A"/>
                <w:sz w:val="19"/>
              </w:rPr>
              <w:t>Reliable action contracts</w:t>
            </w:r>
          </w:p>
        </w:tc>
        <w:tc>
          <w:tcPr>
            <w:tcW w:type="dxa" w:w="4608"/>
            <w:shd w:val="clear" w:color="auto" w:fill="F2F1EF"/>
            <w:tcMar>
              <w:top w:w="100" w:type="dxa"/>
              <w:bottom w:w="100" w:type="dxa"/>
              <w:left w:w="150" w:type="dxa"/>
              <w:right w:w="150" w:type="dxa"/>
            </w:tcMar>
          </w:tcPr>
          <w:p>
            <w:pPr>
              <w:spacing w:line="264" w:lineRule="auto"/>
            </w:pPr>
            <w:r>
              <w:rPr>
                <w:rFonts w:ascii="Arial" w:hAnsi="Arial"/>
                <w:b w:val="0"/>
                <w:color w:val="5B6470"/>
                <w:sz w:val="19"/>
              </w:rPr>
              <w:t>Versioned, scoped, audited, reversible connectors per system pair</w:t>
            </w:r>
          </w:p>
        </w:tc>
        <w:tc>
          <w:tcPr>
            <w:tcW w:type="dxa" w:w="3024"/>
            <w:shd w:val="clear" w:color="auto" w:fill="F2F1EF"/>
            <w:tcMar>
              <w:top w:w="100" w:type="dxa"/>
              <w:bottom w:w="100" w:type="dxa"/>
              <w:left w:w="150" w:type="dxa"/>
              <w:right w:w="150" w:type="dxa"/>
            </w:tcMar>
          </w:tcPr>
          <w:p>
            <w:pPr>
              <w:spacing w:line="264" w:lineRule="auto"/>
            </w:pPr>
            <w:r>
              <w:rPr>
                <w:rFonts w:ascii="Arial" w:hAnsi="Arial"/>
                <w:b w:val="0"/>
                <w:color w:val="5B6470"/>
                <w:sz w:val="19"/>
              </w:rPr>
              <w:t>Copying the idea is easy; copying years of failure-mode hardening is not</w:t>
            </w:r>
          </w:p>
        </w:tc>
      </w:tr>
      <w:tr>
        <w:tc>
          <w:tcPr>
            <w:tcW w:type="dxa" w:w="2448"/>
            <w:shd w:val="clear" w:color="auto" w:fill="FFFFFF"/>
            <w:tcMar>
              <w:top w:w="100" w:type="dxa"/>
              <w:bottom w:w="100" w:type="dxa"/>
              <w:left w:w="150" w:type="dxa"/>
              <w:right w:w="150" w:type="dxa"/>
            </w:tcMar>
          </w:tcPr>
          <w:p>
            <w:pPr>
              <w:spacing w:line="264" w:lineRule="auto"/>
            </w:pPr>
            <w:r>
              <w:rPr>
                <w:rFonts w:ascii="Arial" w:hAnsi="Arial"/>
                <w:b/>
                <w:color w:val="1A1A1A"/>
                <w:sz w:val="19"/>
              </w:rPr>
              <w:t>Operational learning loop</w:t>
            </w:r>
          </w:p>
        </w:tc>
        <w:tc>
          <w:tcPr>
            <w:tcW w:type="dxa" w:w="4608"/>
            <w:shd w:val="clear" w:color="auto" w:fill="FFFFFF"/>
            <w:tcMar>
              <w:top w:w="100" w:type="dxa"/>
              <w:bottom w:w="100" w:type="dxa"/>
              <w:left w:w="150" w:type="dxa"/>
              <w:right w:w="150" w:type="dxa"/>
            </w:tcMar>
          </w:tcPr>
          <w:p>
            <w:pPr>
              <w:spacing w:line="264" w:lineRule="auto"/>
            </w:pPr>
            <w:r>
              <w:rPr>
                <w:rFonts w:ascii="Arial" w:hAnsi="Arial"/>
                <w:b w:val="0"/>
                <w:color w:val="5B6470"/>
                <w:sz w:val="19"/>
              </w:rPr>
              <w:t>Every correction/reopen becomes a regression test before the next release</w:t>
            </w:r>
          </w:p>
        </w:tc>
        <w:tc>
          <w:tcPr>
            <w:tcW w:type="dxa" w:w="3024"/>
            <w:shd w:val="clear" w:color="auto" w:fill="FFFFFF"/>
            <w:tcMar>
              <w:top w:w="100" w:type="dxa"/>
              <w:bottom w:w="100" w:type="dxa"/>
              <w:left w:w="150" w:type="dxa"/>
              <w:right w:w="150" w:type="dxa"/>
            </w:tcMar>
          </w:tcPr>
          <w:p>
            <w:pPr>
              <w:spacing w:line="264" w:lineRule="auto"/>
            </w:pPr>
            <w:r>
              <w:rPr>
                <w:rFonts w:ascii="Arial" w:hAnsi="Arial"/>
                <w:b w:val="0"/>
                <w:color w:val="5B6470"/>
                <w:sz w:val="19"/>
              </w:rPr>
              <w:t>Quality compounds with usage instead of resetting</w:t>
            </w:r>
          </w:p>
        </w:tc>
      </w:tr>
      <w:tr>
        <w:tc>
          <w:tcPr>
            <w:tcW w:type="dxa" w:w="2448"/>
            <w:shd w:val="clear" w:color="auto" w:fill="F2F1EF"/>
            <w:tcMar>
              <w:top w:w="100" w:type="dxa"/>
              <w:bottom w:w="100" w:type="dxa"/>
              <w:left w:w="150" w:type="dxa"/>
              <w:right w:w="150" w:type="dxa"/>
            </w:tcMar>
          </w:tcPr>
          <w:p>
            <w:pPr>
              <w:spacing w:line="264" w:lineRule="auto"/>
            </w:pPr>
            <w:r>
              <w:rPr>
                <w:rFonts w:ascii="Arial" w:hAnsi="Arial"/>
                <w:b/>
                <w:color w:val="1A1A1A"/>
                <w:sz w:val="19"/>
              </w:rPr>
              <w:t>Repeatable deployment</w:t>
            </w:r>
          </w:p>
        </w:tc>
        <w:tc>
          <w:tcPr>
            <w:tcW w:type="dxa" w:w="4608"/>
            <w:shd w:val="clear" w:color="auto" w:fill="F2F1EF"/>
            <w:tcMar>
              <w:top w:w="100" w:type="dxa"/>
              <w:bottom w:w="100" w:type="dxa"/>
              <w:left w:w="150" w:type="dxa"/>
              <w:right w:w="150" w:type="dxa"/>
            </w:tcMar>
          </w:tcPr>
          <w:p>
            <w:pPr>
              <w:spacing w:line="264" w:lineRule="auto"/>
            </w:pPr>
            <w:r>
              <w:rPr>
                <w:rFonts w:ascii="Arial" w:hAnsi="Arial"/>
                <w:b w:val="0"/>
                <w:color w:val="5B6470"/>
                <w:sz w:val="19"/>
              </w:rPr>
              <w:t>A template per common helpdesk + system-of-record combination</w:t>
            </w:r>
          </w:p>
        </w:tc>
        <w:tc>
          <w:tcPr>
            <w:tcW w:type="dxa" w:w="3024"/>
            <w:shd w:val="clear" w:color="auto" w:fill="F2F1EF"/>
            <w:tcMar>
              <w:top w:w="100" w:type="dxa"/>
              <w:bottom w:w="100" w:type="dxa"/>
              <w:left w:w="150" w:type="dxa"/>
              <w:right w:w="150" w:type="dxa"/>
            </w:tcMar>
          </w:tcPr>
          <w:p>
            <w:pPr>
              <w:spacing w:line="264" w:lineRule="auto"/>
            </w:pPr>
            <w:r>
              <w:rPr>
                <w:rFonts w:ascii="Arial" w:hAnsi="Arial"/>
                <w:b w:val="0"/>
                <w:color w:val="5B6470"/>
                <w:sz w:val="19"/>
              </w:rPr>
              <w:t>Later customers on a known stack deploy faster and cheaper</w:t>
            </w:r>
          </w:p>
        </w:tc>
      </w:tr>
      <w:tr>
        <w:tc>
          <w:tcPr>
            <w:tcW w:type="dxa" w:w="2448"/>
            <w:shd w:val="clear" w:color="auto" w:fill="FFFFFF"/>
            <w:tcMar>
              <w:top w:w="100" w:type="dxa"/>
              <w:bottom w:w="100" w:type="dxa"/>
              <w:left w:w="150" w:type="dxa"/>
              <w:right w:w="150" w:type="dxa"/>
            </w:tcMar>
          </w:tcPr>
          <w:p>
            <w:pPr>
              <w:spacing w:line="264" w:lineRule="auto"/>
            </w:pPr>
            <w:r>
              <w:rPr>
                <w:rFonts w:ascii="Arial" w:hAnsi="Arial"/>
                <w:b/>
                <w:color w:val="1A1A1A"/>
                <w:sz w:val="19"/>
              </w:rPr>
              <w:t>Switching cost, trusted ops</w:t>
            </w:r>
          </w:p>
        </w:tc>
        <w:tc>
          <w:tcPr>
            <w:tcW w:type="dxa" w:w="4608"/>
            <w:shd w:val="clear" w:color="auto" w:fill="FFFFFF"/>
            <w:tcMar>
              <w:top w:w="100" w:type="dxa"/>
              <w:bottom w:w="100" w:type="dxa"/>
              <w:left w:w="150" w:type="dxa"/>
              <w:right w:w="150" w:type="dxa"/>
            </w:tcMar>
          </w:tcPr>
          <w:p>
            <w:pPr>
              <w:spacing w:line="264" w:lineRule="auto"/>
            </w:pPr>
            <w:r>
              <w:rPr>
                <w:rFonts w:ascii="Arial" w:hAnsi="Arial"/>
                <w:b w:val="0"/>
                <w:color w:val="5B6470"/>
                <w:sz w:val="19"/>
              </w:rPr>
              <w:t>A per-customer permission-and-evaluation profile built up over months</w:t>
            </w:r>
          </w:p>
        </w:tc>
        <w:tc>
          <w:tcPr>
            <w:tcW w:type="dxa" w:w="3024"/>
            <w:shd w:val="clear" w:color="auto" w:fill="FFFFFF"/>
            <w:tcMar>
              <w:top w:w="100" w:type="dxa"/>
              <w:bottom w:w="100" w:type="dxa"/>
              <w:left w:w="150" w:type="dxa"/>
              <w:right w:w="150" w:type="dxa"/>
            </w:tcMar>
          </w:tcPr>
          <w:p>
            <w:pPr>
              <w:spacing w:line="264" w:lineRule="auto"/>
            </w:pPr>
            <w:r>
              <w:rPr>
                <w:rFonts w:ascii="Arial" w:hAnsi="Arial"/>
                <w:b w:val="0"/>
                <w:color w:val="5B6470"/>
                <w:sz w:val="19"/>
              </w:rPr>
              <w:t>Leaving means rebuilding IT/security trust from zero, elsewhere</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THE SHARPEST ADDITION   </w:t>
            </w:r>
            <w:r>
              <w:rPr>
                <w:rFonts w:ascii="Arial" w:hAnsi="Arial"/>
                <w:b/>
                <w:color w:val="1A1A1A"/>
                <w:sz w:val="21"/>
              </w:rPr>
              <w:t>the same access-and-trust veto that likely killed the original motion (failure mode #2) becomes, once earned, the thing that makes leaving costly.</w:t>
            </w:r>
          </w:p>
        </w:tc>
      </w:tr>
    </w:tbl>
    <w:p>
      <w:pPr>
        <w:spacing w:after="40"/>
      </w:pPr>
    </w:p>
    <w:p>
      <w:pPr>
        <w:spacing w:after="160" w:line="283" w:lineRule="auto"/>
      </w:pPr>
      <w:r>
        <w:rPr>
          <w:rFonts w:ascii="Arial" w:hAnsi="Arial"/>
          <w:b w:val="0"/>
          <w:i/>
          <w:color w:val="5B6470"/>
          <w:sz w:val="21"/>
        </w:rPr>
        <w:t>Explicitly not a moat: the underlying model, generic retrieval, or connector-catalogue size — all matchable with an API key and a weekend. No network-effect claim: cross-customer learning is only plausible once a legal, secure, consented aggregation mechanism exists, and it doesn't yet.</w:t>
      </w:r>
    </w:p>
    <w:p>
      <w:r>
        <w:br w:type="page"/>
      </w:r>
    </w:p>
    <w:p>
      <w:pPr>
        <w:spacing w:after="40"/>
      </w:pPr>
      <w:r>
        <w:rPr>
          <w:rFonts w:ascii="Arial" w:hAnsi="Arial"/>
          <w:b/>
          <w:color w:val="B56012"/>
          <w:sz w:val="19"/>
        </w:rPr>
        <w:t>06 · STEP 5 — LAND AND EXPAND</w:t>
      </w:r>
    </w:p>
    <w:p>
      <w:pPr>
        <w:spacing w:after="200" w:before="40"/>
      </w:pPr>
      <w:r>
        <w:rPr>
          <w:rFonts w:ascii="Arial" w:hAnsi="Arial"/>
          <w:b/>
          <w:color w:val="1A1A1A"/>
          <w:sz w:val="44"/>
        </w:rPr>
        <w:t>A narrower first cut, on purpose</w:t>
      </w:r>
    </w:p>
    <w:p>
      <w:pPr>
        <w:spacing w:after="160" w:line="283" w:lineRule="auto"/>
      </w:pPr>
      <w:r>
        <w:rPr>
          <w:rFonts w:ascii="Arial" w:hAnsi="Arial"/>
          <w:b w:val="0"/>
          <w:i w:val="0"/>
          <w:color w:val="1A1A1A"/>
          <w:sz w:val="21"/>
        </w:rPr>
        <w:t>v1's MVP already bundled context-assembly, a drafted recommendation, approval routing and write-back into “the pilot.” Reasonable for shadow mode — still a bigger initial ask than it needs to be. v2's land wedge is smaller: read-only context, nothing else, first.</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1584"/>
            <w:shd w:val="clear" w:color="auto" w:fill="1A1A1A"/>
            <w:tcMar>
              <w:top w:w="100" w:type="dxa"/>
              <w:bottom w:w="100" w:type="dxa"/>
              <w:left w:w="150" w:type="dxa"/>
              <w:right w:w="150" w:type="dxa"/>
            </w:tcMar>
          </w:tcPr>
          <w:p>
            <w:r>
              <w:rPr>
                <w:rFonts w:ascii="Arial" w:hAnsi="Arial"/>
                <w:b/>
                <w:color w:val="FFFFFF"/>
                <w:sz w:val="18"/>
              </w:rPr>
              <w:t>STAGE</w:t>
            </w:r>
          </w:p>
        </w:tc>
        <w:tc>
          <w:tcPr>
            <w:tcW w:type="dxa" w:w="3744"/>
            <w:shd w:val="clear" w:color="auto" w:fill="1A1A1A"/>
            <w:tcMar>
              <w:top w:w="100" w:type="dxa"/>
              <w:bottom w:w="100" w:type="dxa"/>
              <w:left w:w="150" w:type="dxa"/>
              <w:right w:w="150" w:type="dxa"/>
            </w:tcMar>
          </w:tcPr>
          <w:p>
            <w:r>
              <w:rPr>
                <w:rFonts w:ascii="Arial" w:hAnsi="Arial"/>
                <w:b/>
                <w:color w:val="FFFFFF"/>
                <w:sz w:val="18"/>
              </w:rPr>
              <w:t>WHAT SHIPS</w:t>
            </w:r>
          </w:p>
        </w:tc>
        <w:tc>
          <w:tcPr>
            <w:tcW w:type="dxa" w:w="2736"/>
            <w:shd w:val="clear" w:color="auto" w:fill="1A1A1A"/>
            <w:tcMar>
              <w:top w:w="100" w:type="dxa"/>
              <w:bottom w:w="100" w:type="dxa"/>
              <w:left w:w="150" w:type="dxa"/>
              <w:right w:w="150" w:type="dxa"/>
            </w:tcMar>
          </w:tcPr>
          <w:p>
            <w:r>
              <w:rPr>
                <w:rFonts w:ascii="Arial" w:hAnsi="Arial"/>
                <w:b/>
                <w:color w:val="FFFFFF"/>
                <w:sz w:val="18"/>
              </w:rPr>
              <w:t>ACCESS REQUIRED</w:t>
            </w:r>
          </w:p>
        </w:tc>
        <w:tc>
          <w:tcPr>
            <w:tcW w:type="dxa" w:w="2304"/>
            <w:shd w:val="clear" w:color="auto" w:fill="1A1A1A"/>
            <w:tcMar>
              <w:top w:w="100" w:type="dxa"/>
              <w:bottom w:w="100" w:type="dxa"/>
              <w:left w:w="150" w:type="dxa"/>
              <w:right w:w="150" w:type="dxa"/>
            </w:tcMar>
          </w:tcPr>
          <w:p>
            <w:r>
              <w:rPr>
                <w:rFonts w:ascii="Arial" w:hAnsi="Arial"/>
                <w:b/>
                <w:color w:val="FFFFFF"/>
                <w:sz w:val="18"/>
              </w:rPr>
              <w:t>EXIT SIGNAL</w:t>
            </w:r>
          </w:p>
        </w:tc>
      </w:tr>
      <w:tr>
        <w:tc>
          <w:tcPr>
            <w:tcW w:type="dxa" w:w="1584"/>
            <w:shd w:val="clear" w:color="auto" w:fill="FFFFFF"/>
            <w:tcMar>
              <w:top w:w="100" w:type="dxa"/>
              <w:bottom w:w="100" w:type="dxa"/>
              <w:left w:w="150" w:type="dxa"/>
              <w:right w:w="150" w:type="dxa"/>
            </w:tcMar>
          </w:tcPr>
          <w:p>
            <w:pPr>
              <w:spacing w:line="264" w:lineRule="auto"/>
            </w:pPr>
            <w:r>
              <w:rPr>
                <w:rFonts w:ascii="Arial" w:hAnsi="Arial"/>
                <w:b/>
                <w:color w:val="1A1A1A"/>
                <w:sz w:val="19"/>
              </w:rPr>
              <w:t>Land</w:t>
            </w:r>
          </w:p>
        </w:tc>
        <w:tc>
          <w:tcPr>
            <w:tcW w:type="dxa" w:w="3744"/>
            <w:shd w:val="clear" w:color="auto" w:fill="FFFFFF"/>
            <w:tcMar>
              <w:top w:w="100" w:type="dxa"/>
              <w:bottom w:w="100" w:type="dxa"/>
              <w:left w:w="150" w:type="dxa"/>
              <w:right w:w="150" w:type="dxa"/>
            </w:tcMar>
          </w:tcPr>
          <w:p>
            <w:pPr>
              <w:spacing w:line="264" w:lineRule="auto"/>
            </w:pPr>
            <w:r>
              <w:rPr>
                <w:rFonts w:ascii="Arial" w:hAnsi="Arial"/>
                <w:b w:val="0"/>
                <w:color w:val="5B6470"/>
                <w:sz w:val="19"/>
              </w:rPr>
              <w:t>Read-only sidebar/Slack view pulling helpdesk + CRM context for a flagged case. No draft, no write-back, no action.</w:t>
            </w:r>
          </w:p>
        </w:tc>
        <w:tc>
          <w:tcPr>
            <w:tcW w:type="dxa" w:w="2736"/>
            <w:shd w:val="clear" w:color="auto" w:fill="FFFFFF"/>
            <w:tcMar>
              <w:top w:w="100" w:type="dxa"/>
              <w:bottom w:w="100" w:type="dxa"/>
              <w:left w:w="150" w:type="dxa"/>
              <w:right w:w="150" w:type="dxa"/>
            </w:tcMar>
          </w:tcPr>
          <w:p>
            <w:pPr>
              <w:spacing w:line="264" w:lineRule="auto"/>
            </w:pPr>
            <w:r>
              <w:rPr>
                <w:rFonts w:ascii="Arial" w:hAnsi="Arial"/>
                <w:b w:val="0"/>
                <w:color w:val="5B6470"/>
                <w:sz w:val="19"/>
              </w:rPr>
              <w:t>Read-only, scoped fields, zero write scopes</w:t>
            </w:r>
          </w:p>
        </w:tc>
        <w:tc>
          <w:tcPr>
            <w:tcW w:type="dxa" w:w="2304"/>
            <w:shd w:val="clear" w:color="auto" w:fill="FFFFFF"/>
            <w:tcMar>
              <w:top w:w="100" w:type="dxa"/>
              <w:bottom w:w="100" w:type="dxa"/>
              <w:left w:w="150" w:type="dxa"/>
              <w:right w:w="150" w:type="dxa"/>
            </w:tcMar>
          </w:tcPr>
          <w:p>
            <w:pPr>
              <w:spacing w:line="264" w:lineRule="auto"/>
            </w:pPr>
            <w:r>
              <w:rPr>
                <w:rFonts w:ascii="Arial" w:hAnsi="Arial"/>
                <w:b w:val="0"/>
                <w:color w:val="5B6470"/>
                <w:sz w:val="19"/>
              </w:rPr>
              <w:t>Unprompted use on real cases; time-to-context drops</w:t>
            </w:r>
          </w:p>
        </w:tc>
      </w:tr>
      <w:tr>
        <w:tc>
          <w:tcPr>
            <w:tcW w:type="dxa" w:w="1584"/>
            <w:shd w:val="clear" w:color="auto" w:fill="F2F1EF"/>
            <w:tcMar>
              <w:top w:w="100" w:type="dxa"/>
              <w:bottom w:w="100" w:type="dxa"/>
              <w:left w:w="150" w:type="dxa"/>
              <w:right w:w="150" w:type="dxa"/>
            </w:tcMar>
          </w:tcPr>
          <w:p>
            <w:pPr>
              <w:spacing w:line="264" w:lineRule="auto"/>
            </w:pPr>
            <w:r>
              <w:rPr>
                <w:rFonts w:ascii="Arial" w:hAnsi="Arial"/>
                <w:b/>
                <w:color w:val="1A1A1A"/>
                <w:sz w:val="19"/>
              </w:rPr>
              <w:t>Prove</w:t>
            </w:r>
          </w:p>
        </w:tc>
        <w:tc>
          <w:tcPr>
            <w:tcW w:type="dxa" w:w="3744"/>
            <w:shd w:val="clear" w:color="auto" w:fill="F2F1EF"/>
            <w:tcMar>
              <w:top w:w="100" w:type="dxa"/>
              <w:bottom w:w="100" w:type="dxa"/>
              <w:left w:w="150" w:type="dxa"/>
              <w:right w:w="150" w:type="dxa"/>
            </w:tcMar>
          </w:tcPr>
          <w:p>
            <w:pPr>
              <w:spacing w:line="264" w:lineRule="auto"/>
            </w:pPr>
            <w:r>
              <w:rPr>
                <w:rFonts w:ascii="Arial" w:hAnsi="Arial"/>
                <w:b w:val="0"/>
                <w:color w:val="5B6470"/>
                <w:sz w:val="19"/>
              </w:rPr>
              <w:t>Same surface, same access. Measure minutes saved and trust (do agents still double-check sources?)</w:t>
            </w:r>
          </w:p>
        </w:tc>
        <w:tc>
          <w:tcPr>
            <w:tcW w:type="dxa" w:w="2736"/>
            <w:shd w:val="clear" w:color="auto" w:fill="F2F1EF"/>
            <w:tcMar>
              <w:top w:w="100" w:type="dxa"/>
              <w:bottom w:w="100" w:type="dxa"/>
              <w:left w:w="150" w:type="dxa"/>
              <w:right w:w="150" w:type="dxa"/>
            </w:tcMar>
          </w:tcPr>
          <w:p>
            <w:pPr>
              <w:spacing w:line="264" w:lineRule="auto"/>
            </w:pPr>
            <w:r>
              <w:rPr>
                <w:rFonts w:ascii="Arial" w:hAnsi="Arial"/>
                <w:b w:val="0"/>
                <w:color w:val="5B6470"/>
                <w:sz w:val="19"/>
              </w:rPr>
              <w:t>Unchanged</w:t>
            </w:r>
          </w:p>
        </w:tc>
        <w:tc>
          <w:tcPr>
            <w:tcW w:type="dxa" w:w="2304"/>
            <w:shd w:val="clear" w:color="auto" w:fill="F2F1EF"/>
            <w:tcMar>
              <w:top w:w="100" w:type="dxa"/>
              <w:bottom w:w="100" w:type="dxa"/>
              <w:left w:w="150" w:type="dxa"/>
              <w:right w:w="150" w:type="dxa"/>
            </w:tcMar>
          </w:tcPr>
          <w:p>
            <w:pPr>
              <w:spacing w:line="264" w:lineRule="auto"/>
            </w:pPr>
            <w:r>
              <w:rPr>
                <w:rFonts w:ascii="Arial" w:hAnsi="Arial"/>
                <w:b w:val="0"/>
                <w:color w:val="5B6470"/>
                <w:sz w:val="19"/>
              </w:rPr>
              <w:t>Sustained use, no access complaint or incident</w:t>
            </w:r>
          </w:p>
        </w:tc>
      </w:tr>
      <w:tr>
        <w:tc>
          <w:tcPr>
            <w:tcW w:type="dxa" w:w="1584"/>
            <w:shd w:val="clear" w:color="auto" w:fill="FFFFFF"/>
            <w:tcMar>
              <w:top w:w="100" w:type="dxa"/>
              <w:bottom w:w="100" w:type="dxa"/>
              <w:left w:w="150" w:type="dxa"/>
              <w:right w:w="150" w:type="dxa"/>
            </w:tcMar>
          </w:tcPr>
          <w:p>
            <w:pPr>
              <w:spacing w:line="264" w:lineRule="auto"/>
            </w:pPr>
            <w:r>
              <w:rPr>
                <w:rFonts w:ascii="Arial" w:hAnsi="Arial"/>
                <w:b/>
                <w:color w:val="1A1A1A"/>
                <w:sz w:val="19"/>
              </w:rPr>
              <w:t>Expand 1</w:t>
            </w:r>
          </w:p>
        </w:tc>
        <w:tc>
          <w:tcPr>
            <w:tcW w:type="dxa" w:w="3744"/>
            <w:shd w:val="clear" w:color="auto" w:fill="FFFFFF"/>
            <w:tcMar>
              <w:top w:w="100" w:type="dxa"/>
              <w:bottom w:w="100" w:type="dxa"/>
              <w:left w:w="150" w:type="dxa"/>
              <w:right w:w="150" w:type="dxa"/>
            </w:tcMar>
          </w:tcPr>
          <w:p>
            <w:pPr>
              <w:spacing w:line="264" w:lineRule="auto"/>
            </w:pPr>
            <w:r>
              <w:rPr>
                <w:rFonts w:ascii="Arial" w:hAnsi="Arial"/>
                <w:b w:val="0"/>
                <w:color w:val="5B6470"/>
                <w:sz w:val="19"/>
              </w:rPr>
              <w:t>Add a drafted next-action suggestion, human-approved before it's sent</w:t>
            </w:r>
          </w:p>
        </w:tc>
        <w:tc>
          <w:tcPr>
            <w:tcW w:type="dxa" w:w="2736"/>
            <w:shd w:val="clear" w:color="auto" w:fill="FFFFFF"/>
            <w:tcMar>
              <w:top w:w="100" w:type="dxa"/>
              <w:bottom w:w="100" w:type="dxa"/>
              <w:left w:w="150" w:type="dxa"/>
              <w:right w:w="150" w:type="dxa"/>
            </w:tcMar>
          </w:tcPr>
          <w:p>
            <w:pPr>
              <w:spacing w:line="264" w:lineRule="auto"/>
            </w:pPr>
            <w:r>
              <w:rPr>
                <w:rFonts w:ascii="Arial" w:hAnsi="Arial"/>
                <w:b w:val="0"/>
                <w:color w:val="5B6470"/>
                <w:sz w:val="19"/>
              </w:rPr>
              <w:t>+1 narrow write scope, requested only after trust earned</w:t>
            </w:r>
          </w:p>
        </w:tc>
        <w:tc>
          <w:tcPr>
            <w:tcW w:type="dxa" w:w="2304"/>
            <w:shd w:val="clear" w:color="auto" w:fill="FFFFFF"/>
            <w:tcMar>
              <w:top w:w="100" w:type="dxa"/>
              <w:bottom w:w="100" w:type="dxa"/>
              <w:left w:w="150" w:type="dxa"/>
              <w:right w:w="150" w:type="dxa"/>
            </w:tcMar>
          </w:tcPr>
          <w:p>
            <w:pPr>
              <w:spacing w:line="264" w:lineRule="auto"/>
            </w:pPr>
            <w:r>
              <w:rPr>
                <w:rFonts w:ascii="Arial" w:hAnsi="Arial"/>
                <w:b w:val="0"/>
                <w:color w:val="5B6470"/>
                <w:sz w:val="19"/>
              </w:rPr>
              <w:t>Drafts accepted often enough to save real time</w:t>
            </w:r>
          </w:p>
        </w:tc>
      </w:tr>
      <w:tr>
        <w:tc>
          <w:tcPr>
            <w:tcW w:type="dxa" w:w="1584"/>
            <w:shd w:val="clear" w:color="auto" w:fill="F2F1EF"/>
            <w:tcMar>
              <w:top w:w="100" w:type="dxa"/>
              <w:bottom w:w="100" w:type="dxa"/>
              <w:left w:w="150" w:type="dxa"/>
              <w:right w:w="150" w:type="dxa"/>
            </w:tcMar>
          </w:tcPr>
          <w:p>
            <w:pPr>
              <w:spacing w:line="264" w:lineRule="auto"/>
            </w:pPr>
            <w:r>
              <w:rPr>
                <w:rFonts w:ascii="Arial" w:hAnsi="Arial"/>
                <w:b/>
                <w:color w:val="1A1A1A"/>
                <w:sz w:val="19"/>
              </w:rPr>
              <w:t>Expand 2</w:t>
            </w:r>
          </w:p>
        </w:tc>
        <w:tc>
          <w:tcPr>
            <w:tcW w:type="dxa" w:w="3744"/>
            <w:shd w:val="clear" w:color="auto" w:fill="F2F1EF"/>
            <w:tcMar>
              <w:top w:w="100" w:type="dxa"/>
              <w:bottom w:w="100" w:type="dxa"/>
              <w:left w:w="150" w:type="dxa"/>
              <w:right w:w="150" w:type="dxa"/>
            </w:tcMar>
          </w:tcPr>
          <w:p>
            <w:pPr>
              <w:spacing w:line="264" w:lineRule="auto"/>
            </w:pPr>
            <w:r>
              <w:rPr>
                <w:rFonts w:ascii="Arial" w:hAnsi="Arial"/>
                <w:b w:val="0"/>
                <w:color w:val="5B6470"/>
                <w:sz w:val="19"/>
              </w:rPr>
              <w:t>Write-back to system of record for approved actions; adjacent workflows</w:t>
            </w:r>
          </w:p>
        </w:tc>
        <w:tc>
          <w:tcPr>
            <w:tcW w:type="dxa" w:w="2736"/>
            <w:shd w:val="clear" w:color="auto" w:fill="F2F1EF"/>
            <w:tcMar>
              <w:top w:w="100" w:type="dxa"/>
              <w:bottom w:w="100" w:type="dxa"/>
              <w:left w:w="150" w:type="dxa"/>
              <w:right w:w="150" w:type="dxa"/>
            </w:tcMar>
          </w:tcPr>
          <w:p>
            <w:pPr>
              <w:spacing w:line="264" w:lineRule="auto"/>
            </w:pPr>
            <w:r>
              <w:rPr>
                <w:rFonts w:ascii="Arial" w:hAnsi="Arial"/>
                <w:b w:val="0"/>
                <w:color w:val="5B6470"/>
                <w:sz w:val="19"/>
              </w:rPr>
              <w:t>Scoped, audited, reversible write-back</w:t>
            </w:r>
          </w:p>
        </w:tc>
        <w:tc>
          <w:tcPr>
            <w:tcW w:type="dxa" w:w="2304"/>
            <w:shd w:val="clear" w:color="auto" w:fill="F2F1EF"/>
            <w:tcMar>
              <w:top w:w="100" w:type="dxa"/>
              <w:bottom w:w="100" w:type="dxa"/>
              <w:left w:w="150" w:type="dxa"/>
              <w:right w:w="150" w:type="dxa"/>
            </w:tcMar>
          </w:tcPr>
          <w:p>
            <w:pPr>
              <w:spacing w:line="264" w:lineRule="auto"/>
            </w:pPr>
            <w:r>
              <w:rPr>
                <w:rFonts w:ascii="Arial" w:hAnsi="Arial"/>
                <w:b w:val="0"/>
                <w:color w:val="5B6470"/>
                <w:sz w:val="19"/>
              </w:rPr>
              <w:t>Renewal, manager pull for a second workflow</w:t>
            </w:r>
          </w:p>
        </w:tc>
      </w:tr>
      <w:tr>
        <w:tc>
          <w:tcPr>
            <w:tcW w:type="dxa" w:w="1584"/>
            <w:shd w:val="clear" w:color="auto" w:fill="FFFFFF"/>
            <w:tcMar>
              <w:top w:w="100" w:type="dxa"/>
              <w:bottom w:w="100" w:type="dxa"/>
              <w:left w:w="150" w:type="dxa"/>
              <w:right w:w="150" w:type="dxa"/>
            </w:tcMar>
          </w:tcPr>
          <w:p>
            <w:pPr>
              <w:spacing w:line="264" w:lineRule="auto"/>
            </w:pPr>
            <w:r>
              <w:rPr>
                <w:rFonts w:ascii="Arial" w:hAnsi="Arial"/>
                <w:b/>
                <w:color w:val="1A1A1A"/>
                <w:sz w:val="19"/>
              </w:rPr>
              <w:t>Platform (yr 2–3)</w:t>
            </w:r>
          </w:p>
        </w:tc>
        <w:tc>
          <w:tcPr>
            <w:tcW w:type="dxa" w:w="3744"/>
            <w:shd w:val="clear" w:color="auto" w:fill="FFFFFF"/>
            <w:tcMar>
              <w:top w:w="100" w:type="dxa"/>
              <w:bottom w:w="100" w:type="dxa"/>
              <w:left w:w="150" w:type="dxa"/>
              <w:right w:w="150" w:type="dxa"/>
            </w:tcMar>
          </w:tcPr>
          <w:p>
            <w:pPr>
              <w:spacing w:line="264" w:lineRule="auto"/>
            </w:pPr>
            <w:r>
              <w:rPr>
                <w:rFonts w:ascii="Arial" w:hAnsi="Arial"/>
                <w:b w:val="0"/>
                <w:color w:val="5B6470"/>
                <w:sz w:val="19"/>
              </w:rPr>
              <w:t>Adjacent Customer Ops workflows, same trust-graduated model replayed</w:t>
            </w:r>
          </w:p>
        </w:tc>
        <w:tc>
          <w:tcPr>
            <w:tcW w:type="dxa" w:w="2736"/>
            <w:shd w:val="clear" w:color="auto" w:fill="FFFFFF"/>
            <w:tcMar>
              <w:top w:w="100" w:type="dxa"/>
              <w:bottom w:w="100" w:type="dxa"/>
              <w:left w:w="150" w:type="dxa"/>
              <w:right w:w="150" w:type="dxa"/>
            </w:tcMar>
          </w:tcPr>
          <w:p>
            <w:pPr>
              <w:spacing w:line="264" w:lineRule="auto"/>
            </w:pPr>
            <w:r>
              <w:rPr>
                <w:rFonts w:ascii="Arial" w:hAnsi="Arial"/>
                <w:b w:val="0"/>
                <w:color w:val="5B6470"/>
                <w:sz w:val="19"/>
              </w:rPr>
              <w:t>Same model per new workflow</w:t>
            </w:r>
          </w:p>
        </w:tc>
        <w:tc>
          <w:tcPr>
            <w:tcW w:type="dxa" w:w="2304"/>
            <w:shd w:val="clear" w:color="auto" w:fill="FFFFFF"/>
            <w:tcMar>
              <w:top w:w="100" w:type="dxa"/>
              <w:bottom w:w="100" w:type="dxa"/>
              <w:left w:w="150" w:type="dxa"/>
              <w:right w:w="150" w:type="dxa"/>
            </w:tcMar>
          </w:tcPr>
          <w:p>
            <w:pPr>
              <w:spacing w:line="264" w:lineRule="auto"/>
            </w:pPr>
            <w:r>
              <w:rPr>
                <w:rFonts w:ascii="Arial" w:hAnsi="Arial"/>
                <w:b w:val="0"/>
                <w:color w:val="5B6470"/>
                <w:sz w:val="19"/>
              </w:rPr>
              <w:t>Expansion without a bespoke project each time</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BEBD9"/>
            <w:tcMar>
              <w:top w:w="160" w:type="dxa"/>
              <w:bottom w:w="160" w:type="dxa"/>
              <w:left w:w="220" w:type="dxa"/>
              <w:right w:w="220" w:type="dxa"/>
            </w:tcMar>
          </w:tcPr>
          <w:p>
            <w:pPr>
              <w:spacing w:line="276" w:lineRule="auto"/>
            </w:pPr>
            <w:r>
              <w:rPr>
                <w:rFonts w:ascii="Arial" w:hAnsi="Arial"/>
                <w:b/>
                <w:color w:val="8A480B"/>
                <w:sz w:val="19"/>
              </w:rPr>
              <w:t xml:space="preserve">BUYER AND APPROVERS, UNCHANGED FROM V1   </w:t>
            </w:r>
            <w:r>
              <w:rPr>
                <w:rFonts w:ascii="Arial" w:hAnsi="Arial"/>
                <w:b/>
                <w:color w:val="1A1A1A"/>
                <w:sz w:val="21"/>
              </w:rPr>
              <w:t>Head/VP of Support or Customer Operations buys; Support Ops operates; IT, security and (beyond read-only) procurement approve. Starting read-only means the hardest approver has almost nothing to review on day one.</w:t>
            </w:r>
          </w:p>
        </w:tc>
      </w:tr>
    </w:tbl>
    <w:p>
      <w:pPr>
        <w:spacing w:after="40"/>
      </w:pPr>
    </w:p>
    <w:p>
      <w:r>
        <w:br w:type="page"/>
      </w:r>
    </w:p>
    <w:p>
      <w:pPr>
        <w:spacing w:after="40"/>
      </w:pPr>
      <w:r>
        <w:rPr>
          <w:rFonts w:ascii="Arial" w:hAnsi="Arial"/>
          <w:b/>
          <w:color w:val="B56012"/>
          <w:sz w:val="19"/>
        </w:rPr>
        <w:t>07 · WHAT'S STILL UNPROVEN</w:t>
      </w:r>
    </w:p>
    <w:p>
      <w:pPr>
        <w:spacing w:after="200" w:before="40"/>
      </w:pPr>
      <w:r>
        <w:rPr>
          <w:rFonts w:ascii="Arial" w:hAnsi="Arial"/>
          <w:b/>
          <w:color w:val="1A1A1A"/>
          <w:sz w:val="44"/>
        </w:rPr>
        <w:t>Carried forward honestly</w:t>
      </w:r>
    </w:p>
    <w:p>
      <w:pPr>
        <w:spacing w:after="80" w:line="276" w:lineRule="auto"/>
        <w:ind w:left="280"/>
      </w:pPr>
      <w:r>
        <w:rPr>
          <w:rFonts w:ascii="Arial" w:hAnsi="Arial"/>
          <w:b/>
          <w:color w:val="B56012"/>
          <w:sz w:val="21"/>
        </w:rPr>
        <w:t xml:space="preserve">—  </w:t>
      </w:r>
      <w:r>
        <w:rPr>
          <w:rFonts w:ascii="Arial" w:hAnsi="Arial"/>
          <w:color w:val="1A1A1A"/>
          <w:sz w:val="21"/>
        </w:rPr>
        <w:t>Interview sample is still 4 of the requested 8 minimum — disclosed the same way v1 disclosed it.</w:t>
      </w:r>
    </w:p>
    <w:p>
      <w:pPr>
        <w:spacing w:after="80" w:line="276" w:lineRule="auto"/>
        <w:ind w:left="280"/>
      </w:pPr>
      <w:r>
        <w:rPr>
          <w:rFonts w:ascii="Arial" w:hAnsi="Arial"/>
          <w:b/>
          <w:color w:val="B56012"/>
          <w:sz w:val="21"/>
        </w:rPr>
        <w:t xml:space="preserve">—  </w:t>
      </w:r>
      <w:r>
        <w:rPr>
          <w:rFonts w:ascii="Arial" w:hAnsi="Arial"/>
          <w:color w:val="1A1A1A"/>
          <w:sz w:val="21"/>
        </w:rPr>
        <w:t>The leading workflow (context/handoff) has 2 of 4 interview mentions against the interview guide's own 4-participant threshold.</w:t>
      </w:r>
    </w:p>
    <w:p>
      <w:pPr>
        <w:spacing w:after="80" w:line="276" w:lineRule="auto"/>
        <w:ind w:left="280"/>
      </w:pPr>
      <w:r>
        <w:rPr>
          <w:rFonts w:ascii="Arial" w:hAnsi="Arial"/>
          <w:b/>
          <w:color w:val="B56012"/>
          <w:sz w:val="21"/>
        </w:rPr>
        <w:t xml:space="preserve">—  </w:t>
      </w:r>
      <w:r>
        <w:rPr>
          <w:rFonts w:ascii="Arial" w:hAnsi="Arial"/>
          <w:color w:val="1A1A1A"/>
          <w:sz w:val="21"/>
        </w:rPr>
        <w:t>No confirmed economic buyer, no price point, no proposed-product pilot commitment in any interview.</w:t>
      </w:r>
    </w:p>
    <w:p>
      <w:pPr>
        <w:spacing w:after="80" w:line="276" w:lineRule="auto"/>
        <w:ind w:left="280"/>
      </w:pPr>
      <w:r>
        <w:rPr>
          <w:rFonts w:ascii="Arial" w:hAnsi="Arial"/>
          <w:b/>
          <w:color w:val="B56012"/>
          <w:sz w:val="21"/>
        </w:rPr>
        <w:t xml:space="preserve">—  </w:t>
      </w:r>
      <w:r>
        <w:rPr>
          <w:rFonts w:ascii="Arial" w:hAnsi="Arial"/>
          <w:color w:val="1A1A1A"/>
          <w:sz w:val="21"/>
        </w:rPr>
        <w:t>The bottom-up estimate's vertical-share input (10–20%) is a labeled assumption, not a sourced figure.</w:t>
      </w:r>
    </w:p>
    <w:p>
      <w:pPr>
        <w:spacing w:after="80" w:line="276" w:lineRule="auto"/>
        <w:ind w:left="280"/>
      </w:pPr>
      <w:r>
        <w:rPr>
          <w:rFonts w:ascii="Arial" w:hAnsi="Arial"/>
          <w:b/>
          <w:color w:val="B56012"/>
          <w:sz w:val="21"/>
        </w:rPr>
        <w:t xml:space="preserve">—  </w:t>
      </w:r>
      <w:r>
        <w:rPr>
          <w:rFonts w:ascii="Arial" w:hAnsi="Arial"/>
          <w:color w:val="1A1A1A"/>
          <w:sz w:val="21"/>
        </w:rPr>
        <w:t>All four of v1's interview decision gates were unmet; re-deriving the strategy from the same evidence doesn't change that arithmetic — they're still unmet here.</w:t>
      </w:r>
    </w:p>
    <w:p>
      <w:pPr>
        <w:spacing w:before="280" w:after="120"/>
      </w:pPr>
      <w:r>
        <w:rPr>
          <w:rFonts w:ascii="Arial" w:hAnsi="Arial"/>
          <w:b/>
          <w:color w:val="8A480B"/>
          <w:sz w:val="28"/>
        </w:rPr>
        <w:t>Evidence index</w:t>
      </w:r>
    </w:p>
    <w:p>
      <w:pPr>
        <w:spacing w:after="160" w:line="283" w:lineRule="auto"/>
      </w:pPr>
      <w:r>
        <w:rPr>
          <w:rFonts w:ascii="Arial" w:hAnsi="Arial"/>
          <w:b w:val="0"/>
          <w:i w:val="0"/>
          <w:color w:val="5B6470"/>
          <w:sz w:val="19"/>
        </w:rPr>
        <w:t>This document cites back to the underlying research rather than duplicating it: secondary-research-report.md, source-inventory.csv, review-evidence.csv, interview notes P01–P04, and the competitive teardowns in the parent repository. The only new file behind this version is research/bottom-up-market-estimate.md.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left"/>
      </w:tabs>
    </w:pPr>
    <w:r/>
    <w:r>
      <w:rPr>
        <w:rFonts w:ascii="Arial" w:hAnsi="Arial"/>
        <w:color w:val="5B6470"/>
        <w:sz w:val="17"/>
      </w:rPr>
      <w:t>Airtribe B2B Product Strategy — v2</w:t>
    </w:r>
    <w:r>
      <w:tab/>
    </w:r>
    <w:r>
      <w:rPr>
        <w:sz w:val="17"/>
        <w:color w:val="5B647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