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B56012"/>
          <w:sz w:val="19"/>
        </w:rPr>
        <w:t>AIRTRIBE  ·  B2B PRODUCT STRATEGY</w:t>
      </w:r>
    </w:p>
    <w:p>
      <w:pPr>
        <w:spacing w:after="200" w:before="40"/>
      </w:pPr>
      <w:r>
        <w:rPr>
          <w:rFonts w:ascii="Arial" w:hAnsi="Arial"/>
          <w:b/>
          <w:color w:val="1A1A1A"/>
          <w:sz w:val="52"/>
        </w:rPr>
        <w:t>Earn the platform. Don't announce it.</w:t>
      </w:r>
    </w:p>
    <w:p>
      <w:pPr>
        <w:spacing w:before="80" w:after="200"/>
        <w:pBdr>
          <w:bottom w:val="single" w:sz="18" w:space="1" w:color="B56012"/>
        </w:pBdr>
      </w:pPr>
    </w:p>
    <w:p>
      <w:pPr>
        <w:spacing w:after="280" w:line="283" w:lineRule="auto"/>
      </w:pPr>
      <w:r>
        <w:rPr>
          <w:rFonts w:ascii="Arial" w:hAnsi="Arial"/>
          <w:b w:val="0"/>
          <w:i w:val="0"/>
          <w:color w:val="5B6470"/>
          <w:sz w:val="23"/>
        </w:rPr>
        <w:t>A 2–3 year strategy for AI-powered Customer Operations, diagnosed from why the original mid-market motion adopted slower than expected — not a broad platform pitch reformatted.</w:t>
      </w:r>
    </w:p>
    <w:tbl>
      <w:tblPr>
        <w:tblW w:type="auto" w:w="0"/>
        <w:jc w:val="center"/>
        <w:tblLook w:firstColumn="1" w:firstRow="1" w:lastColumn="0" w:lastRow="0" w:noHBand="0" w:noVBand="1" w:val="04A0"/>
      </w:tblPr>
      <w:tblGrid>
        <w:gridCol w:w="9412"/>
      </w:tblGrid>
      <w:tr>
        <w:trPr>
          <w:cantSplit/>
        </w:trPr>
        <w:tc>
          <w:tcPr>
            <w:tcW w:type="dxa" w:w="9412"/>
            <w:shd w:val="clear" w:color="auto" w:fill="FBEBD9"/>
            <w:tcMar>
              <w:top w:w="160" w:type="dxa"/>
              <w:bottom w:w="160" w:type="dxa"/>
              <w:left w:w="220" w:type="dxa"/>
              <w:right w:w="220" w:type="dxa"/>
            </w:tcMar>
          </w:tcPr>
          <w:p>
            <w:pPr>
              <w:spacing w:line="276" w:lineRule="auto"/>
            </w:pPr>
            <w:r>
              <w:rPr>
                <w:rFonts w:ascii="Arial" w:hAnsi="Arial"/>
                <w:b/>
                <w:color w:val="8A480B"/>
                <w:sz w:val="19"/>
              </w:rPr>
              <w:t xml:space="preserve">RECOMMENDATION   </w:t>
            </w:r>
            <w:r>
              <w:rPr>
                <w:rFonts w:ascii="Arial" w:hAnsi="Arial"/>
                <w:b/>
                <w:color w:val="1A1A1A"/>
                <w:sz w:val="21"/>
              </w:rPr>
              <w:t>leadership is right that the destination is a comprehensive Customer Operations Platform — but naming it doesn't earn it. Land one narrow, low-trust workflow; prove it; expand only after it's earned. Do not claim a validated ICP, a confirmed buyer, willingness to pay, or a proven moat.</w:t>
            </w:r>
          </w:p>
        </w:tc>
      </w:tr>
    </w:tbl>
    <w:p>
      <w:pPr>
        <w:spacing w:after="40"/>
      </w:pPr>
    </w:p>
    <w:p>
      <w:pPr>
        <w:spacing w:after="80" w:line="283" w:lineRule="auto"/>
      </w:pPr>
      <w:r>
        <w:rPr>
          <w:rFonts w:ascii="Arial" w:hAnsi="Arial"/>
          <w:b w:val="0"/>
          <w:i/>
          <w:color w:val="5B6470"/>
          <w:sz w:val="18"/>
        </w:rPr>
        <w:t>Evidence base: 91 public evidence records (56 sources), 4 anonymized interviews, a four-vendor competitive teardown, and one bottom-up market analysis  ·  Research status: evidence-limited; interview saturation and buyer validation not achieved.</w:t>
      </w:r>
    </w:p>
    <w:p>
      <w:r>
        <w:br w:type="page"/>
      </w:r>
    </w:p>
    <w:p>
      <w:pPr>
        <w:spacing w:after="40"/>
      </w:pPr>
      <w:r>
        <w:rPr>
          <w:rFonts w:ascii="Arial" w:hAnsi="Arial"/>
          <w:b/>
          <w:color w:val="B56012"/>
          <w:sz w:val="19"/>
        </w:rPr>
        <w:t>01 · THE DIAGNOSIS</w:t>
      </w:r>
    </w:p>
    <w:p>
      <w:pPr>
        <w:spacing w:after="200" w:before="40"/>
      </w:pPr>
      <w:r>
        <w:rPr>
          <w:rFonts w:ascii="Arial" w:hAnsi="Arial"/>
          <w:b/>
          <w:color w:val="1A1A1A"/>
          <w:sz w:val="44"/>
        </w:rPr>
        <w:t>Why did the original motion stall?</w:t>
      </w:r>
    </w:p>
    <w:p>
      <w:pPr>
        <w:spacing w:after="160" w:line="283" w:lineRule="auto"/>
      </w:pPr>
      <w:r>
        <w:rPr>
          <w:rFonts w:ascii="Arial" w:hAnsi="Arial"/>
          <w:b w:val="0"/>
          <w:i w:val="0"/>
          <w:color w:val="1A1A1A"/>
          <w:sz w:val="21"/>
        </w:rPr>
        <w:t>The brief hands us a fact, not a footnote: mid-sized businesses (200–1,000 employees) were targeted first, and adoption was slower than expected. Four failure modes explain it, each traceable to evidence already on file.</w:t>
      </w:r>
    </w:p>
    <w:tbl>
      <w:tblPr>
        <w:tblW w:type="auto" w:w="0"/>
        <w:jc w:val="center"/>
        <w:tblLayout w:type="autofit"/>
        <w:tblLook w:firstColumn="1" w:firstRow="1" w:lastColumn="0" w:lastRow="0" w:noHBand="0" w:noVBand="1" w:val="04A0"/>
      </w:tblPr>
      <w:tblGrid>
        <w:gridCol w:w="3137"/>
        <w:gridCol w:w="3137"/>
        <w:gridCol w:w="3137"/>
      </w:tblGrid>
      <w:tr>
        <w:trPr>
          <w:cantSplit/>
        </w:trPr>
        <w:tc>
          <w:tcPr>
            <w:tcW w:type="dxa" w:w="2160"/>
            <w:shd w:val="clear" w:color="auto" w:fill="8A480B"/>
            <w:tcMar>
              <w:top w:w="90" w:type="dxa"/>
              <w:bottom w:w="90" w:type="dxa"/>
              <w:left w:w="150" w:type="dxa"/>
              <w:right w:w="150" w:type="dxa"/>
            </w:tcMar>
          </w:tcPr>
          <w:p>
            <w:r>
              <w:rPr>
                <w:rFonts w:ascii="Arial" w:hAnsi="Arial"/>
                <w:b/>
                <w:color w:val="FFFFFF"/>
                <w:sz w:val="18"/>
              </w:rPr>
              <w:t>FAILURE MODE</w:t>
            </w:r>
          </w:p>
        </w:tc>
        <w:tc>
          <w:tcPr>
            <w:tcW w:type="dxa" w:w="4896"/>
            <w:shd w:val="clear" w:color="auto" w:fill="8A480B"/>
            <w:tcMar>
              <w:top w:w="90" w:type="dxa"/>
              <w:bottom w:w="90" w:type="dxa"/>
              <w:left w:w="150" w:type="dxa"/>
              <w:right w:w="150" w:type="dxa"/>
            </w:tcMar>
          </w:tcPr>
          <w:p>
            <w:r>
              <w:rPr>
                <w:rFonts w:ascii="Arial" w:hAnsi="Arial"/>
                <w:b/>
                <w:color w:val="FFFFFF"/>
                <w:sz w:val="18"/>
              </w:rPr>
              <w:t>WHAT HAPPENED</w:t>
            </w:r>
          </w:p>
        </w:tc>
        <w:tc>
          <w:tcPr>
            <w:tcW w:type="dxa" w:w="3024"/>
            <w:shd w:val="clear" w:color="auto" w:fill="8A480B"/>
            <w:tcMar>
              <w:top w:w="90" w:type="dxa"/>
              <w:bottom w:w="90" w:type="dxa"/>
              <w:left w:w="150" w:type="dxa"/>
              <w:right w:w="150" w:type="dxa"/>
            </w:tcMar>
          </w:tcPr>
          <w:p>
            <w:r>
              <w:rPr>
                <w:rFonts w:ascii="Arial" w:hAnsi="Arial"/>
                <w:b/>
                <w:color w:val="FFFFFF"/>
                <w:sz w:val="18"/>
              </w:rPr>
              <w:t>EVIDENCE</w:t>
            </w:r>
          </w:p>
        </w:tc>
      </w:tr>
      <w:tr>
        <w:trPr>
          <w:cantSplit/>
        </w:trPr>
        <w:tc>
          <w:tcPr>
            <w:tcW w:type="dxa" w:w="2160"/>
            <w:shd w:val="clear" w:color="auto" w:fill="FFFFFF"/>
            <w:tcMar>
              <w:top w:w="90" w:type="dxa"/>
              <w:bottom w:w="90" w:type="dxa"/>
              <w:left w:w="150" w:type="dxa"/>
              <w:right w:w="150" w:type="dxa"/>
            </w:tcMar>
          </w:tcPr>
          <w:p>
            <w:pPr>
              <w:spacing w:line="264" w:lineRule="auto"/>
            </w:pPr>
            <w:r>
              <w:rPr>
                <w:rFonts w:ascii="Arial" w:hAnsi="Arial"/>
                <w:b/>
                <w:color w:val="1A1A1A"/>
                <w:sz w:val="19"/>
              </w:rPr>
              <w:t>1. Positioning trap</w:t>
            </w:r>
          </w:p>
        </w:tc>
        <w:tc>
          <w:tcPr>
            <w:tcW w:type="dxa" w:w="4896"/>
            <w:shd w:val="clear" w:color="auto" w:fill="FFFFFF"/>
            <w:tcMar>
              <w:top w:w="90" w:type="dxa"/>
              <w:bottom w:w="90" w:type="dxa"/>
              <w:left w:w="150" w:type="dxa"/>
              <w:right w:w="150" w:type="dxa"/>
            </w:tcMar>
          </w:tcPr>
          <w:p>
            <w:pPr>
              <w:spacing w:line="264" w:lineRule="auto"/>
            </w:pPr>
            <w:r>
              <w:rPr>
                <w:rFonts w:ascii="Arial" w:hAnsi="Arial"/>
                <w:b w:val="0"/>
                <w:color w:val="5B6470"/>
                <w:sz w:val="19"/>
              </w:rPr>
              <w:t>Sold as “another AI chatbot.” Every incumbent already claims AI agents, integrations, human handoff and governance.</w:t>
            </w:r>
          </w:p>
        </w:tc>
        <w:tc>
          <w:tcPr>
            <w:tcW w:type="dxa" w:w="3024"/>
            <w:shd w:val="clear" w:color="auto" w:fill="FFFFFF"/>
            <w:tcMar>
              <w:top w:w="90" w:type="dxa"/>
              <w:bottom w:w="90" w:type="dxa"/>
              <w:left w:w="150" w:type="dxa"/>
              <w:right w:w="150" w:type="dxa"/>
            </w:tcMar>
          </w:tcPr>
          <w:p>
            <w:pPr>
              <w:spacing w:line="264" w:lineRule="auto"/>
            </w:pPr>
            <w:r>
              <w:rPr>
                <w:rFonts w:ascii="Arial" w:hAnsi="Arial"/>
                <w:b w:val="0"/>
                <w:color w:val="5B6470"/>
                <w:sz w:val="19"/>
              </w:rPr>
              <w:t>Secondary research; competitive teardown</w:t>
            </w:r>
          </w:p>
        </w:tc>
      </w:tr>
      <w:tr>
        <w:trPr>
          <w:cantSplit/>
        </w:trPr>
        <w:tc>
          <w:tcPr>
            <w:tcW w:type="dxa" w:w="2160"/>
            <w:shd w:val="clear" w:color="auto" w:fill="FBEBD9"/>
            <w:tcMar>
              <w:top w:w="90" w:type="dxa"/>
              <w:bottom w:w="90" w:type="dxa"/>
              <w:left w:w="150" w:type="dxa"/>
              <w:right w:w="150" w:type="dxa"/>
            </w:tcMar>
          </w:tcPr>
          <w:p>
            <w:pPr>
              <w:spacing w:line="264" w:lineRule="auto"/>
            </w:pPr>
            <w:r>
              <w:rPr>
                <w:rFonts w:ascii="Arial" w:hAnsi="Arial"/>
                <w:b/>
                <w:color w:val="1A1A1A"/>
                <w:sz w:val="19"/>
              </w:rPr>
              <w:t>2. Access-and-trust veto</w:t>
            </w:r>
          </w:p>
        </w:tc>
        <w:tc>
          <w:tcPr>
            <w:tcW w:type="dxa" w:w="4896"/>
            <w:shd w:val="clear" w:color="auto" w:fill="FBEBD9"/>
            <w:tcMar>
              <w:top w:w="90" w:type="dxa"/>
              <w:bottom w:w="90" w:type="dxa"/>
              <w:left w:w="150" w:type="dxa"/>
              <w:right w:w="150" w:type="dxa"/>
            </w:tcMar>
          </w:tcPr>
          <w:p>
            <w:pPr>
              <w:spacing w:line="264" w:lineRule="auto"/>
            </w:pPr>
            <w:r>
              <w:rPr>
                <w:rFonts w:ascii="Arial" w:hAnsi="Arial"/>
                <w:b w:val="0"/>
                <w:color w:val="5B6470"/>
                <w:sz w:val="19"/>
              </w:rPr>
              <w:t>IT/security can kill a deal before the product is evaluated.</w:t>
            </w:r>
          </w:p>
        </w:tc>
        <w:tc>
          <w:tcPr>
            <w:tcW w:type="dxa" w:w="3024"/>
            <w:shd w:val="clear" w:color="auto" w:fill="FBEBD9"/>
            <w:tcMar>
              <w:top w:w="90" w:type="dxa"/>
              <w:bottom w:w="90" w:type="dxa"/>
              <w:left w:w="150" w:type="dxa"/>
              <w:right w:w="150" w:type="dxa"/>
            </w:tcMar>
          </w:tcPr>
          <w:p>
            <w:pPr>
              <w:spacing w:line="264" w:lineRule="auto"/>
            </w:pPr>
            <w:r>
              <w:rPr>
                <w:rFonts w:ascii="Arial" w:hAnsi="Arial"/>
                <w:b w:val="0"/>
                <w:color w:val="5B6470"/>
                <w:sz w:val="19"/>
              </w:rPr>
              <w:t>P03 — pilot capped to 2 queues, write-back disabled</w:t>
            </w:r>
          </w:p>
        </w:tc>
      </w:tr>
      <w:tr>
        <w:trPr>
          <w:cantSplit/>
        </w:trPr>
        <w:tc>
          <w:tcPr>
            <w:tcW w:type="dxa" w:w="2160"/>
            <w:shd w:val="clear" w:color="auto" w:fill="FFFFFF"/>
            <w:tcMar>
              <w:top w:w="90" w:type="dxa"/>
              <w:bottom w:w="90" w:type="dxa"/>
              <w:left w:w="150" w:type="dxa"/>
              <w:right w:w="150" w:type="dxa"/>
            </w:tcMar>
          </w:tcPr>
          <w:p>
            <w:pPr>
              <w:spacing w:line="264" w:lineRule="auto"/>
            </w:pPr>
            <w:r>
              <w:rPr>
                <w:rFonts w:ascii="Arial" w:hAnsi="Arial"/>
                <w:b/>
                <w:color w:val="1A1A1A"/>
                <w:sz w:val="19"/>
              </w:rPr>
              <w:t>3. Bundled-AI trap</w:t>
            </w:r>
          </w:p>
        </w:tc>
        <w:tc>
          <w:tcPr>
            <w:tcW w:type="dxa" w:w="4896"/>
            <w:shd w:val="clear" w:color="auto" w:fill="FFFFFF"/>
            <w:tcMar>
              <w:top w:w="90" w:type="dxa"/>
              <w:bottom w:w="90" w:type="dxa"/>
              <w:left w:w="150" w:type="dxa"/>
              <w:right w:w="150" w:type="dxa"/>
            </w:tcMar>
          </w:tcPr>
          <w:p>
            <w:pPr>
              <w:spacing w:line="264" w:lineRule="auto"/>
            </w:pPr>
            <w:r>
              <w:rPr>
                <w:rFonts w:ascii="Arial" w:hAnsi="Arial"/>
                <w:b w:val="0"/>
                <w:color w:val="5B6470"/>
                <w:sz w:val="19"/>
              </w:rPr>
              <w:t>Mid-market buyers compare a new vendor to the AI they already pay for.</w:t>
            </w:r>
          </w:p>
        </w:tc>
        <w:tc>
          <w:tcPr>
            <w:tcW w:type="dxa" w:w="3024"/>
            <w:shd w:val="clear" w:color="auto" w:fill="FFFFFF"/>
            <w:tcMar>
              <w:top w:w="90" w:type="dxa"/>
              <w:bottom w:w="90" w:type="dxa"/>
              <w:left w:w="150" w:type="dxa"/>
              <w:right w:w="150" w:type="dxa"/>
            </w:tcMar>
          </w:tcPr>
          <w:p>
            <w:pPr>
              <w:spacing w:line="264" w:lineRule="auto"/>
            </w:pPr>
            <w:r>
              <w:rPr>
                <w:rFonts w:ascii="Arial" w:hAnsi="Arial"/>
                <w:b w:val="0"/>
                <w:color w:val="5B6470"/>
                <w:sz w:val="19"/>
              </w:rPr>
              <w:t>Freshworks (S09): 36% stuck in pilots; 86% say AI adds workload</w:t>
            </w:r>
          </w:p>
        </w:tc>
      </w:tr>
      <w:tr>
        <w:trPr>
          <w:cantSplit/>
        </w:trPr>
        <w:tc>
          <w:tcPr>
            <w:tcW w:type="dxa" w:w="2160"/>
            <w:shd w:val="clear" w:color="auto" w:fill="FBEBD9"/>
            <w:tcMar>
              <w:top w:w="90" w:type="dxa"/>
              <w:bottom w:w="90" w:type="dxa"/>
              <w:left w:w="150" w:type="dxa"/>
              <w:right w:w="150" w:type="dxa"/>
            </w:tcMar>
          </w:tcPr>
          <w:p>
            <w:pPr>
              <w:spacing w:line="264" w:lineRule="auto"/>
            </w:pPr>
            <w:r>
              <w:rPr>
                <w:rFonts w:ascii="Arial" w:hAnsi="Arial"/>
                <w:b/>
                <w:color w:val="1A1A1A"/>
                <w:sz w:val="19"/>
              </w:rPr>
              <w:t>4. Workflow mismatch</w:t>
            </w:r>
          </w:p>
        </w:tc>
        <w:tc>
          <w:tcPr>
            <w:tcW w:type="dxa" w:w="4896"/>
            <w:shd w:val="clear" w:color="auto" w:fill="FBEBD9"/>
            <w:tcMar>
              <w:top w:w="90" w:type="dxa"/>
              <w:bottom w:w="90" w:type="dxa"/>
              <w:left w:w="150" w:type="dxa"/>
              <w:right w:w="150" w:type="dxa"/>
            </w:tcMar>
          </w:tcPr>
          <w:p>
            <w:pPr>
              <w:spacing w:line="264" w:lineRule="auto"/>
            </w:pPr>
            <w:r>
              <w:rPr>
                <w:rFonts w:ascii="Arial" w:hAnsi="Arial"/>
                <w:b w:val="0"/>
                <w:color w:val="5B6470"/>
                <w:sz w:val="19"/>
              </w:rPr>
              <w:t>Chat deflection was sold; the pain is back-office context work.</w:t>
            </w:r>
          </w:p>
        </w:tc>
        <w:tc>
          <w:tcPr>
            <w:tcW w:type="dxa" w:w="3024"/>
            <w:shd w:val="clear" w:color="auto" w:fill="FBEBD9"/>
            <w:tcMar>
              <w:top w:w="90" w:type="dxa"/>
              <w:bottom w:w="90" w:type="dxa"/>
              <w:left w:w="150" w:type="dxa"/>
              <w:right w:w="150" w:type="dxa"/>
            </w:tcMar>
          </w:tcPr>
          <w:p>
            <w:pPr>
              <w:spacing w:line="264" w:lineRule="auto"/>
            </w:pPr>
            <w:r>
              <w:rPr>
                <w:rFonts w:ascii="Arial" w:hAnsi="Arial"/>
                <w:b w:val="0"/>
                <w:color w:val="5B6470"/>
                <w:sz w:val="19"/>
              </w:rPr>
              <w:t>P01, P02, P04 describe manual cross-system reassembly</w:t>
            </w:r>
          </w:p>
        </w:tc>
      </w:tr>
    </w:tbl>
    <w:p>
      <w:pPr>
        <w:spacing w:after="40"/>
      </w:pPr>
    </w:p>
    <w:p>
      <w:pPr>
        <w:spacing w:after="160" w:line="283" w:lineRule="auto"/>
      </w:pPr>
      <w:r>
        <w:rPr>
          <w:rFonts w:ascii="Arial" w:hAnsi="Arial"/>
          <w:b w:val="0"/>
          <w:i/>
          <w:color w:val="5B6470"/>
          <w:sz w:val="21"/>
        </w:rPr>
        <w:t>None of these four is a new discovery in isolation — pieces of each already existed across the research. What matters is treating them as one connected diagnosis that drives every later choice.</w:t>
      </w:r>
    </w:p>
    <w:p>
      <w:pPr>
        <w:spacing w:before="280" w:after="120"/>
      </w:pPr>
      <w:r>
        <w:rPr>
          <w:rFonts w:ascii="Arial" w:hAnsi="Arial"/>
          <w:b/>
          <w:color w:val="8A480B"/>
          <w:sz w:val="28"/>
        </w:rPr>
        <w:t>02 · Evidence base and method — four layers, never mixed</w:t>
      </w:r>
    </w:p>
    <w:tbl>
      <w:tblPr>
        <w:tblW w:type="auto" w:w="0"/>
        <w:jc w:val="center"/>
        <w:tblLayout w:type="autofit"/>
        <w:tblLook w:firstColumn="1" w:firstRow="1" w:lastColumn="0" w:lastRow="0" w:noHBand="0" w:noVBand="1" w:val="04A0"/>
      </w:tblPr>
      <w:tblGrid>
        <w:gridCol w:w="4706"/>
        <w:gridCol w:w="4706"/>
      </w:tblGrid>
      <w:tr>
        <w:trPr>
          <w:cantSplit/>
        </w:trPr>
        <w:tc>
          <w:tcPr>
            <w:tcW w:type="dxa" w:w="1440"/>
            <w:shd w:val="clear" w:color="auto" w:fill="8A480B"/>
            <w:tcMar>
              <w:top w:w="90" w:type="dxa"/>
              <w:bottom w:w="90" w:type="dxa"/>
              <w:left w:w="150" w:type="dxa"/>
              <w:right w:w="150" w:type="dxa"/>
            </w:tcMar>
          </w:tcPr>
          <w:p>
            <w:r>
              <w:rPr>
                <w:rFonts w:ascii="Arial" w:hAnsi="Arial"/>
                <w:b/>
                <w:color w:val="FFFFFF"/>
                <w:sz w:val="18"/>
              </w:rPr>
              <w:t>COUNT</w:t>
            </w:r>
          </w:p>
        </w:tc>
        <w:tc>
          <w:tcPr>
            <w:tcW w:type="dxa" w:w="8640"/>
            <w:shd w:val="clear" w:color="auto" w:fill="8A480B"/>
            <w:tcMar>
              <w:top w:w="90" w:type="dxa"/>
              <w:bottom w:w="90" w:type="dxa"/>
              <w:left w:w="150" w:type="dxa"/>
              <w:right w:w="150" w:type="dxa"/>
            </w:tcMar>
          </w:tcPr>
          <w:p>
            <w:r>
              <w:rPr>
                <w:rFonts w:ascii="Arial" w:hAnsi="Arial"/>
                <w:b/>
                <w:color w:val="FFFFFF"/>
                <w:sz w:val="18"/>
              </w:rPr>
              <w:t>MEANING</w:t>
            </w:r>
          </w:p>
        </w:tc>
      </w:tr>
      <w:tr>
        <w:trPr>
          <w:cantSplit/>
        </w:trPr>
        <w:tc>
          <w:tcPr>
            <w:tcW w:type="dxa" w:w="1440"/>
            <w:shd w:val="clear" w:color="auto" w:fill="FFFFFF"/>
            <w:tcMar>
              <w:top w:w="90" w:type="dxa"/>
              <w:bottom w:w="90" w:type="dxa"/>
              <w:left w:w="150" w:type="dxa"/>
              <w:right w:w="150" w:type="dxa"/>
            </w:tcMar>
          </w:tcPr>
          <w:p>
            <w:pPr>
              <w:spacing w:line="264" w:lineRule="auto"/>
            </w:pPr>
            <w:r>
              <w:rPr>
                <w:rFonts w:ascii="Arial" w:hAnsi="Arial"/>
                <w:b/>
                <w:color w:val="1A1A1A"/>
                <w:sz w:val="19"/>
              </w:rPr>
              <w:t>65</w:t>
            </w:r>
          </w:p>
        </w:tc>
        <w:tc>
          <w:tcPr>
            <w:tcW w:type="dxa" w:w="8640"/>
            <w:shd w:val="clear" w:color="auto" w:fill="FFFFFF"/>
            <w:tcMar>
              <w:top w:w="90" w:type="dxa"/>
              <w:bottom w:w="90" w:type="dxa"/>
              <w:left w:w="150" w:type="dxa"/>
              <w:right w:w="150" w:type="dxa"/>
            </w:tcMar>
          </w:tcPr>
          <w:p>
            <w:pPr>
              <w:spacing w:line="264" w:lineRule="auto"/>
            </w:pPr>
            <w:r>
              <w:rPr>
                <w:rFonts w:ascii="Arial" w:hAnsi="Arial"/>
                <w:b w:val="0"/>
                <w:color w:val="5B6470"/>
                <w:sz w:val="19"/>
              </w:rPr>
              <w:t>Source register entries: 64 external sources plus the assignment brief</w:t>
            </w:r>
          </w:p>
        </w:tc>
      </w:tr>
      <w:tr>
        <w:trPr>
          <w:cantSplit/>
        </w:trPr>
        <w:tc>
          <w:tcPr>
            <w:tcW w:type="dxa" w:w="1440"/>
            <w:shd w:val="clear" w:color="auto" w:fill="FBEBD9"/>
            <w:tcMar>
              <w:top w:w="90" w:type="dxa"/>
              <w:bottom w:w="90" w:type="dxa"/>
              <w:left w:w="150" w:type="dxa"/>
              <w:right w:w="150" w:type="dxa"/>
            </w:tcMar>
          </w:tcPr>
          <w:p>
            <w:pPr>
              <w:spacing w:line="264" w:lineRule="auto"/>
            </w:pPr>
            <w:r>
              <w:rPr>
                <w:rFonts w:ascii="Arial" w:hAnsi="Arial"/>
                <w:b/>
                <w:color w:val="1A1A1A"/>
                <w:sz w:val="19"/>
              </w:rPr>
              <w:t>56</w:t>
            </w:r>
          </w:p>
        </w:tc>
        <w:tc>
          <w:tcPr>
            <w:tcW w:type="dxa" w:w="8640"/>
            <w:shd w:val="clear" w:color="auto" w:fill="FBEBD9"/>
            <w:tcMar>
              <w:top w:w="90" w:type="dxa"/>
              <w:bottom w:w="90" w:type="dxa"/>
              <w:left w:w="150" w:type="dxa"/>
              <w:right w:w="150" w:type="dxa"/>
            </w:tcMar>
          </w:tcPr>
          <w:p>
            <w:pPr>
              <w:spacing w:line="264" w:lineRule="auto"/>
            </w:pPr>
            <w:r>
              <w:rPr>
                <w:rFonts w:ascii="Arial" w:hAnsi="Arial"/>
                <w:b w:val="0"/>
                <w:color w:val="5B6470"/>
                <w:sz w:val="19"/>
              </w:rPr>
              <w:t>Unique source IDs referenced by the 91 evidence records</w:t>
            </w:r>
          </w:p>
        </w:tc>
      </w:tr>
      <w:tr>
        <w:trPr>
          <w:cantSplit/>
        </w:trPr>
        <w:tc>
          <w:tcPr>
            <w:tcW w:type="dxa" w:w="1440"/>
            <w:shd w:val="clear" w:color="auto" w:fill="FFFFFF"/>
            <w:tcMar>
              <w:top w:w="90" w:type="dxa"/>
              <w:bottom w:w="90" w:type="dxa"/>
              <w:left w:w="150" w:type="dxa"/>
              <w:right w:w="150" w:type="dxa"/>
            </w:tcMar>
          </w:tcPr>
          <w:p>
            <w:pPr>
              <w:spacing w:line="264" w:lineRule="auto"/>
            </w:pPr>
            <w:r>
              <w:rPr>
                <w:rFonts w:ascii="Arial" w:hAnsi="Arial"/>
                <w:b/>
                <w:color w:val="1A1A1A"/>
                <w:sz w:val="19"/>
              </w:rPr>
              <w:t>91</w:t>
            </w:r>
          </w:p>
        </w:tc>
        <w:tc>
          <w:tcPr>
            <w:tcW w:type="dxa" w:w="8640"/>
            <w:shd w:val="clear" w:color="auto" w:fill="FFFFFF"/>
            <w:tcMar>
              <w:top w:w="90" w:type="dxa"/>
              <w:bottom w:w="90" w:type="dxa"/>
              <w:left w:w="150" w:type="dxa"/>
              <w:right w:w="150" w:type="dxa"/>
            </w:tcMar>
          </w:tcPr>
          <w:p>
            <w:pPr>
              <w:spacing w:line="264" w:lineRule="auto"/>
            </w:pPr>
            <w:r>
              <w:rPr>
                <w:rFonts w:ascii="Arial" w:hAnsi="Arial"/>
                <w:b w:val="0"/>
                <w:color w:val="5B6470"/>
                <w:sz w:val="19"/>
              </w:rPr>
              <w:t>Claim-level public evidence records with source URL, confidence and limitation</w:t>
            </w:r>
          </w:p>
        </w:tc>
      </w:tr>
      <w:tr>
        <w:trPr>
          <w:cantSplit/>
        </w:trPr>
        <w:tc>
          <w:tcPr>
            <w:tcW w:type="dxa" w:w="1440"/>
            <w:shd w:val="clear" w:color="auto" w:fill="FBEBD9"/>
            <w:tcMar>
              <w:top w:w="90" w:type="dxa"/>
              <w:bottom w:w="90" w:type="dxa"/>
              <w:left w:w="150" w:type="dxa"/>
              <w:right w:w="150" w:type="dxa"/>
            </w:tcMar>
          </w:tcPr>
          <w:p>
            <w:pPr>
              <w:spacing w:line="264" w:lineRule="auto"/>
            </w:pPr>
            <w:r>
              <w:rPr>
                <w:rFonts w:ascii="Arial" w:hAnsi="Arial"/>
                <w:b/>
                <w:color w:val="1A1A1A"/>
                <w:sz w:val="19"/>
              </w:rPr>
              <w:t>4</w:t>
            </w:r>
          </w:p>
        </w:tc>
        <w:tc>
          <w:tcPr>
            <w:tcW w:type="dxa" w:w="8640"/>
            <w:shd w:val="clear" w:color="auto" w:fill="FBEBD9"/>
            <w:tcMar>
              <w:top w:w="90" w:type="dxa"/>
              <w:bottom w:w="90" w:type="dxa"/>
              <w:left w:w="150" w:type="dxa"/>
              <w:right w:w="150" w:type="dxa"/>
            </w:tcMar>
          </w:tcPr>
          <w:p>
            <w:pPr>
              <w:spacing w:line="264" w:lineRule="auto"/>
            </w:pPr>
            <w:r>
              <w:rPr>
                <w:rFonts w:ascii="Arial" w:hAnsi="Arial"/>
                <w:b w:val="0"/>
                <w:color w:val="5B6470"/>
                <w:sz w:val="19"/>
              </w:rPr>
              <w:t>Interview records, maintained separately from public evidence</w:t>
            </w:r>
          </w:p>
        </w:tc>
      </w:tr>
    </w:tbl>
    <w:p>
      <w:pPr>
        <w:spacing w:after="40"/>
      </w:pPr>
    </w:p>
    <w:tbl>
      <w:tblPr>
        <w:tblW w:type="auto" w:w="0"/>
        <w:jc w:val="center"/>
        <w:tblLook w:firstColumn="1" w:firstRow="1" w:lastColumn="0" w:lastRow="0" w:noHBand="0" w:noVBand="1" w:val="04A0"/>
      </w:tblPr>
      <w:tblGrid>
        <w:gridCol w:w="9412"/>
      </w:tblGrid>
      <w:tr>
        <w:trPr>
          <w:cantSplit/>
        </w:trPr>
        <w:tc>
          <w:tcPr>
            <w:tcW w:type="dxa" w:w="9412"/>
            <w:shd w:val="clear" w:color="auto" w:fill="FBEBD9"/>
            <w:tcMar>
              <w:top w:w="160" w:type="dxa"/>
              <w:bottom w:w="160" w:type="dxa"/>
              <w:left w:w="220" w:type="dxa"/>
              <w:right w:w="220" w:type="dxa"/>
            </w:tcMar>
          </w:tcPr>
          <w:p>
            <w:pPr>
              <w:spacing w:line="276" w:lineRule="auto"/>
            </w:pPr>
            <w:r>
              <w:rPr>
                <w:rFonts w:ascii="Arial" w:hAnsi="Arial"/>
                <w:b/>
                <w:color w:val="8A480B"/>
                <w:sz w:val="19"/>
              </w:rPr>
              <w:t xml:space="preserve">INTEGRITY RULE   </w:t>
            </w:r>
            <w:r>
              <w:rPr>
                <w:rFonts w:ascii="Arial" w:hAnsi="Arial"/>
                <w:b/>
                <w:color w:val="1A1A1A"/>
                <w:sz w:val="21"/>
              </w:rPr>
              <w:t>no review post is treated as an interview; no vendor statistic is treated as universal market fact; no paraphrased interview note is presented as a verbatim quote. The competitive teardown keeps its own register within the same discipline — V (vendor claim), R (review signal), I (interview), H (synthesis), U (unresolved).</w:t>
            </w:r>
          </w:p>
        </w:tc>
      </w:tr>
    </w:tbl>
    <w:p>
      <w:pPr>
        <w:spacing w:after="40"/>
      </w:pPr>
    </w:p>
    <w:p>
      <w:r>
        <w:br w:type="page"/>
      </w:r>
    </w:p>
    <w:p>
      <w:pPr>
        <w:spacing w:after="40"/>
      </w:pPr>
      <w:r>
        <w:rPr>
          <w:rFonts w:ascii="Arial" w:hAnsi="Arial"/>
          <w:b/>
          <w:color w:val="B56012"/>
          <w:sz w:val="19"/>
        </w:rPr>
        <w:t>03 · CUSTOMER SEGMENT</w:t>
      </w:r>
    </w:p>
    <w:p>
      <w:pPr>
        <w:spacing w:after="200" w:before="40"/>
      </w:pPr>
      <w:r>
        <w:rPr>
          <w:rFonts w:ascii="Arial" w:hAnsi="Arial"/>
          <w:b/>
          <w:color w:val="1A1A1A"/>
          <w:sz w:val="44"/>
        </w:rPr>
        <w:t>Keep the size band. Narrow hard on who.</w:t>
      </w:r>
    </w:p>
    <w:tbl>
      <w:tblPr>
        <w:tblW w:type="auto" w:w="0"/>
        <w:jc w:val="center"/>
        <w:tblLayout w:type="autofit"/>
        <w:tblLook w:firstColumn="1" w:firstRow="1" w:lastColumn="0" w:lastRow="0" w:noHBand="0" w:noVBand="1" w:val="04A0"/>
      </w:tblPr>
      <w:tblGrid>
        <w:gridCol w:w="3137"/>
        <w:gridCol w:w="3137"/>
        <w:gridCol w:w="3137"/>
      </w:tblGrid>
      <w:tr>
        <w:trPr>
          <w:cantSplit/>
        </w:trPr>
        <w:tc>
          <w:tcPr>
            <w:tcW w:type="dxa" w:w="2016"/>
            <w:shd w:val="clear" w:color="auto" w:fill="8A480B"/>
            <w:tcMar>
              <w:top w:w="90" w:type="dxa"/>
              <w:bottom w:w="90" w:type="dxa"/>
              <w:left w:w="150" w:type="dxa"/>
              <w:right w:w="150" w:type="dxa"/>
            </w:tcMar>
          </w:tcPr>
          <w:p>
            <w:r>
              <w:rPr>
                <w:rFonts w:ascii="Arial" w:hAnsi="Arial"/>
                <w:b/>
                <w:color w:val="FFFFFF"/>
                <w:sz w:val="18"/>
              </w:rPr>
              <w:t>SEGMENT</w:t>
            </w:r>
          </w:p>
        </w:tc>
        <w:tc>
          <w:tcPr>
            <w:tcW w:type="dxa" w:w="4320"/>
            <w:shd w:val="clear" w:color="auto" w:fill="8A480B"/>
            <w:tcMar>
              <w:top w:w="90" w:type="dxa"/>
              <w:bottom w:w="90" w:type="dxa"/>
              <w:left w:w="150" w:type="dxa"/>
              <w:right w:w="150" w:type="dxa"/>
            </w:tcMar>
          </w:tcPr>
          <w:p>
            <w:r>
              <w:rPr>
                <w:rFonts w:ascii="Arial" w:hAnsi="Arial"/>
                <w:b/>
                <w:color w:val="FFFFFF"/>
                <w:sz w:val="18"/>
              </w:rPr>
              <w:t>PAIN EVIDENCE</w:t>
            </w:r>
          </w:p>
        </w:tc>
        <w:tc>
          <w:tcPr>
            <w:tcW w:type="dxa" w:w="3744"/>
            <w:shd w:val="clear" w:color="auto" w:fill="8A480B"/>
            <w:tcMar>
              <w:top w:w="90" w:type="dxa"/>
              <w:bottom w:w="90" w:type="dxa"/>
              <w:left w:w="150" w:type="dxa"/>
              <w:right w:w="150" w:type="dxa"/>
            </w:tcMar>
          </w:tcPr>
          <w:p>
            <w:r>
              <w:rPr>
                <w:rFonts w:ascii="Arial" w:hAnsi="Arial"/>
                <w:b/>
                <w:color w:val="FFFFFF"/>
                <w:sz w:val="18"/>
              </w:rPr>
              <w:t>WHY NOT</w:t>
            </w:r>
          </w:p>
        </w:tc>
      </w:tr>
      <w:tr>
        <w:trPr>
          <w:cantSplit/>
        </w:trPr>
        <w:tc>
          <w:tcPr>
            <w:tcW w:type="dxa" w:w="2016"/>
            <w:shd w:val="clear" w:color="auto" w:fill="FFFFFF"/>
            <w:tcMar>
              <w:top w:w="90" w:type="dxa"/>
              <w:bottom w:w="90" w:type="dxa"/>
              <w:left w:w="150" w:type="dxa"/>
              <w:right w:w="150" w:type="dxa"/>
            </w:tcMar>
          </w:tcPr>
          <w:p>
            <w:pPr>
              <w:spacing w:line="264" w:lineRule="auto"/>
            </w:pPr>
            <w:r>
              <w:rPr>
                <w:rFonts w:ascii="Arial" w:hAnsi="Arial"/>
                <w:b/>
                <w:color w:val="1A1A1A"/>
                <w:sz w:val="19"/>
              </w:rPr>
              <w:t>Enterprise</w:t>
            </w:r>
          </w:p>
        </w:tc>
        <w:tc>
          <w:tcPr>
            <w:tcW w:type="dxa" w:w="4320"/>
            <w:shd w:val="clear" w:color="auto" w:fill="FFFFFF"/>
            <w:tcMar>
              <w:top w:w="90" w:type="dxa"/>
              <w:bottom w:w="90" w:type="dxa"/>
              <w:left w:w="150" w:type="dxa"/>
              <w:right w:w="150" w:type="dxa"/>
            </w:tcMar>
          </w:tcPr>
          <w:p>
            <w:pPr>
              <w:spacing w:line="264" w:lineRule="auto"/>
            </w:pPr>
            <w:r>
              <w:rPr>
                <w:rFonts w:ascii="Arial" w:hAnsi="Arial"/>
                <w:b w:val="0"/>
                <w:color w:val="5B6470"/>
                <w:sz w:val="19"/>
              </w:rPr>
              <w:t>Most acute (P01 ~100–150 min/day; P02 4–6 hr waits)</w:t>
            </w:r>
          </w:p>
        </w:tc>
        <w:tc>
          <w:tcPr>
            <w:tcW w:type="dxa" w:w="3744"/>
            <w:shd w:val="clear" w:color="auto" w:fill="FFFFFF"/>
            <w:tcMar>
              <w:top w:w="90" w:type="dxa"/>
              <w:bottom w:w="90" w:type="dxa"/>
              <w:left w:w="150" w:type="dxa"/>
              <w:right w:w="150" w:type="dxa"/>
            </w:tcMar>
          </w:tcPr>
          <w:p>
            <w:pPr>
              <w:spacing w:line="264" w:lineRule="auto"/>
            </w:pPr>
            <w:r>
              <w:rPr>
                <w:rFonts w:ascii="Arial" w:hAnsi="Arial"/>
                <w:b w:val="0"/>
                <w:color w:val="5B6470"/>
                <w:sz w:val="19"/>
              </w:rPr>
              <w:t>P02 is regulated banking — maximizes the access veto. P01 is a multi-client BPO — no stack owner.</w:t>
            </w:r>
          </w:p>
        </w:tc>
      </w:tr>
      <w:tr>
        <w:trPr>
          <w:cantSplit/>
        </w:trPr>
        <w:tc>
          <w:tcPr>
            <w:tcW w:type="dxa" w:w="2016"/>
            <w:shd w:val="clear" w:color="auto" w:fill="FBEBD9"/>
            <w:tcMar>
              <w:top w:w="90" w:type="dxa"/>
              <w:bottom w:w="90" w:type="dxa"/>
              <w:left w:w="150" w:type="dxa"/>
              <w:right w:w="150" w:type="dxa"/>
            </w:tcMar>
          </w:tcPr>
          <w:p>
            <w:pPr>
              <w:spacing w:line="264" w:lineRule="auto"/>
            </w:pPr>
            <w:r>
              <w:rPr>
                <w:rFonts w:ascii="Arial" w:hAnsi="Arial"/>
                <w:b/>
                <w:color w:val="1A1A1A"/>
                <w:sz w:val="19"/>
              </w:rPr>
              <w:t>SMB / startups</w:t>
            </w:r>
          </w:p>
        </w:tc>
        <w:tc>
          <w:tcPr>
            <w:tcW w:type="dxa" w:w="4320"/>
            <w:shd w:val="clear" w:color="auto" w:fill="FBEBD9"/>
            <w:tcMar>
              <w:top w:w="90" w:type="dxa"/>
              <w:bottom w:w="90" w:type="dxa"/>
              <w:left w:w="150" w:type="dxa"/>
              <w:right w:w="150" w:type="dxa"/>
            </w:tcMar>
          </w:tcPr>
          <w:p>
            <w:pPr>
              <w:spacing w:line="264" w:lineRule="auto"/>
            </w:pPr>
            <w:r>
              <w:rPr>
                <w:rFonts w:ascii="Arial" w:hAnsi="Arial"/>
                <w:b w:val="0"/>
                <w:color w:val="5B6470"/>
                <w:sz w:val="19"/>
              </w:rPr>
              <w:t>Usually one consolidated tool</w:t>
            </w:r>
          </w:p>
        </w:tc>
        <w:tc>
          <w:tcPr>
            <w:tcW w:type="dxa" w:w="3744"/>
            <w:shd w:val="clear" w:color="auto" w:fill="FBEBD9"/>
            <w:tcMar>
              <w:top w:w="90" w:type="dxa"/>
              <w:bottom w:w="90" w:type="dxa"/>
              <w:left w:w="150" w:type="dxa"/>
              <w:right w:w="150" w:type="dxa"/>
            </w:tcMar>
          </w:tcPr>
          <w:p>
            <w:pPr>
              <w:spacing w:line="264" w:lineRule="auto"/>
            </w:pPr>
            <w:r>
              <w:rPr>
                <w:rFonts w:ascii="Arial" w:hAnsi="Arial"/>
                <w:b w:val="0"/>
                <w:color w:val="5B6470"/>
                <w:sz w:val="19"/>
              </w:rPr>
              <w:t>No helpdesk+CRM seam — no wedge to build on</w:t>
            </w:r>
          </w:p>
        </w:tc>
      </w:tr>
      <w:tr>
        <w:trPr>
          <w:cantSplit/>
        </w:trPr>
        <w:tc>
          <w:tcPr>
            <w:tcW w:type="dxa" w:w="2016"/>
            <w:shd w:val="clear" w:color="auto" w:fill="FFFFFF"/>
            <w:tcMar>
              <w:top w:w="90" w:type="dxa"/>
              <w:bottom w:w="90" w:type="dxa"/>
              <w:left w:w="150" w:type="dxa"/>
              <w:right w:w="150" w:type="dxa"/>
            </w:tcMar>
          </w:tcPr>
          <w:p>
            <w:pPr>
              <w:spacing w:line="264" w:lineRule="auto"/>
            </w:pPr>
            <w:r>
              <w:rPr>
                <w:rFonts w:ascii="Arial" w:hAnsi="Arial"/>
                <w:b/>
                <w:color w:val="1A1A1A"/>
                <w:sz w:val="19"/>
              </w:rPr>
              <w:t>Mid-market, filtered</w:t>
            </w:r>
          </w:p>
        </w:tc>
        <w:tc>
          <w:tcPr>
            <w:tcW w:type="dxa" w:w="4320"/>
            <w:shd w:val="clear" w:color="auto" w:fill="FFFFFF"/>
            <w:tcMar>
              <w:top w:w="90" w:type="dxa"/>
              <w:bottom w:w="90" w:type="dxa"/>
              <w:left w:w="150" w:type="dxa"/>
              <w:right w:w="150" w:type="dxa"/>
            </w:tcMar>
          </w:tcPr>
          <w:p>
            <w:pPr>
              <w:spacing w:line="264" w:lineRule="auto"/>
            </w:pPr>
            <w:r>
              <w:rPr>
                <w:rFonts w:ascii="Arial" w:hAnsi="Arial"/>
                <w:b w:val="0"/>
                <w:color w:val="5B6470"/>
                <w:sz w:val="19"/>
              </w:rPr>
              <w:t>The seam exists; buyer is reachable</w:t>
            </w:r>
          </w:p>
        </w:tc>
        <w:tc>
          <w:tcPr>
            <w:tcW w:type="dxa" w:w="3744"/>
            <w:shd w:val="clear" w:color="auto" w:fill="FFFFFF"/>
            <w:tcMar>
              <w:top w:w="90" w:type="dxa"/>
              <w:bottom w:w="90" w:type="dxa"/>
              <w:left w:w="150" w:type="dxa"/>
              <w:right w:w="150" w:type="dxa"/>
            </w:tcMar>
          </w:tcPr>
          <w:p>
            <w:pPr>
              <w:spacing w:line="264" w:lineRule="auto"/>
            </w:pPr>
            <w:r>
              <w:rPr>
                <w:rFonts w:ascii="Arial" w:hAnsi="Arial"/>
                <w:b w:val="0"/>
                <w:color w:val="5B6470"/>
                <w:sz w:val="19"/>
              </w:rPr>
              <w:t>Selected — avoids all three traps at once</w:t>
            </w:r>
          </w:p>
        </w:tc>
      </w:tr>
    </w:tbl>
    <w:p>
      <w:pPr>
        <w:spacing w:after="40"/>
      </w:pPr>
    </w:p>
    <w:tbl>
      <w:tblPr>
        <w:tblW w:type="auto" w:w="0"/>
        <w:jc w:val="center"/>
        <w:tblLook w:firstColumn="1" w:firstRow="1" w:lastColumn="0" w:lastRow="0" w:noHBand="0" w:noVBand="1" w:val="04A0"/>
      </w:tblPr>
      <w:tblGrid>
        <w:gridCol w:w="9412"/>
      </w:tblGrid>
      <w:tr>
        <w:trPr>
          <w:cantSplit/>
        </w:trPr>
        <w:tc>
          <w:tcPr>
            <w:tcW w:type="dxa" w:w="9412"/>
            <w:shd w:val="clear" w:color="auto" w:fill="FBEBD9"/>
            <w:tcMar>
              <w:top w:w="160" w:type="dxa"/>
              <w:bottom w:w="160" w:type="dxa"/>
              <w:left w:w="220" w:type="dxa"/>
              <w:right w:w="220" w:type="dxa"/>
            </w:tcMar>
          </w:tcPr>
          <w:p>
            <w:pPr>
              <w:spacing w:line="276" w:lineRule="auto"/>
            </w:pPr>
            <w:r>
              <w:rPr>
                <w:rFonts w:ascii="Arial" w:hAnsi="Arial"/>
                <w:b/>
                <w:color w:val="8A480B"/>
                <w:sz w:val="19"/>
              </w:rPr>
              <w:t xml:space="preserve">WORKING SEGMENT   </w:t>
            </w:r>
            <w:r>
              <w:rPr>
                <w:rFonts w:ascii="Arial" w:hAnsi="Arial"/>
                <w:b/>
                <w:color w:val="1A1A1A"/>
                <w:sz w:val="21"/>
              </w:rPr>
              <w:t>B2B SaaS or technology-enabled services, ~51–1,000 employees, an established helpdesk and CRM/system of record, growing request volume, limited support-ops capacity.</w:t>
            </w:r>
          </w:p>
        </w:tc>
      </w:tr>
    </w:tbl>
    <w:p>
      <w:pPr>
        <w:spacing w:after="40"/>
      </w:pPr>
    </w:p>
    <w:p>
      <w:pPr>
        <w:spacing w:before="280" w:after="120"/>
      </w:pPr>
      <w:r>
        <w:rPr>
          <w:rFonts w:ascii="Arial" w:hAnsi="Arial"/>
          <w:b/>
          <w:color w:val="8A480B"/>
          <w:sz w:val="28"/>
        </w:rPr>
        <w:t>Anti-personas — named, not implied</w:t>
      </w:r>
    </w:p>
    <w:p>
      <w:pPr>
        <w:spacing w:after="80" w:line="276" w:lineRule="auto"/>
        <w:ind w:left="280"/>
      </w:pPr>
      <w:r>
        <w:rPr>
          <w:rFonts w:ascii="Arial" w:hAnsi="Arial"/>
          <w:b/>
          <w:color w:val="B56012"/>
          <w:sz w:val="21"/>
        </w:rPr>
        <w:t xml:space="preserve">—  </w:t>
      </w:r>
      <w:r>
        <w:rPr>
          <w:rFonts w:ascii="Arial" w:hAnsi="Arial"/>
          <w:color w:val="1A1A1A"/>
          <w:sz w:val="21"/>
        </w:rPr>
        <w:t>Not regulated / financial services — P02 shows the compliance approval chain this triggers.</w:t>
      </w:r>
    </w:p>
    <w:p>
      <w:pPr>
        <w:spacing w:after="80" w:line="276" w:lineRule="auto"/>
        <w:ind w:left="280"/>
      </w:pPr>
      <w:r>
        <w:rPr>
          <w:rFonts w:ascii="Arial" w:hAnsi="Arial"/>
          <w:b/>
          <w:color w:val="B56012"/>
          <w:sz w:val="21"/>
        </w:rPr>
        <w:t xml:space="preserve">—  </w:t>
      </w:r>
      <w:r>
        <w:rPr>
          <w:rFonts w:ascii="Arial" w:hAnsi="Arial"/>
          <w:color w:val="1A1A1A"/>
          <w:sz w:val="21"/>
        </w:rPr>
        <w:t>Not single-system shops — no context to reassemble means no wedge.</w:t>
      </w:r>
    </w:p>
    <w:p>
      <w:pPr>
        <w:spacing w:after="80" w:line="276" w:lineRule="auto"/>
        <w:ind w:left="280"/>
      </w:pPr>
      <w:r>
        <w:rPr>
          <w:rFonts w:ascii="Arial" w:hAnsi="Arial"/>
          <w:b/>
          <w:color w:val="B56012"/>
          <w:sz w:val="21"/>
        </w:rPr>
        <w:t xml:space="preserve">—  </w:t>
      </w:r>
      <w:r>
        <w:rPr>
          <w:rFonts w:ascii="Arial" w:hAnsi="Arial"/>
          <w:color w:val="1A1A1A"/>
          <w:sz w:val="21"/>
        </w:rPr>
        <w:t>Not multi-client outsourced support operations (BPOs) — P01's stack changes by client; no one owns the access decision.</w:t>
      </w:r>
    </w:p>
    <w:p>
      <w:pPr>
        <w:spacing w:before="280" w:after="120"/>
      </w:pPr>
      <w:r>
        <w:rPr>
          <w:rFonts w:ascii="Arial" w:hAnsi="Arial"/>
          <w:b/>
          <w:color w:val="8A480B"/>
          <w:sz w:val="28"/>
        </w:rPr>
        <w:t>Primary persona</w:t>
      </w:r>
    </w:p>
    <w:p>
      <w:pPr>
        <w:spacing w:after="160" w:line="283" w:lineRule="auto"/>
      </w:pPr>
      <w:r>
        <w:rPr>
          <w:rFonts w:ascii="Arial" w:hAnsi="Arial"/>
          <w:b w:val="0"/>
          <w:i w:val="0"/>
          <w:color w:val="1A1A1A"/>
          <w:sz w:val="20"/>
        </w:rPr>
        <w:t>Frontline support/operations practitioner owning L1.5, escalation or exception work across several systems. Goal: give a correct update and move the case to resolution. Current friction: searches, copies, waits, and reconstructs history; handoff context isn't durable.</w:t>
      </w:r>
    </w:p>
    <w:p>
      <w:pPr>
        <w:spacing w:before="280" w:after="120"/>
      </w:pPr>
      <w:r>
        <w:rPr>
          <w:rFonts w:ascii="Arial" w:hAnsi="Arial"/>
          <w:b/>
          <w:color w:val="8A480B"/>
          <w:sz w:val="28"/>
        </w:rPr>
        <w:t>How the problem statement was derived</w:t>
      </w:r>
    </w:p>
    <w:tbl>
      <w:tblPr>
        <w:tblW w:type="auto" w:w="0"/>
        <w:jc w:val="center"/>
        <w:tblLayout w:type="autofit"/>
        <w:tblLook w:firstColumn="1" w:firstRow="1" w:lastColumn="0" w:lastRow="0" w:noHBand="0" w:noVBand="1" w:val="04A0"/>
      </w:tblPr>
      <w:tblGrid>
        <w:gridCol w:w="3137"/>
        <w:gridCol w:w="3137"/>
        <w:gridCol w:w="3137"/>
      </w:tblGrid>
      <w:tr>
        <w:trPr>
          <w:cantSplit/>
        </w:trPr>
        <w:tc>
          <w:tcPr>
            <w:tcW w:type="dxa" w:w="3168"/>
            <w:shd w:val="clear" w:color="auto" w:fill="8A480B"/>
            <w:tcMar>
              <w:top w:w="90" w:type="dxa"/>
              <w:bottom w:w="90" w:type="dxa"/>
              <w:left w:w="150" w:type="dxa"/>
              <w:right w:w="150" w:type="dxa"/>
            </w:tcMar>
          </w:tcPr>
          <w:p>
            <w:r>
              <w:rPr>
                <w:rFonts w:ascii="Arial" w:hAnsi="Arial"/>
                <w:b/>
                <w:color w:val="FFFFFF"/>
                <w:sz w:val="18"/>
              </w:rPr>
              <w:t>OBSERVED EVIDENCE</w:t>
            </w:r>
          </w:p>
        </w:tc>
        <w:tc>
          <w:tcPr>
            <w:tcW w:type="dxa" w:w="4320"/>
            <w:shd w:val="clear" w:color="auto" w:fill="8A480B"/>
            <w:tcMar>
              <w:top w:w="90" w:type="dxa"/>
              <w:bottom w:w="90" w:type="dxa"/>
              <w:left w:w="150" w:type="dxa"/>
              <w:right w:w="150" w:type="dxa"/>
            </w:tcMar>
          </w:tcPr>
          <w:p>
            <w:r>
              <w:rPr>
                <w:rFonts w:ascii="Arial" w:hAnsi="Arial"/>
                <w:b/>
                <w:color w:val="FFFFFF"/>
                <w:sz w:val="18"/>
              </w:rPr>
              <w:t>PATTERN</w:t>
            </w:r>
          </w:p>
        </w:tc>
        <w:tc>
          <w:tcPr>
            <w:tcW w:type="dxa" w:w="2592"/>
            <w:shd w:val="clear" w:color="auto" w:fill="8A480B"/>
            <w:tcMar>
              <w:top w:w="90" w:type="dxa"/>
              <w:bottom w:w="90" w:type="dxa"/>
              <w:left w:w="150" w:type="dxa"/>
              <w:right w:w="150" w:type="dxa"/>
            </w:tcMar>
          </w:tcPr>
          <w:p>
            <w:r>
              <w:rPr>
                <w:rFonts w:ascii="Arial" w:hAnsi="Arial"/>
                <w:b/>
                <w:color w:val="FFFFFF"/>
                <w:sz w:val="18"/>
              </w:rPr>
              <w:t>SAFE CONCLUSION</w:t>
            </w:r>
          </w:p>
        </w:tc>
      </w:tr>
      <w:tr>
        <w:trPr>
          <w:cantSplit/>
        </w:trPr>
        <w:tc>
          <w:tcPr>
            <w:tcW w:type="dxa" w:w="3168"/>
            <w:shd w:val="clear" w:color="auto" w:fill="FFFFFF"/>
            <w:tcMar>
              <w:top w:w="90" w:type="dxa"/>
              <w:bottom w:w="90" w:type="dxa"/>
              <w:left w:w="150" w:type="dxa"/>
              <w:right w:w="150" w:type="dxa"/>
            </w:tcMar>
          </w:tcPr>
          <w:p>
            <w:pPr>
              <w:spacing w:line="264" w:lineRule="auto"/>
            </w:pPr>
            <w:r>
              <w:rPr>
                <w:rFonts w:ascii="Arial" w:hAnsi="Arial"/>
                <w:b/>
                <w:color w:val="1A1A1A"/>
                <w:sz w:val="19"/>
              </w:rPr>
              <w:t>P01 + P04: complex escalations</w:t>
            </w:r>
          </w:p>
        </w:tc>
        <w:tc>
          <w:tcPr>
            <w:tcW w:type="dxa" w:w="4320"/>
            <w:shd w:val="clear" w:color="auto" w:fill="FFFFFF"/>
            <w:tcMar>
              <w:top w:w="90" w:type="dxa"/>
              <w:bottom w:w="90" w:type="dxa"/>
              <w:left w:w="150" w:type="dxa"/>
              <w:right w:w="150" w:type="dxa"/>
            </w:tcMar>
          </w:tcPr>
          <w:p>
            <w:pPr>
              <w:spacing w:line="264" w:lineRule="auto"/>
            </w:pPr>
            <w:r>
              <w:rPr>
                <w:rFonts w:ascii="Arial" w:hAnsi="Arial"/>
                <w:b w:val="0"/>
                <w:color w:val="5B6470"/>
                <w:sz w:val="19"/>
              </w:rPr>
              <w:t>Context reconstructed across helpdesk, CRM, chat, engineering systems</w:t>
            </w:r>
          </w:p>
        </w:tc>
        <w:tc>
          <w:tcPr>
            <w:tcW w:type="dxa" w:w="2592"/>
            <w:shd w:val="clear" w:color="auto" w:fill="FFFFFF"/>
            <w:tcMar>
              <w:top w:w="90" w:type="dxa"/>
              <w:bottom w:w="90" w:type="dxa"/>
              <w:left w:w="150" w:type="dxa"/>
              <w:right w:w="150" w:type="dxa"/>
            </w:tcMar>
          </w:tcPr>
          <w:p>
            <w:pPr>
              <w:spacing w:line="264" w:lineRule="auto"/>
            </w:pPr>
            <w:r>
              <w:rPr>
                <w:rFonts w:ascii="Arial" w:hAnsi="Arial"/>
                <w:b w:val="0"/>
                <w:color w:val="5B6470"/>
                <w:sz w:val="19"/>
              </w:rPr>
              <w:t>Context/handoff leads the workflow hypothesis (2 of 4)</w:t>
            </w:r>
          </w:p>
        </w:tc>
      </w:tr>
      <w:tr>
        <w:trPr>
          <w:cantSplit/>
        </w:trPr>
        <w:tc>
          <w:tcPr>
            <w:tcW w:type="dxa" w:w="3168"/>
            <w:shd w:val="clear" w:color="auto" w:fill="FBEBD9"/>
            <w:tcMar>
              <w:top w:w="90" w:type="dxa"/>
              <w:bottom w:w="90" w:type="dxa"/>
              <w:left w:w="150" w:type="dxa"/>
              <w:right w:w="150" w:type="dxa"/>
            </w:tcMar>
          </w:tcPr>
          <w:p>
            <w:pPr>
              <w:spacing w:line="264" w:lineRule="auto"/>
            </w:pPr>
            <w:r>
              <w:rPr>
                <w:rFonts w:ascii="Arial" w:hAnsi="Arial"/>
                <w:b/>
                <w:color w:val="1A1A1A"/>
                <w:sz w:val="19"/>
              </w:rPr>
              <w:t>P02: regulated banking complaints</w:t>
            </w:r>
          </w:p>
        </w:tc>
        <w:tc>
          <w:tcPr>
            <w:tcW w:type="dxa" w:w="4320"/>
            <w:shd w:val="clear" w:color="auto" w:fill="FBEBD9"/>
            <w:tcMar>
              <w:top w:w="90" w:type="dxa"/>
              <w:bottom w:w="90" w:type="dxa"/>
              <w:left w:w="150" w:type="dxa"/>
              <w:right w:w="150" w:type="dxa"/>
            </w:tcMar>
          </w:tcPr>
          <w:p>
            <w:pPr>
              <w:spacing w:line="264" w:lineRule="auto"/>
            </w:pPr>
            <w:r>
              <w:rPr>
                <w:rFonts w:ascii="Arial" w:hAnsi="Arial"/>
                <w:b w:val="0"/>
                <w:color w:val="5B6470"/>
                <w:sz w:val="19"/>
              </w:rPr>
              <w:t>15 min duplicate logging; 4–6 hr approval wait; audit split across systems</w:t>
            </w:r>
          </w:p>
        </w:tc>
        <w:tc>
          <w:tcPr>
            <w:tcW w:type="dxa" w:w="2592"/>
            <w:shd w:val="clear" w:color="auto" w:fill="FBEBD9"/>
            <w:tcMar>
              <w:top w:w="90" w:type="dxa"/>
              <w:bottom w:w="90" w:type="dxa"/>
              <w:left w:w="150" w:type="dxa"/>
              <w:right w:w="150" w:type="dxa"/>
            </w:tcMar>
          </w:tcPr>
          <w:p>
            <w:pPr>
              <w:spacing w:line="264" w:lineRule="auto"/>
            </w:pPr>
            <w:r>
              <w:rPr>
                <w:rFonts w:ascii="Arial" w:hAnsi="Arial"/>
                <w:b w:val="0"/>
                <w:color w:val="5B6470"/>
                <w:sz w:val="19"/>
              </w:rPr>
              <w:t>Audit-safe coordination matters in this case</w:t>
            </w:r>
          </w:p>
        </w:tc>
      </w:tr>
    </w:tbl>
    <w:p>
      <w:pPr>
        <w:spacing w:after="40"/>
      </w:pPr>
    </w:p>
    <w:p>
      <w:r>
        <w:br w:type="page"/>
      </w:r>
    </w:p>
    <w:p>
      <w:pPr>
        <w:spacing w:after="40"/>
      </w:pPr>
      <w:r>
        <w:rPr>
          <w:rFonts w:ascii="Arial" w:hAnsi="Arial"/>
          <w:b/>
          <w:color w:val="B56012"/>
          <w:sz w:val="19"/>
        </w:rPr>
        <w:t>04 · INTERVIEW EVIDENCE</w:t>
      </w:r>
    </w:p>
    <w:p>
      <w:pPr>
        <w:spacing w:after="200" w:before="40"/>
      </w:pPr>
      <w:r>
        <w:rPr>
          <w:rFonts w:ascii="Arial" w:hAnsi="Arial"/>
          <w:b/>
          <w:color w:val="1A1A1A"/>
          <w:sz w:val="44"/>
        </w:rPr>
        <w:t>Four perspectives</w:t>
      </w:r>
    </w:p>
    <w:tbl>
      <w:tblPr>
        <w:tblW w:type="auto" w:w="0"/>
        <w:jc w:val="center"/>
        <w:tblLayout w:type="autofit"/>
        <w:tblLook w:firstColumn="1" w:firstRow="1" w:lastColumn="0" w:lastRow="0" w:noHBand="0" w:noVBand="1" w:val="04A0"/>
      </w:tblPr>
      <w:tblGrid>
        <w:gridCol w:w="4706"/>
        <w:gridCol w:w="4706"/>
      </w:tblGrid>
      <w:tr>
        <w:trPr>
          <w:cantSplit/>
        </w:trPr>
        <w:tc>
          <w:tcPr>
            <w:tcW w:type="dxa" w:w="4706"/>
            <w:shd w:val="clear" w:color="auto" w:fill="FBEBD9"/>
            <w:tcMar>
              <w:top w:w="180" w:type="dxa"/>
              <w:bottom w:w="180" w:type="dxa"/>
              <w:left w:w="220" w:type="dxa"/>
              <w:right w:w="220" w:type="dxa"/>
            </w:tcMar>
            <w:tcBorders>
              <w:top w:val="single" w:sz="24" w:color="8A480B"/>
            </w:tcBorders>
          </w:tcPr>
          <w:p>
            <w:pPr>
              <w:spacing w:after="80"/>
            </w:pPr>
            <w:r/>
          </w:p>
          <w:tbl>
            <w:tblPr>
              <w:tblW w:type="auto" w:w="0"/>
              <w:tblLayout w:type="fixed"/>
              <w:tblLook w:firstColumn="1" w:firstRow="1" w:lastColumn="0" w:lastRow="0" w:noHBand="0" w:noVBand="1" w:val="04A0"/>
            </w:tblPr>
            <w:tblGrid>
              <w:gridCol w:w="4706"/>
            </w:tblGrid>
            <w:tr>
              <w:trPr>
                <w:trHeight w:val="432"/>
              </w:trPr>
              <w:tc>
                <w:tcPr>
                  <w:tcW w:type="dxa" w:w="432"/>
                  <w:shd w:val="clear" w:color="auto" w:fill="8A480B"/>
                  <w:tcMar>
                    <w:top w:w="60" w:type="dxa"/>
                    <w:bottom w:w="60" w:type="dxa"/>
                    <w:left w:w="0" w:type="dxa"/>
                    <w:right w:w="0" w:type="dxa"/>
                  </w:tcMar>
                </w:tcPr>
                <w:p>
                  <w:pPr>
                    <w:jc w:val="center"/>
                  </w:pPr>
                  <w:r>
                    <w:rPr>
                      <w:rFonts w:ascii="Arial" w:hAnsi="Arial"/>
                      <w:b/>
                      <w:color w:val="FFFFFF"/>
                      <w:sz w:val="22"/>
                    </w:rPr>
                    <w:t>P01</w:t>
                  </w:r>
                </w:p>
              </w:tc>
            </w:tr>
          </w:tbl>
          <w:p/>
          <w:p>
            <w:pPr>
              <w:spacing w:before="120" w:after="80"/>
            </w:pPr>
            <w:r>
              <w:rPr>
                <w:rFonts w:ascii="Arial" w:hAnsi="Arial"/>
                <w:b/>
                <w:color w:val="1A1A1A"/>
                <w:sz w:val="22"/>
              </w:rPr>
              <w:t>Enterprise outsourced support · frontline</w:t>
            </w:r>
          </w:p>
          <w:p>
            <w:pPr>
              <w:spacing w:line="276" w:lineRule="auto"/>
            </w:pPr>
            <w:r>
              <w:rPr>
                <w:rFonts w:ascii="Arial" w:hAnsi="Arial"/>
                <w:color w:val="5B6470"/>
                <w:sz w:val="19"/>
              </w:rPr>
              <w:t>5–6 difficult cases/day; 20–25 min context work per case. Strategic use: quantified context and handoff cost.</w:t>
            </w:r>
          </w:p>
        </w:tc>
        <w:tc>
          <w:tcPr>
            <w:tcW w:type="dxa" w:w="4706"/>
            <w:shd w:val="clear" w:color="auto" w:fill="F2F1EF"/>
            <w:tcMar>
              <w:top w:w="180" w:type="dxa"/>
              <w:bottom w:w="180" w:type="dxa"/>
              <w:left w:w="220" w:type="dxa"/>
              <w:right w:w="220" w:type="dxa"/>
            </w:tcMar>
            <w:tcBorders>
              <w:top w:val="single" w:sz="24" w:color="8A480B"/>
            </w:tcBorders>
          </w:tcPr>
          <w:p>
            <w:pPr>
              <w:spacing w:after="80"/>
            </w:pPr>
            <w:r/>
          </w:p>
          <w:tbl>
            <w:tblPr>
              <w:tblW w:type="auto" w:w="0"/>
              <w:tblLayout w:type="fixed"/>
              <w:tblLook w:firstColumn="1" w:firstRow="1" w:lastColumn="0" w:lastRow="0" w:noHBand="0" w:noVBand="1" w:val="04A0"/>
            </w:tblPr>
            <w:tblGrid>
              <w:gridCol w:w="4706"/>
            </w:tblGrid>
            <w:tr>
              <w:trPr>
                <w:trHeight w:val="432"/>
              </w:trPr>
              <w:tc>
                <w:tcPr>
                  <w:tcW w:type="dxa" w:w="432"/>
                  <w:shd w:val="clear" w:color="auto" w:fill="8A480B"/>
                  <w:tcMar>
                    <w:top w:w="60" w:type="dxa"/>
                    <w:bottom w:w="60" w:type="dxa"/>
                    <w:left w:w="0" w:type="dxa"/>
                    <w:right w:w="0" w:type="dxa"/>
                  </w:tcMar>
                </w:tcPr>
                <w:p>
                  <w:pPr>
                    <w:jc w:val="center"/>
                  </w:pPr>
                  <w:r>
                    <w:rPr>
                      <w:rFonts w:ascii="Arial" w:hAnsi="Arial"/>
                      <w:b/>
                      <w:color w:val="FFFFFF"/>
                      <w:sz w:val="22"/>
                    </w:rPr>
                    <w:t>P02</w:t>
                  </w:r>
                </w:p>
              </w:tc>
            </w:tr>
          </w:tbl>
          <w:p/>
          <w:p>
            <w:pPr>
              <w:spacing w:before="120" w:after="80"/>
            </w:pPr>
            <w:r>
              <w:rPr>
                <w:rFonts w:ascii="Arial" w:hAnsi="Arial"/>
                <w:b/>
                <w:color w:val="1A1A1A"/>
                <w:sz w:val="22"/>
              </w:rPr>
              <w:t>Enterprise banking complaints · frontline</w:t>
            </w:r>
          </w:p>
          <w:p>
            <w:pPr>
              <w:spacing w:line="276" w:lineRule="auto"/>
            </w:pPr>
            <w:r>
              <w:rPr>
                <w:rFonts w:ascii="Arial" w:hAnsi="Arial"/>
                <w:color w:val="5B6470"/>
                <w:sz w:val="19"/>
              </w:rPr>
              <w:t>15 min duplicate logging; 4–6 hr formal approval wait. Strategic use: audit, approval and read-only constraints.</w:t>
            </w:r>
          </w:p>
        </w:tc>
      </w:tr>
      <w:tr>
        <w:trPr>
          <w:cantSplit/>
        </w:trPr>
        <w:tc>
          <w:tcPr>
            <w:tcW w:type="dxa" w:w="4706"/>
            <w:shd w:val="clear" w:color="auto" w:fill="FBEBD9"/>
            <w:tcMar>
              <w:top w:w="180" w:type="dxa"/>
              <w:bottom w:w="180" w:type="dxa"/>
              <w:left w:w="220" w:type="dxa"/>
              <w:right w:w="220" w:type="dxa"/>
            </w:tcMar>
            <w:tcBorders>
              <w:top w:val="single" w:sz="24" w:color="8A480B"/>
            </w:tcBorders>
          </w:tcPr>
          <w:p>
            <w:pPr>
              <w:spacing w:after="80"/>
            </w:pPr>
            <w:r/>
          </w:p>
          <w:tbl>
            <w:tblPr>
              <w:tblW w:type="auto" w:w="0"/>
              <w:tblLayout w:type="fixed"/>
              <w:tblLook w:firstColumn="1" w:firstRow="1" w:lastColumn="0" w:lastRow="0" w:noHBand="0" w:noVBand="1" w:val="04A0"/>
            </w:tblPr>
            <w:tblGrid>
              <w:gridCol w:w="4706"/>
            </w:tblGrid>
            <w:tr>
              <w:trPr>
                <w:trHeight w:val="432"/>
              </w:trPr>
              <w:tc>
                <w:tcPr>
                  <w:tcW w:type="dxa" w:w="432"/>
                  <w:shd w:val="clear" w:color="auto" w:fill="8A480B"/>
                  <w:tcMar>
                    <w:top w:w="60" w:type="dxa"/>
                    <w:bottom w:w="60" w:type="dxa"/>
                    <w:left w:w="0" w:type="dxa"/>
                    <w:right w:w="0" w:type="dxa"/>
                  </w:tcMar>
                </w:tcPr>
                <w:p>
                  <w:pPr>
                    <w:jc w:val="center"/>
                  </w:pPr>
                  <w:r>
                    <w:rPr>
                      <w:rFonts w:ascii="Arial" w:hAnsi="Arial"/>
                      <w:b/>
                      <w:color w:val="FFFFFF"/>
                      <w:sz w:val="22"/>
                    </w:rPr>
                    <w:t>P03</w:t>
                  </w:r>
                </w:p>
              </w:tc>
            </w:tr>
          </w:tbl>
          <w:p/>
          <w:p>
            <w:pPr>
              <w:spacing w:before="120" w:after="80"/>
            </w:pPr>
            <w:r>
              <w:rPr>
                <w:rFonts w:ascii="Arial" w:hAnsi="Arial"/>
                <w:b/>
                <w:color w:val="1A1A1A"/>
                <w:sz w:val="22"/>
              </w:rPr>
              <w:t>Mid-market (~400) · application approval</w:t>
            </w:r>
          </w:p>
          <w:p>
            <w:pPr>
              <w:spacing w:line="276" w:lineRule="auto"/>
            </w:pPr>
            <w:r>
              <w:rPr>
                <w:rFonts w:ascii="Arial" w:hAnsi="Arial"/>
                <w:color w:val="5B6470"/>
                <w:sz w:val="19"/>
              </w:rPr>
              <w:t>One-month pilot, 2 queues, write-back disabled. Strategic use: least-privilege, reversible pilot design.</w:t>
            </w:r>
          </w:p>
        </w:tc>
        <w:tc>
          <w:tcPr>
            <w:tcW w:type="dxa" w:w="4706"/>
            <w:shd w:val="clear" w:color="auto" w:fill="F2F1EF"/>
            <w:tcMar>
              <w:top w:w="180" w:type="dxa"/>
              <w:bottom w:w="180" w:type="dxa"/>
              <w:left w:w="220" w:type="dxa"/>
              <w:right w:w="220" w:type="dxa"/>
            </w:tcMar>
            <w:tcBorders>
              <w:top w:val="single" w:sz="24" w:color="8A480B"/>
            </w:tcBorders>
          </w:tcPr>
          <w:p>
            <w:pPr>
              <w:spacing w:after="80"/>
            </w:pPr>
            <w:r/>
          </w:p>
          <w:tbl>
            <w:tblPr>
              <w:tblW w:type="auto" w:w="0"/>
              <w:tblLayout w:type="fixed"/>
              <w:tblLook w:firstColumn="1" w:firstRow="1" w:lastColumn="0" w:lastRow="0" w:noHBand="0" w:noVBand="1" w:val="04A0"/>
            </w:tblPr>
            <w:tblGrid>
              <w:gridCol w:w="4706"/>
            </w:tblGrid>
            <w:tr>
              <w:trPr>
                <w:trHeight w:val="432"/>
              </w:trPr>
              <w:tc>
                <w:tcPr>
                  <w:tcW w:type="dxa" w:w="432"/>
                  <w:shd w:val="clear" w:color="auto" w:fill="8A480B"/>
                  <w:tcMar>
                    <w:top w:w="60" w:type="dxa"/>
                    <w:bottom w:w="60" w:type="dxa"/>
                    <w:left w:w="0" w:type="dxa"/>
                    <w:right w:w="0" w:type="dxa"/>
                  </w:tcMar>
                </w:tcPr>
                <w:p>
                  <w:pPr>
                    <w:jc w:val="center"/>
                  </w:pPr>
                  <w:r>
                    <w:rPr>
                      <w:rFonts w:ascii="Arial" w:hAnsi="Arial"/>
                      <w:b/>
                      <w:color w:val="FFFFFF"/>
                      <w:sz w:val="22"/>
                    </w:rPr>
                    <w:t>P04</w:t>
                  </w:r>
                </w:p>
              </w:tc>
            </w:tr>
          </w:tbl>
          <w:p/>
          <w:p>
            <w:pPr>
              <w:spacing w:before="120" w:after="80"/>
            </w:pPr>
            <w:r>
              <w:rPr>
                <w:rFonts w:ascii="Arial" w:hAnsi="Arial"/>
                <w:b/>
                <w:color w:val="1A1A1A"/>
                <w:sz w:val="22"/>
              </w:rPr>
              <w:t>Mid-market B2B SaaS/services · frontline</w:t>
            </w:r>
          </w:p>
          <w:p>
            <w:pPr>
              <w:spacing w:line="276" w:lineRule="auto"/>
            </w:pPr>
            <w:r>
              <w:rPr>
                <w:rFonts w:ascii="Arial" w:hAnsi="Arial"/>
                <w:color w:val="5B6470"/>
                <w:sz w:val="19"/>
              </w:rPr>
              <w:t>Manual Zendesk-to-Jira summary; warns against a duplicate system. Strategic use: second context/handoff case plus counter-evidence.</w:t>
            </w:r>
          </w:p>
        </w:tc>
      </w:tr>
    </w:tbl>
    <w:p>
      <w:pPr>
        <w:spacing w:after="80"/>
      </w:pPr>
    </w:p>
    <w:tbl>
      <w:tblPr>
        <w:tblW w:type="auto" w:w="0"/>
        <w:jc w:val="center"/>
        <w:tblLook w:firstColumn="1" w:firstRow="1" w:lastColumn="0" w:lastRow="0" w:noHBand="0" w:noVBand="1" w:val="04A0"/>
      </w:tblPr>
      <w:tblGrid>
        <w:gridCol w:w="9412"/>
      </w:tblGrid>
      <w:tr>
        <w:trPr>
          <w:cantSplit/>
        </w:trPr>
        <w:tc>
          <w:tcPr>
            <w:tcW w:type="dxa" w:w="9412"/>
            <w:shd w:val="clear" w:color="auto" w:fill="FBEBD9"/>
            <w:tcMar>
              <w:top w:w="160" w:type="dxa"/>
              <w:bottom w:w="160" w:type="dxa"/>
              <w:left w:w="220" w:type="dxa"/>
              <w:right w:w="220" w:type="dxa"/>
            </w:tcMar>
          </w:tcPr>
          <w:p>
            <w:pPr>
              <w:spacing w:line="276" w:lineRule="auto"/>
            </w:pPr>
            <w:r>
              <w:rPr>
                <w:rFonts w:ascii="Arial" w:hAnsi="Arial"/>
                <w:b/>
                <w:color w:val="8A480B"/>
                <w:sz w:val="19"/>
              </w:rPr>
              <w:t xml:space="preserve">DIVERSITY AUDIT / LIMITATION   </w:t>
            </w:r>
            <w:r>
              <w:rPr>
                <w:rFonts w:ascii="Arial" w:hAnsi="Arial"/>
                <w:b/>
                <w:color w:val="1A1A1A"/>
                <w:sz w:val="21"/>
              </w:rPr>
              <w:t>2 enterprise + 2 mid-market; 3 frontline + 1 application-approval stakeholder; no support manager or economic buyer interviewed. Sample is 4 of the requested 8–12 minimum — segment, buyer and adoption conclusions remain hypotheses.</w:t>
            </w:r>
          </w:p>
        </w:tc>
      </w:tr>
    </w:tbl>
    <w:p>
      <w:pPr>
        <w:spacing w:after="40"/>
      </w:pPr>
    </w:p>
    <w:p>
      <w:pPr>
        <w:keepNext/>
        <w:spacing w:after="40"/>
        <w:jc w:val="center"/>
      </w:pPr>
      <w:r>
        <w:drawing>
          <wp:inline xmlns:a="http://schemas.openxmlformats.org/drawingml/2006/main" xmlns:pic="http://schemas.openxmlformats.org/drawingml/2006/picture">
            <wp:extent cx="5669280" cy="2685068"/>
            <wp:docPr id="1" name="Picture 1"/>
            <wp:cNvGraphicFramePr>
              <a:graphicFrameLocks noChangeAspect="1"/>
            </wp:cNvGraphicFramePr>
            <a:graphic>
              <a:graphicData uri="http://schemas.openxmlformats.org/drawingml/2006/picture">
                <pic:pic>
                  <pic:nvPicPr>
                    <pic:cNvPr id="0" name="pain_time_chart.png"/>
                    <pic:cNvPicPr/>
                  </pic:nvPicPr>
                  <pic:blipFill>
                    <a:blip r:embed="rId10"/>
                    <a:stretch>
                      <a:fillRect/>
                    </a:stretch>
                  </pic:blipFill>
                  <pic:spPr>
                    <a:xfrm>
                      <a:off x="0" y="0"/>
                      <a:ext cx="5669280" cy="2685068"/>
                    </a:xfrm>
                    <a:prstGeom prst="rect"/>
                  </pic:spPr>
                </pic:pic>
              </a:graphicData>
            </a:graphic>
          </wp:inline>
        </w:drawing>
      </w:r>
    </w:p>
    <w:p>
      <w:pPr>
        <w:spacing w:after="200"/>
        <w:jc w:val="center"/>
      </w:pPr>
      <w:r>
        <w:rPr>
          <w:rFonts w:ascii="Arial" w:hAnsi="Arial"/>
          <w:i/>
          <w:color w:val="5B6470"/>
          <w:sz w:val="17"/>
        </w:rPr>
        <w:t>Quantified time cost, where interviews gave a number.</w:t>
      </w:r>
    </w:p>
    <w:p>
      <w:pPr>
        <w:spacing w:after="40"/>
      </w:pPr>
      <w:r>
        <w:rPr>
          <w:rFonts w:ascii="Arial" w:hAnsi="Arial"/>
          <w:b/>
          <w:color w:val="B56012"/>
          <w:sz w:val="19"/>
        </w:rPr>
        <w:t>05 · MARKET OPPORTUNITY</w:t>
      </w:r>
    </w:p>
    <w:p>
      <w:pPr>
        <w:spacing w:after="200" w:before="40"/>
      </w:pPr>
      <w:r>
        <w:rPr>
          <w:rFonts w:ascii="Arial" w:hAnsi="Arial"/>
          <w:b/>
          <w:color w:val="1A1A1A"/>
          <w:sz w:val="44"/>
        </w:rPr>
        <w:t>Two honest ranges, plus one new estimate</w:t>
      </w:r>
    </w:p>
    <w:p>
      <w:pPr>
        <w:spacing w:after="40"/>
        <w:jc w:val="center"/>
      </w:pPr>
      <w:r>
        <w:drawing>
          <wp:inline xmlns:a="http://schemas.openxmlformats.org/drawingml/2006/main" xmlns:pic="http://schemas.openxmlformats.org/drawingml/2006/picture">
            <wp:extent cx="5760720" cy="1989043"/>
            <wp:docPr id="2" name="Picture 2"/>
            <wp:cNvGraphicFramePr>
              <a:graphicFrameLocks noChangeAspect="1"/>
            </wp:cNvGraphicFramePr>
            <a:graphic>
              <a:graphicData uri="http://schemas.openxmlformats.org/drawingml/2006/picture">
                <pic:pic>
                  <pic:nvPicPr>
                    <pic:cNvPr id="0" name="market_chart.png"/>
                    <pic:cNvPicPr/>
                  </pic:nvPicPr>
                  <pic:blipFill>
                    <a:blip r:embed="rId11"/>
                    <a:stretch>
                      <a:fillRect/>
                    </a:stretch>
                  </pic:blipFill>
                  <pic:spPr>
                    <a:xfrm>
                      <a:off x="0" y="0"/>
                      <a:ext cx="5760720" cy="1989043"/>
                    </a:xfrm>
                    <a:prstGeom prst="rect"/>
                  </pic:spPr>
                </pic:pic>
              </a:graphicData>
            </a:graphic>
          </wp:inline>
        </w:drawing>
      </w:r>
    </w:p>
    <w:p>
      <w:pPr>
        <w:spacing w:after="80"/>
      </w:pPr>
    </w:p>
    <w:tbl>
      <w:tblPr>
        <w:tblW w:type="auto" w:w="0"/>
        <w:jc w:val="center"/>
        <w:tblLayout w:type="autofit"/>
        <w:tblLook w:firstColumn="1" w:firstRow="1" w:lastColumn="0" w:lastRow="0" w:noHBand="0" w:noVBand="1" w:val="04A0"/>
      </w:tblPr>
      <w:tblGrid>
        <w:gridCol w:w="3137"/>
        <w:gridCol w:w="3137"/>
        <w:gridCol w:w="3137"/>
      </w:tblGrid>
      <w:tr>
        <w:trPr>
          <w:cantSplit/>
        </w:trPr>
        <w:tc>
          <w:tcPr>
            <w:tcW w:type="dxa" w:w="2592"/>
            <w:shd w:val="clear" w:color="auto" w:fill="8A480B"/>
            <w:tcMar>
              <w:top w:w="90" w:type="dxa"/>
              <w:bottom w:w="90" w:type="dxa"/>
              <w:left w:w="150" w:type="dxa"/>
              <w:right w:w="150" w:type="dxa"/>
            </w:tcMar>
          </w:tcPr>
          <w:p>
            <w:r>
              <w:rPr>
                <w:rFonts w:ascii="Arial" w:hAnsi="Arial"/>
                <w:b/>
                <w:color w:val="FFFFFF"/>
                <w:sz w:val="18"/>
              </w:rPr>
              <w:t>SIGNAL</w:t>
            </w:r>
          </w:p>
        </w:tc>
        <w:tc>
          <w:tcPr>
            <w:tcW w:type="dxa" w:w="4608"/>
            <w:shd w:val="clear" w:color="auto" w:fill="8A480B"/>
            <w:tcMar>
              <w:top w:w="90" w:type="dxa"/>
              <w:bottom w:w="90" w:type="dxa"/>
              <w:left w:w="150" w:type="dxa"/>
              <w:right w:w="150" w:type="dxa"/>
            </w:tcMar>
          </w:tcPr>
          <w:p>
            <w:r>
              <w:rPr>
                <w:rFonts w:ascii="Arial" w:hAnsi="Arial"/>
                <w:b/>
                <w:color w:val="FFFFFF"/>
                <w:sz w:val="18"/>
              </w:rPr>
              <w:t>EVIDENCE</w:t>
            </w:r>
          </w:p>
        </w:tc>
        <w:tc>
          <w:tcPr>
            <w:tcW w:type="dxa" w:w="2880"/>
            <w:shd w:val="clear" w:color="auto" w:fill="8A480B"/>
            <w:tcMar>
              <w:top w:w="90" w:type="dxa"/>
              <w:bottom w:w="90" w:type="dxa"/>
              <w:left w:w="150" w:type="dxa"/>
              <w:right w:w="150" w:type="dxa"/>
            </w:tcMar>
          </w:tcPr>
          <w:p>
            <w:r>
              <w:rPr>
                <w:rFonts w:ascii="Arial" w:hAnsi="Arial"/>
                <w:b/>
                <w:color w:val="FFFFFF"/>
                <w:sz w:val="18"/>
              </w:rPr>
              <w:t>INTERPRETATION</w:t>
            </w:r>
          </w:p>
        </w:tc>
      </w:tr>
      <w:tr>
        <w:trPr>
          <w:cantSplit/>
        </w:trPr>
        <w:tc>
          <w:tcPr>
            <w:tcW w:type="dxa" w:w="2592"/>
            <w:shd w:val="clear" w:color="auto" w:fill="FFFFFF"/>
            <w:tcMar>
              <w:top w:w="90" w:type="dxa"/>
              <w:bottom w:w="90" w:type="dxa"/>
              <w:left w:w="150" w:type="dxa"/>
              <w:right w:w="150" w:type="dxa"/>
            </w:tcMar>
          </w:tcPr>
          <w:p>
            <w:pPr>
              <w:spacing w:line="264" w:lineRule="auto"/>
            </w:pPr>
            <w:r>
              <w:rPr>
                <w:rFonts w:ascii="Arial" w:hAnsi="Arial"/>
                <w:b/>
                <w:color w:val="1A1A1A"/>
                <w:sz w:val="19"/>
              </w:rPr>
              <w:t>Large adjacent category</w:t>
            </w:r>
          </w:p>
        </w:tc>
        <w:tc>
          <w:tcPr>
            <w:tcW w:type="dxa" w:w="4608"/>
            <w:shd w:val="clear" w:color="auto" w:fill="FFFFFF"/>
            <w:tcMar>
              <w:top w:w="90" w:type="dxa"/>
              <w:bottom w:w="90" w:type="dxa"/>
              <w:left w:w="150" w:type="dxa"/>
              <w:right w:w="150" w:type="dxa"/>
            </w:tcMar>
          </w:tcPr>
          <w:p>
            <w:pPr>
              <w:spacing w:line="264" w:lineRule="auto"/>
            </w:pPr>
            <w:r>
              <w:rPr>
                <w:rFonts w:ascii="Arial" w:hAnsi="Arial"/>
                <w:b w:val="0"/>
                <w:color w:val="5B6470"/>
                <w:sz w:val="19"/>
              </w:rPr>
              <w:t>Contact-center $47.7–63.9B; help-desk $14.3B</w:t>
            </w:r>
          </w:p>
        </w:tc>
        <w:tc>
          <w:tcPr>
            <w:tcW w:type="dxa" w:w="2880"/>
            <w:shd w:val="clear" w:color="auto" w:fill="FFFFFF"/>
            <w:tcMar>
              <w:top w:w="90" w:type="dxa"/>
              <w:bottom w:w="90" w:type="dxa"/>
              <w:left w:w="150" w:type="dxa"/>
              <w:right w:w="150" w:type="dxa"/>
            </w:tcMar>
          </w:tcPr>
          <w:p>
            <w:pPr>
              <w:spacing w:line="264" w:lineRule="auto"/>
            </w:pPr>
            <w:r>
              <w:rPr>
                <w:rFonts w:ascii="Arial" w:hAnsi="Arial"/>
                <w:b w:val="0"/>
                <w:color w:val="5B6470"/>
                <w:sz w:val="19"/>
              </w:rPr>
              <w:t>Real category, not one precise TAM</w:t>
            </w:r>
          </w:p>
        </w:tc>
      </w:tr>
      <w:tr>
        <w:trPr>
          <w:cantSplit/>
        </w:trPr>
        <w:tc>
          <w:tcPr>
            <w:tcW w:type="dxa" w:w="2592"/>
            <w:shd w:val="clear" w:color="auto" w:fill="FBEBD9"/>
            <w:tcMar>
              <w:top w:w="90" w:type="dxa"/>
              <w:bottom w:w="90" w:type="dxa"/>
              <w:left w:w="150" w:type="dxa"/>
              <w:right w:w="150" w:type="dxa"/>
            </w:tcMar>
          </w:tcPr>
          <w:p>
            <w:pPr>
              <w:spacing w:line="264" w:lineRule="auto"/>
            </w:pPr>
            <w:r>
              <w:rPr>
                <w:rFonts w:ascii="Arial" w:hAnsi="Arial"/>
                <w:b/>
                <w:color w:val="1A1A1A"/>
                <w:sz w:val="19"/>
              </w:rPr>
              <w:t>High workflow frequency</w:t>
            </w:r>
          </w:p>
        </w:tc>
        <w:tc>
          <w:tcPr>
            <w:tcW w:type="dxa" w:w="4608"/>
            <w:shd w:val="clear" w:color="auto" w:fill="FBEBD9"/>
            <w:tcMar>
              <w:top w:w="90" w:type="dxa"/>
              <w:bottom w:w="90" w:type="dxa"/>
              <w:left w:w="150" w:type="dxa"/>
              <w:right w:w="150" w:type="dxa"/>
            </w:tcMar>
          </w:tcPr>
          <w:p>
            <w:pPr>
              <w:spacing w:line="264" w:lineRule="auto"/>
            </w:pPr>
            <w:r>
              <w:rPr>
                <w:rFonts w:ascii="Arial" w:hAnsi="Arial"/>
                <w:b w:val="0"/>
                <w:color w:val="5B6470"/>
                <w:sz w:val="19"/>
              </w:rPr>
              <w:t>Vendor datasets span up to 1.2B tickets / 138M conversations</w:t>
            </w:r>
          </w:p>
        </w:tc>
        <w:tc>
          <w:tcPr>
            <w:tcW w:type="dxa" w:w="2880"/>
            <w:shd w:val="clear" w:color="auto" w:fill="FBEBD9"/>
            <w:tcMar>
              <w:top w:w="90" w:type="dxa"/>
              <w:bottom w:w="90" w:type="dxa"/>
              <w:left w:w="150" w:type="dxa"/>
              <w:right w:w="150" w:type="dxa"/>
            </w:tcMar>
          </w:tcPr>
          <w:p>
            <w:pPr>
              <w:spacing w:line="264" w:lineRule="auto"/>
            </w:pPr>
            <w:r>
              <w:rPr>
                <w:rFonts w:ascii="Arial" w:hAnsi="Arial"/>
                <w:b w:val="0"/>
                <w:color w:val="5B6470"/>
                <w:sz w:val="19"/>
              </w:rPr>
              <w:t>A pilot can observe repetition within weeks</w:t>
            </w:r>
          </w:p>
        </w:tc>
      </w:tr>
      <w:tr>
        <w:trPr>
          <w:cantSplit/>
        </w:trPr>
        <w:tc>
          <w:tcPr>
            <w:tcW w:type="dxa" w:w="2592"/>
            <w:shd w:val="clear" w:color="auto" w:fill="FFFFFF"/>
            <w:tcMar>
              <w:top w:w="90" w:type="dxa"/>
              <w:bottom w:w="90" w:type="dxa"/>
              <w:left w:w="150" w:type="dxa"/>
              <w:right w:w="150" w:type="dxa"/>
            </w:tcMar>
          </w:tcPr>
          <w:p>
            <w:pPr>
              <w:spacing w:line="264" w:lineRule="auto"/>
            </w:pPr>
            <w:r>
              <w:rPr>
                <w:rFonts w:ascii="Arial" w:hAnsi="Arial"/>
                <w:b/>
                <w:color w:val="1A1A1A"/>
                <w:sz w:val="19"/>
              </w:rPr>
              <w:t>Adoption–maturity gap</w:t>
            </w:r>
          </w:p>
        </w:tc>
        <w:tc>
          <w:tcPr>
            <w:tcW w:type="dxa" w:w="4608"/>
            <w:shd w:val="clear" w:color="auto" w:fill="FFFFFF"/>
            <w:tcMar>
              <w:top w:w="90" w:type="dxa"/>
              <w:bottom w:w="90" w:type="dxa"/>
              <w:left w:w="150" w:type="dxa"/>
              <w:right w:w="150" w:type="dxa"/>
            </w:tcMar>
          </w:tcPr>
          <w:p>
            <w:pPr>
              <w:spacing w:line="264" w:lineRule="auto"/>
            </w:pPr>
            <w:r>
              <w:rPr>
                <w:rFonts w:ascii="Arial" w:hAnsi="Arial"/>
                <w:b w:val="0"/>
                <w:color w:val="5B6470"/>
                <w:sz w:val="19"/>
              </w:rPr>
              <w:t>82% invested in AI; 10% report mature deployment</w:t>
            </w:r>
          </w:p>
        </w:tc>
        <w:tc>
          <w:tcPr>
            <w:tcW w:type="dxa" w:w="2880"/>
            <w:shd w:val="clear" w:color="auto" w:fill="FFFFFF"/>
            <w:tcMar>
              <w:top w:w="90" w:type="dxa"/>
              <w:bottom w:w="90" w:type="dxa"/>
              <w:left w:w="150" w:type="dxa"/>
              <w:right w:w="150" w:type="dxa"/>
            </w:tcMar>
          </w:tcPr>
          <w:p>
            <w:pPr>
              <w:spacing w:line="264" w:lineRule="auto"/>
            </w:pPr>
            <w:r>
              <w:rPr>
                <w:rFonts w:ascii="Arial" w:hAnsi="Arial"/>
                <w:b w:val="0"/>
                <w:color w:val="5B6470"/>
                <w:sz w:val="19"/>
              </w:rPr>
              <w:t>Reliability may matter more than basic AI access</w:t>
            </w:r>
          </w:p>
        </w:tc>
      </w:tr>
      <w:tr>
        <w:trPr>
          <w:cantSplit/>
        </w:trPr>
        <w:tc>
          <w:tcPr>
            <w:tcW w:type="dxa" w:w="2592"/>
            <w:shd w:val="clear" w:color="auto" w:fill="FBEBD9"/>
            <w:tcMar>
              <w:top w:w="90" w:type="dxa"/>
              <w:bottom w:w="90" w:type="dxa"/>
              <w:left w:w="150" w:type="dxa"/>
              <w:right w:w="150" w:type="dxa"/>
            </w:tcMar>
          </w:tcPr>
          <w:p>
            <w:pPr>
              <w:spacing w:line="264" w:lineRule="auto"/>
            </w:pPr>
            <w:r>
              <w:rPr>
                <w:rFonts w:ascii="Arial" w:hAnsi="Arial"/>
                <w:b/>
                <w:color w:val="1A1A1A"/>
                <w:sz w:val="19"/>
              </w:rPr>
              <w:t>Assist-first timing</w:t>
            </w:r>
          </w:p>
        </w:tc>
        <w:tc>
          <w:tcPr>
            <w:tcW w:type="dxa" w:w="4608"/>
            <w:shd w:val="clear" w:color="auto" w:fill="FBEBD9"/>
            <w:tcMar>
              <w:top w:w="90" w:type="dxa"/>
              <w:bottom w:w="90" w:type="dxa"/>
              <w:left w:w="150" w:type="dxa"/>
              <w:right w:w="150" w:type="dxa"/>
            </w:tcMar>
          </w:tcPr>
          <w:p>
            <w:pPr>
              <w:spacing w:line="264" w:lineRule="auto"/>
            </w:pPr>
            <w:r>
              <w:rPr>
                <w:rFonts w:ascii="Arial" w:hAnsi="Arial"/>
                <w:b w:val="0"/>
                <w:color w:val="5B6470"/>
                <w:sz w:val="19"/>
              </w:rPr>
              <w:t>Gartner: 73% forecast agent-assist by end-2025</w:t>
            </w:r>
          </w:p>
        </w:tc>
        <w:tc>
          <w:tcPr>
            <w:tcW w:type="dxa" w:w="2880"/>
            <w:shd w:val="clear" w:color="auto" w:fill="FBEBD9"/>
            <w:tcMar>
              <w:top w:w="90" w:type="dxa"/>
              <w:bottom w:w="90" w:type="dxa"/>
              <w:left w:w="150" w:type="dxa"/>
              <w:right w:w="150" w:type="dxa"/>
            </w:tcMar>
          </w:tcPr>
          <w:p>
            <w:pPr>
              <w:spacing w:line="264" w:lineRule="auto"/>
            </w:pPr>
            <w:r>
              <w:rPr>
                <w:rFonts w:ascii="Arial" w:hAnsi="Arial"/>
                <w:b w:val="0"/>
                <w:color w:val="5B6470"/>
                <w:sz w:val="19"/>
              </w:rPr>
              <w:t>Assist/shadow mode is the lower-risk landing motion</w:t>
            </w:r>
          </w:p>
        </w:tc>
      </w:tr>
      <w:tr>
        <w:trPr>
          <w:cantSplit/>
        </w:trPr>
        <w:tc>
          <w:tcPr>
            <w:tcW w:type="dxa" w:w="2592"/>
            <w:shd w:val="clear" w:color="auto" w:fill="FFFFFF"/>
            <w:tcMar>
              <w:top w:w="90" w:type="dxa"/>
              <w:bottom w:w="90" w:type="dxa"/>
              <w:left w:w="150" w:type="dxa"/>
              <w:right w:w="150" w:type="dxa"/>
            </w:tcMar>
          </w:tcPr>
          <w:p>
            <w:pPr>
              <w:spacing w:line="264" w:lineRule="auto"/>
            </w:pPr>
            <w:r>
              <w:rPr>
                <w:rFonts w:ascii="Arial" w:hAnsi="Arial"/>
                <w:b/>
                <w:color w:val="1A1A1A"/>
                <w:sz w:val="19"/>
              </w:rPr>
              <w:t>Security / readiness</w:t>
            </w:r>
          </w:p>
        </w:tc>
        <w:tc>
          <w:tcPr>
            <w:tcW w:type="dxa" w:w="4608"/>
            <w:shd w:val="clear" w:color="auto" w:fill="FFFFFF"/>
            <w:tcMar>
              <w:top w:w="90" w:type="dxa"/>
              <w:bottom w:w="90" w:type="dxa"/>
              <w:left w:w="150" w:type="dxa"/>
              <w:right w:w="150" w:type="dxa"/>
            </w:tcMar>
          </w:tcPr>
          <w:p>
            <w:pPr>
              <w:spacing w:line="264" w:lineRule="auto"/>
            </w:pPr>
            <w:r>
              <w:rPr>
                <w:rFonts w:ascii="Arial" w:hAnsi="Arial"/>
                <w:b w:val="0"/>
                <w:color w:val="5B6470"/>
                <w:sz w:val="19"/>
              </w:rPr>
              <w:t>51% say security delayed or limited AI initiatives</w:t>
            </w:r>
          </w:p>
        </w:tc>
        <w:tc>
          <w:tcPr>
            <w:tcW w:type="dxa" w:w="2880"/>
            <w:shd w:val="clear" w:color="auto" w:fill="FFFFFF"/>
            <w:tcMar>
              <w:top w:w="90" w:type="dxa"/>
              <w:bottom w:w="90" w:type="dxa"/>
              <w:left w:w="150" w:type="dxa"/>
              <w:right w:w="150" w:type="dxa"/>
            </w:tcMar>
          </w:tcPr>
          <w:p>
            <w:pPr>
              <w:spacing w:line="264" w:lineRule="auto"/>
            </w:pPr>
            <w:r>
              <w:rPr>
                <w:rFonts w:ascii="Arial" w:hAnsi="Arial"/>
                <w:b w:val="0"/>
                <w:color w:val="5B6470"/>
                <w:sz w:val="19"/>
              </w:rPr>
              <w:t>Permissions, audit and data boundaries are requirements</w:t>
            </w:r>
          </w:p>
        </w:tc>
      </w:tr>
    </w:tbl>
    <w:p>
      <w:pPr>
        <w:spacing w:after="40"/>
      </w:pPr>
    </w:p>
    <w:tbl>
      <w:tblPr>
        <w:tblW w:type="auto" w:w="0"/>
        <w:jc w:val="center"/>
        <w:tblLook w:firstColumn="1" w:firstRow="1" w:lastColumn="0" w:lastRow="0" w:noHBand="0" w:noVBand="1" w:val="04A0"/>
      </w:tblPr>
      <w:tblGrid>
        <w:gridCol w:w="9412"/>
      </w:tblGrid>
      <w:tr>
        <w:trPr>
          <w:cantSplit/>
        </w:trPr>
        <w:tc>
          <w:tcPr>
            <w:tcW w:type="dxa" w:w="9412"/>
            <w:shd w:val="clear" w:color="auto" w:fill="FBEBD9"/>
            <w:tcMar>
              <w:top w:w="160" w:type="dxa"/>
              <w:bottom w:w="160" w:type="dxa"/>
              <w:left w:w="220" w:type="dxa"/>
              <w:right w:w="220" w:type="dxa"/>
            </w:tcMar>
          </w:tcPr>
          <w:p>
            <w:pPr>
              <w:spacing w:line="276" w:lineRule="auto"/>
            </w:pPr>
            <w:r>
              <w:rPr>
                <w:rFonts w:ascii="Arial" w:hAnsi="Arial"/>
                <w:b/>
                <w:color w:val="8A480B"/>
                <w:sz w:val="19"/>
              </w:rPr>
              <w:t xml:space="preserve">BOTTOM-UP COST POOL   </w:t>
            </w:r>
            <w:r>
              <w:rPr>
                <w:rFonts w:ascii="Arial" w:hAnsi="Arial"/>
                <w:b/>
                <w:color w:val="1A1A1A"/>
                <w:sz w:val="21"/>
              </w:rPr>
              <w:t>$430–860M/year, illustrative — chained from the sourced $16B mid-market survey (S09) × 27% integration-barrier share (E10) × a labeled 10–20% vertical-share assumption. A cost-of-the-problem ceiling, not a revenue forecast; full chain in research/bottom-up-market-estimate.md.</w:t>
            </w:r>
          </w:p>
        </w:tc>
      </w:tr>
    </w:tbl>
    <w:p>
      <w:pPr>
        <w:spacing w:after="40"/>
      </w:pPr>
    </w:p>
    <w:p>
      <w:pPr>
        <w:spacing w:after="160" w:line="283" w:lineRule="auto"/>
      </w:pPr>
      <w:r>
        <w:rPr>
          <w:rFonts w:ascii="Arial" w:hAnsi="Arial"/>
          <w:b w:val="0"/>
          <w:i w:val="0"/>
          <w:color w:val="1A1A1A"/>
          <w:sz w:val="20"/>
        </w:rPr>
        <w:t>Willingness-to-pay logic: customers may pay if the product removes measurable coordination work, improves SLA and avoids reopens at a predictable total cost. No interview established an economic buyer, budget threshold, or purchase intent.</w:t>
      </w:r>
    </w:p>
    <w:p>
      <w:pPr>
        <w:spacing w:after="40"/>
      </w:pPr>
      <w:r>
        <w:rPr>
          <w:rFonts w:ascii="Arial" w:hAnsi="Arial"/>
          <w:b/>
          <w:color w:val="B56012"/>
          <w:sz w:val="19"/>
        </w:rPr>
        <w:t>06 · CORE PROBLEM</w:t>
      </w:r>
    </w:p>
    <w:p>
      <w:pPr>
        <w:spacing w:after="200" w:before="40"/>
      </w:pPr>
      <w:r>
        <w:rPr>
          <w:rFonts w:ascii="Arial" w:hAnsi="Arial"/>
          <w:b/>
          <w:color w:val="1A1A1A"/>
          <w:sz w:val="44"/>
        </w:rPr>
        <w:t>One problem, aimed at the mismatch</w:t>
      </w:r>
    </w:p>
    <w:tbl>
      <w:tblPr>
        <w:tblW w:type="auto" w:w="0"/>
        <w:jc w:val="center"/>
        <w:tblLook w:firstColumn="1" w:firstRow="1" w:lastColumn="0" w:lastRow="0" w:noHBand="0" w:noVBand="1" w:val="04A0"/>
      </w:tblPr>
      <w:tblGrid>
        <w:gridCol w:w="9412"/>
      </w:tblGrid>
      <w:tr>
        <w:trPr>
          <w:cantSplit/>
        </w:trPr>
        <w:tc>
          <w:tcPr>
            <w:tcW w:type="dxa" w:w="9412"/>
            <w:shd w:val="clear" w:color="auto" w:fill="FBEBD9"/>
            <w:tcMar>
              <w:top w:w="160" w:type="dxa"/>
              <w:bottom w:w="160" w:type="dxa"/>
              <w:left w:w="220" w:type="dxa"/>
              <w:right w:w="220" w:type="dxa"/>
            </w:tcMar>
          </w:tcPr>
          <w:p>
            <w:pPr>
              <w:spacing w:line="276" w:lineRule="auto"/>
            </w:pPr>
            <w:r>
              <w:rPr>
                <w:rFonts w:ascii="Arial" w:hAnsi="Arial"/>
                <w:b/>
                <w:color w:val="8A480B"/>
                <w:sz w:val="19"/>
              </w:rPr>
              <w:t xml:space="preserve">JOB STORY   </w:t>
            </w:r>
            <w:r>
              <w:rPr>
                <w:rFonts w:ascii="Arial" w:hAnsi="Arial"/>
                <w:b/>
                <w:color w:val="1A1A1A"/>
                <w:sz w:val="21"/>
              </w:rPr>
              <w:t>when a support agent picks up a case that needs information or action from a second system, they want a single place to see everything relevant — because today that costs 15–25 minutes of manual work per case and leaves duplicate history for the next person to reconstruct.</w:t>
            </w:r>
          </w:p>
        </w:tc>
      </w:tr>
    </w:tbl>
    <w:p>
      <w:pPr>
        <w:spacing w:after="40"/>
      </w:pPr>
    </w:p>
    <w:p>
      <w:pPr>
        <w:spacing w:after="160" w:line="283" w:lineRule="auto"/>
      </w:pPr>
      <w:r>
        <w:rPr>
          <w:rFonts w:ascii="Arial" w:hAnsi="Arial"/>
          <w:b w:val="0"/>
          <w:i w:val="0"/>
          <w:color w:val="1A1A1A"/>
          <w:sz w:val="21"/>
        </w:rPr>
        <w:t>Two of four interviews (P01, P04) independently describe it — below the interview guide's own four-participant threshold. Leading hypothesis, not proven, aimed directly at the mismatch diagnosed above.</w:t>
      </w:r>
    </w:p>
    <w:p>
      <w:pPr>
        <w:spacing w:before="280" w:after="120"/>
      </w:pPr>
      <w:r>
        <w:rPr>
          <w:rFonts w:ascii="Arial" w:hAnsi="Arial"/>
          <w:b/>
          <w:color w:val="8A480B"/>
          <w:sz w:val="28"/>
        </w:rPr>
        <w:t>07 · Competitive position — what each incumbent already owns</w:t>
      </w:r>
    </w:p>
    <w:p>
      <w:pPr>
        <w:spacing w:after="120" w:line="283" w:lineRule="auto"/>
      </w:pPr>
      <w:r>
        <w:rPr>
          <w:rFonts w:ascii="Arial" w:hAnsi="Arial"/>
          <w:b w:val="0"/>
          <w:i/>
          <w:color w:val="5B6470"/>
          <w:sz w:val="19"/>
        </w:rPr>
        <w:t>Public sources, review signals, and two anonymized enterprise interviews were used to build a same-lens comparison across the four named incumbents.</w:t>
      </w:r>
    </w:p>
    <w:tbl>
      <w:tblPr>
        <w:tblW w:type="auto" w:w="0"/>
        <w:jc w:val="center"/>
        <w:tblLayout w:type="autofit"/>
        <w:tblLook w:firstColumn="1" w:firstRow="1" w:lastColumn="0" w:lastRow="0" w:noHBand="0" w:noVBand="1" w:val="04A0"/>
      </w:tblPr>
      <w:tblGrid>
        <w:gridCol w:w="4706"/>
        <w:gridCol w:w="4706"/>
      </w:tblGrid>
      <w:tr>
        <w:trPr>
          <w:cantSplit/>
        </w:trPr>
        <w:tc>
          <w:tcPr>
            <w:tcW w:type="dxa" w:w="4706"/>
            <w:shd w:val="clear" w:color="auto" w:fill="FBEBD9"/>
            <w:tcMar>
              <w:top w:w="180" w:type="dxa"/>
              <w:bottom w:w="180" w:type="dxa"/>
              <w:left w:w="220" w:type="dxa"/>
              <w:right w:w="220" w:type="dxa"/>
            </w:tcMar>
            <w:tcBorders>
              <w:top w:val="single" w:sz="24" w:color="5B6470"/>
            </w:tcBorders>
          </w:tcPr>
          <w:p>
            <w:pPr>
              <w:spacing w:after="80"/>
            </w:pPr>
            <w:r/>
          </w:p>
          <w:tbl>
            <w:tblPr>
              <w:tblW w:type="auto" w:w="0"/>
              <w:tblLayout w:type="fixed"/>
              <w:tblLook w:firstColumn="1" w:firstRow="1" w:lastColumn="0" w:lastRow="0" w:noHBand="0" w:noVBand="1" w:val="04A0"/>
            </w:tblPr>
            <w:tblGrid>
              <w:gridCol w:w="4706"/>
            </w:tblGrid>
            <w:tr>
              <w:trPr>
                <w:trHeight w:val="432"/>
              </w:trPr>
              <w:tc>
                <w:tcPr>
                  <w:tcW w:type="dxa" w:w="432"/>
                  <w:shd w:val="clear" w:color="auto" w:fill="5B6470"/>
                  <w:tcMar>
                    <w:top w:w="60" w:type="dxa"/>
                    <w:bottom w:w="60" w:type="dxa"/>
                    <w:left w:w="0" w:type="dxa"/>
                    <w:right w:w="0" w:type="dxa"/>
                  </w:tcMar>
                </w:tcPr>
                <w:p>
                  <w:pPr>
                    <w:jc w:val="center"/>
                  </w:pPr>
                  <w:r>
                    <w:rPr>
                      <w:rFonts w:ascii="Arial" w:hAnsi="Arial"/>
                      <w:b/>
                      <w:color w:val="FFFFFF"/>
                      <w:sz w:val="22"/>
                    </w:rPr>
                    <w:t>IN</w:t>
                  </w:r>
                </w:p>
              </w:tc>
            </w:tr>
          </w:tbl>
          <w:p/>
          <w:p>
            <w:pPr>
              <w:spacing w:before="120" w:after="80"/>
            </w:pPr>
            <w:r>
              <w:rPr>
                <w:rFonts w:ascii="Arial" w:hAnsi="Arial"/>
                <w:b/>
                <w:color w:val="1A1A1A"/>
                <w:sz w:val="22"/>
              </w:rPr>
              <w:t>Intercom / Fin</w:t>
            </w:r>
          </w:p>
          <w:p>
            <w:pPr>
              <w:spacing w:line="276" w:lineRule="auto"/>
            </w:pPr>
            <w:r>
              <w:rPr>
                <w:rFonts w:ascii="Arial" w:hAnsi="Arial"/>
                <w:color w:val="5B6470"/>
                <w:sz w:val="19"/>
              </w:rPr>
              <w:t>Promise: AI resolution with a clear outcome unit (V1–V3). Weakness: complex workflows and tuning can shift work back into support ops (R1, R2).</w:t>
            </w:r>
          </w:p>
        </w:tc>
        <w:tc>
          <w:tcPr>
            <w:tcW w:type="dxa" w:w="4706"/>
            <w:shd w:val="clear" w:color="auto" w:fill="F2F1EF"/>
            <w:tcMar>
              <w:top w:w="180" w:type="dxa"/>
              <w:bottom w:w="180" w:type="dxa"/>
              <w:left w:w="220" w:type="dxa"/>
              <w:right w:w="220" w:type="dxa"/>
            </w:tcMar>
            <w:tcBorders>
              <w:top w:val="single" w:sz="24" w:color="5B6470"/>
            </w:tcBorders>
          </w:tcPr>
          <w:p>
            <w:pPr>
              <w:spacing w:after="80"/>
            </w:pPr>
            <w:r/>
          </w:p>
          <w:tbl>
            <w:tblPr>
              <w:tblW w:type="auto" w:w="0"/>
              <w:tblLayout w:type="fixed"/>
              <w:tblLook w:firstColumn="1" w:firstRow="1" w:lastColumn="0" w:lastRow="0" w:noHBand="0" w:noVBand="1" w:val="04A0"/>
            </w:tblPr>
            <w:tblGrid>
              <w:gridCol w:w="4706"/>
            </w:tblGrid>
            <w:tr>
              <w:trPr>
                <w:trHeight w:val="432"/>
              </w:trPr>
              <w:tc>
                <w:tcPr>
                  <w:tcW w:type="dxa" w:w="432"/>
                  <w:shd w:val="clear" w:color="auto" w:fill="5B6470"/>
                  <w:tcMar>
                    <w:top w:w="60" w:type="dxa"/>
                    <w:bottom w:w="60" w:type="dxa"/>
                    <w:left w:w="0" w:type="dxa"/>
                    <w:right w:w="0" w:type="dxa"/>
                  </w:tcMar>
                </w:tcPr>
                <w:p>
                  <w:pPr>
                    <w:jc w:val="center"/>
                  </w:pPr>
                  <w:r>
                    <w:rPr>
                      <w:rFonts w:ascii="Arial" w:hAnsi="Arial"/>
                      <w:b/>
                      <w:color w:val="FFFFFF"/>
                      <w:sz w:val="22"/>
                    </w:rPr>
                    <w:t>ZD</w:t>
                  </w:r>
                </w:p>
              </w:tc>
            </w:tr>
          </w:tbl>
          <w:p/>
          <w:p>
            <w:pPr>
              <w:spacing w:before="120" w:after="80"/>
            </w:pPr>
            <w:r>
              <w:rPr>
                <w:rFonts w:ascii="Arial" w:hAnsi="Arial"/>
                <w:b/>
                <w:color w:val="1A1A1A"/>
                <w:sz w:val="22"/>
              </w:rPr>
              <w:t>Zendesk AI</w:t>
            </w:r>
          </w:p>
          <w:p>
            <w:pPr>
              <w:spacing w:line="276" w:lineRule="auto"/>
            </w:pPr>
            <w:r>
              <w:rPr>
                <w:rFonts w:ascii="Arial" w:hAnsi="Arial"/>
                <w:color w:val="5B6470"/>
                <w:sz w:val="19"/>
              </w:rPr>
              <w:t>Promise: complete service operations with embedded AI (V4, V5). Weakness: product breadth increases configuration and total-cost complexity (R3, R4).</w:t>
            </w:r>
          </w:p>
        </w:tc>
      </w:tr>
      <w:tr>
        <w:trPr>
          <w:cantSplit/>
        </w:trPr>
        <w:tc>
          <w:tcPr>
            <w:tcW w:type="dxa" w:w="4706"/>
            <w:shd w:val="clear" w:color="auto" w:fill="FBEBD9"/>
            <w:tcMar>
              <w:top w:w="180" w:type="dxa"/>
              <w:bottom w:w="180" w:type="dxa"/>
              <w:left w:w="220" w:type="dxa"/>
              <w:right w:w="220" w:type="dxa"/>
            </w:tcMar>
            <w:tcBorders>
              <w:top w:val="single" w:sz="24" w:color="5B6470"/>
            </w:tcBorders>
          </w:tcPr>
          <w:p>
            <w:pPr>
              <w:spacing w:after="80"/>
            </w:pPr>
            <w:r/>
          </w:p>
          <w:tbl>
            <w:tblPr>
              <w:tblW w:type="auto" w:w="0"/>
              <w:tblLayout w:type="fixed"/>
              <w:tblLook w:firstColumn="1" w:firstRow="1" w:lastColumn="0" w:lastRow="0" w:noHBand="0" w:noVBand="1" w:val="04A0"/>
            </w:tblPr>
            <w:tblGrid>
              <w:gridCol w:w="4706"/>
            </w:tblGrid>
            <w:tr>
              <w:trPr>
                <w:trHeight w:val="432"/>
              </w:trPr>
              <w:tc>
                <w:tcPr>
                  <w:tcW w:type="dxa" w:w="432"/>
                  <w:shd w:val="clear" w:color="auto" w:fill="5B6470"/>
                  <w:tcMar>
                    <w:top w:w="60" w:type="dxa"/>
                    <w:bottom w:w="60" w:type="dxa"/>
                    <w:left w:w="0" w:type="dxa"/>
                    <w:right w:w="0" w:type="dxa"/>
                  </w:tcMar>
                </w:tcPr>
                <w:p>
                  <w:pPr>
                    <w:jc w:val="center"/>
                  </w:pPr>
                  <w:r>
                    <w:rPr>
                      <w:rFonts w:ascii="Arial" w:hAnsi="Arial"/>
                      <w:b/>
                      <w:color w:val="FFFFFF"/>
                      <w:sz w:val="22"/>
                    </w:rPr>
                    <w:t>FD</w:t>
                  </w:r>
                </w:p>
              </w:tc>
            </w:tr>
          </w:tbl>
          <w:p/>
          <w:p>
            <w:pPr>
              <w:spacing w:before="120" w:after="80"/>
            </w:pPr>
            <w:r>
              <w:rPr>
                <w:rFonts w:ascii="Arial" w:hAnsi="Arial"/>
                <w:b/>
                <w:color w:val="1A1A1A"/>
                <w:sz w:val="22"/>
              </w:rPr>
              <w:t>Freshdesk / Freddy AI</w:t>
            </w:r>
          </w:p>
          <w:p>
            <w:pPr>
              <w:spacing w:line="276" w:lineRule="auto"/>
            </w:pPr>
            <w:r>
              <w:rPr>
                <w:rFonts w:ascii="Arial" w:hAnsi="Arial"/>
                <w:color w:val="5B6470"/>
                <w:sz w:val="19"/>
              </w:rPr>
              <w:t>Promise: approachable omnichannel service, packaged AI (V6–V8). Weakness: advanced depth and integration reliability lag as teams mature (R5).</w:t>
            </w:r>
          </w:p>
        </w:tc>
        <w:tc>
          <w:tcPr>
            <w:tcW w:type="dxa" w:w="4706"/>
            <w:shd w:val="clear" w:color="auto" w:fill="F2F1EF"/>
            <w:tcMar>
              <w:top w:w="180" w:type="dxa"/>
              <w:bottom w:w="180" w:type="dxa"/>
              <w:left w:w="220" w:type="dxa"/>
              <w:right w:w="220" w:type="dxa"/>
            </w:tcMar>
            <w:tcBorders>
              <w:top w:val="single" w:sz="24" w:color="5B6470"/>
            </w:tcBorders>
          </w:tcPr>
          <w:p>
            <w:pPr>
              <w:spacing w:after="80"/>
            </w:pPr>
            <w:r/>
          </w:p>
          <w:tbl>
            <w:tblPr>
              <w:tblW w:type="auto" w:w="0"/>
              <w:tblLayout w:type="fixed"/>
              <w:tblLook w:firstColumn="1" w:firstRow="1" w:lastColumn="0" w:lastRow="0" w:noHBand="0" w:noVBand="1" w:val="04A0"/>
            </w:tblPr>
            <w:tblGrid>
              <w:gridCol w:w="4706"/>
            </w:tblGrid>
            <w:tr>
              <w:trPr>
                <w:trHeight w:val="432"/>
              </w:trPr>
              <w:tc>
                <w:tcPr>
                  <w:tcW w:type="dxa" w:w="432"/>
                  <w:shd w:val="clear" w:color="auto" w:fill="5B6470"/>
                  <w:tcMar>
                    <w:top w:w="60" w:type="dxa"/>
                    <w:bottom w:w="60" w:type="dxa"/>
                    <w:left w:w="0" w:type="dxa"/>
                    <w:right w:w="0" w:type="dxa"/>
                  </w:tcMar>
                </w:tcPr>
                <w:p>
                  <w:pPr>
                    <w:jc w:val="center"/>
                  </w:pPr>
                  <w:r>
                    <w:rPr>
                      <w:rFonts w:ascii="Arial" w:hAnsi="Arial"/>
                      <w:b/>
                      <w:color w:val="FFFFFF"/>
                      <w:sz w:val="22"/>
                    </w:rPr>
                    <w:t>SF</w:t>
                  </w:r>
                </w:p>
              </w:tc>
            </w:tr>
          </w:tbl>
          <w:p/>
          <w:p>
            <w:pPr>
              <w:spacing w:before="120" w:after="80"/>
            </w:pPr>
            <w:r>
              <w:rPr>
                <w:rFonts w:ascii="Arial" w:hAnsi="Arial"/>
                <w:b/>
                <w:color w:val="1A1A1A"/>
                <w:sz w:val="22"/>
              </w:rPr>
              <w:t>Salesforce / Agentforce</w:t>
            </w:r>
          </w:p>
          <w:p>
            <w:pPr>
              <w:spacing w:line="276" w:lineRule="auto"/>
            </w:pPr>
            <w:r>
              <w:rPr>
                <w:rFonts w:ascii="Arial" w:hAnsi="Arial"/>
                <w:color w:val="5B6470"/>
                <w:sz w:val="19"/>
              </w:rPr>
              <w:t>Promise: governed AI on trusted CRM context (V9–V11). Weakness: time to value and cross-cloud complexity can be high (R6).</w:t>
            </w:r>
          </w:p>
        </w:tc>
      </w:tr>
    </w:tbl>
    <w:p>
      <w:pPr>
        <w:spacing w:after="80"/>
      </w:pPr>
    </w:p>
    <w:p>
      <w:pPr>
        <w:spacing w:after="160" w:line="283" w:lineRule="auto"/>
      </w:pPr>
      <w:r>
        <w:rPr>
          <w:rFonts w:ascii="Arial" w:hAnsi="Arial"/>
          <w:b w:val="0"/>
          <w:i/>
          <w:color w:val="5B6470"/>
          <w:sz w:val="20"/>
        </w:rPr>
        <w:t>Rejected differentiators: “uses AI,” “unifies context,” “integrates with existing tools,” “governed and secure,” “vendor neutral” — necessary, none sufficient.</w:t>
      </w:r>
    </w:p>
    <w:p>
      <w:pPr>
        <w:spacing w:before="280" w:after="120"/>
      </w:pPr>
      <w:r>
        <w:rPr>
          <w:rFonts w:ascii="Arial" w:hAnsi="Arial"/>
          <w:b/>
          <w:color w:val="8A480B"/>
          <w:sz w:val="28"/>
        </w:rPr>
        <w:t>Entry wedge, what compounds, and where to test each incumbent</w:t>
      </w:r>
    </w:p>
    <w:tbl>
      <w:tblPr>
        <w:tblW w:type="auto" w:w="0"/>
        <w:jc w:val="center"/>
        <w:tblLayout w:type="autofit"/>
        <w:tblLook w:firstColumn="1" w:firstRow="1" w:lastColumn="0" w:lastRow="0" w:noHBand="0" w:noVBand="1" w:val="04A0"/>
      </w:tblPr>
      <w:tblGrid>
        <w:gridCol w:w="3137"/>
        <w:gridCol w:w="3137"/>
        <w:gridCol w:w="3137"/>
      </w:tblGrid>
      <w:tr>
        <w:trPr>
          <w:cantSplit/>
        </w:trPr>
        <w:tc>
          <w:tcPr>
            <w:tcW w:type="dxa" w:w="2736"/>
            <w:shd w:val="clear" w:color="auto" w:fill="8A480B"/>
            <w:tcMar>
              <w:top w:w="90" w:type="dxa"/>
              <w:bottom w:w="90" w:type="dxa"/>
              <w:left w:w="150" w:type="dxa"/>
              <w:right w:w="150" w:type="dxa"/>
            </w:tcMar>
          </w:tcPr>
          <w:p>
            <w:r>
              <w:rPr>
                <w:rFonts w:ascii="Arial" w:hAnsi="Arial"/>
                <w:b/>
                <w:color w:val="FFFFFF"/>
                <w:sz w:val="18"/>
              </w:rPr>
              <w:t>PRODUCT</w:t>
            </w:r>
          </w:p>
        </w:tc>
        <w:tc>
          <w:tcPr>
            <w:tcW w:type="dxa" w:w="3744"/>
            <w:shd w:val="clear" w:color="auto" w:fill="8A480B"/>
            <w:tcMar>
              <w:top w:w="90" w:type="dxa"/>
              <w:bottom w:w="90" w:type="dxa"/>
              <w:left w:w="150" w:type="dxa"/>
              <w:right w:w="150" w:type="dxa"/>
            </w:tcMar>
          </w:tcPr>
          <w:p>
            <w:r>
              <w:rPr>
                <w:rFonts w:ascii="Arial" w:hAnsi="Arial"/>
                <w:b/>
                <w:color w:val="FFFFFF"/>
                <w:sz w:val="18"/>
              </w:rPr>
              <w:t>ENTRY WEDGE</w:t>
            </w:r>
          </w:p>
        </w:tc>
        <w:tc>
          <w:tcPr>
            <w:tcW w:type="dxa" w:w="4176"/>
            <w:shd w:val="clear" w:color="auto" w:fill="8A480B"/>
            <w:tcMar>
              <w:top w:w="90" w:type="dxa"/>
              <w:bottom w:w="90" w:type="dxa"/>
              <w:left w:w="150" w:type="dxa"/>
              <w:right w:w="150" w:type="dxa"/>
            </w:tcMar>
          </w:tcPr>
          <w:p>
            <w:r>
              <w:rPr>
                <w:rFonts w:ascii="Arial" w:hAnsi="Arial"/>
                <w:b/>
                <w:color w:val="FFFFFF"/>
                <w:sz w:val="18"/>
              </w:rPr>
              <w:t>VULNERABILITY TO TEST</w:t>
            </w:r>
          </w:p>
        </w:tc>
      </w:tr>
      <w:tr>
        <w:trPr>
          <w:cantSplit/>
        </w:trPr>
        <w:tc>
          <w:tcPr>
            <w:tcW w:type="dxa" w:w="2736"/>
            <w:shd w:val="clear" w:color="auto" w:fill="FFFFFF"/>
            <w:tcMar>
              <w:top w:w="90" w:type="dxa"/>
              <w:bottom w:w="90" w:type="dxa"/>
              <w:left w:w="150" w:type="dxa"/>
              <w:right w:w="150" w:type="dxa"/>
            </w:tcMar>
          </w:tcPr>
          <w:p>
            <w:pPr>
              <w:spacing w:line="264" w:lineRule="auto"/>
            </w:pPr>
            <w:r>
              <w:rPr>
                <w:rFonts w:ascii="Arial" w:hAnsi="Arial"/>
                <w:b/>
                <w:color w:val="1A1A1A"/>
                <w:sz w:val="19"/>
              </w:rPr>
              <w:t>Intercom / Fin</w:t>
            </w:r>
          </w:p>
        </w:tc>
        <w:tc>
          <w:tcPr>
            <w:tcW w:type="dxa" w:w="3744"/>
            <w:shd w:val="clear" w:color="auto" w:fill="FFFFFF"/>
            <w:tcMar>
              <w:top w:w="90" w:type="dxa"/>
              <w:bottom w:w="90" w:type="dxa"/>
              <w:left w:w="150" w:type="dxa"/>
              <w:right w:w="150" w:type="dxa"/>
            </w:tcMar>
          </w:tcPr>
          <w:p>
            <w:pPr>
              <w:spacing w:line="264" w:lineRule="auto"/>
            </w:pPr>
            <w:r>
              <w:rPr>
                <w:rFonts w:ascii="Arial" w:hAnsi="Arial"/>
                <w:b w:val="0"/>
                <w:color w:val="5B6470"/>
                <w:sz w:val="19"/>
              </w:rPr>
              <w:t>Standalone, outcome-priced AI agent</w:t>
            </w:r>
          </w:p>
        </w:tc>
        <w:tc>
          <w:tcPr>
            <w:tcW w:type="dxa" w:w="4176"/>
            <w:shd w:val="clear" w:color="auto" w:fill="FFFFFF"/>
            <w:tcMar>
              <w:top w:w="90" w:type="dxa"/>
              <w:bottom w:w="90" w:type="dxa"/>
              <w:left w:w="150" w:type="dxa"/>
              <w:right w:w="150" w:type="dxa"/>
            </w:tcMar>
          </w:tcPr>
          <w:p>
            <w:pPr>
              <w:spacing w:line="264" w:lineRule="auto"/>
            </w:pPr>
            <w:r>
              <w:rPr>
                <w:rFonts w:ascii="Arial" w:hAnsi="Arial"/>
                <w:b w:val="0"/>
                <w:color w:val="5B6470"/>
                <w:sz w:val="19"/>
              </w:rPr>
              <w:t>Tuning effort, handoff quality, cost predictability</w:t>
            </w:r>
          </w:p>
        </w:tc>
      </w:tr>
      <w:tr>
        <w:trPr>
          <w:cantSplit/>
        </w:trPr>
        <w:tc>
          <w:tcPr>
            <w:tcW w:type="dxa" w:w="2736"/>
            <w:shd w:val="clear" w:color="auto" w:fill="FBEBD9"/>
            <w:tcMar>
              <w:top w:w="90" w:type="dxa"/>
              <w:bottom w:w="90" w:type="dxa"/>
              <w:left w:w="150" w:type="dxa"/>
              <w:right w:w="150" w:type="dxa"/>
            </w:tcMar>
          </w:tcPr>
          <w:p>
            <w:pPr>
              <w:spacing w:line="264" w:lineRule="auto"/>
            </w:pPr>
            <w:r>
              <w:rPr>
                <w:rFonts w:ascii="Arial" w:hAnsi="Arial"/>
                <w:b/>
                <w:color w:val="1A1A1A"/>
                <w:sz w:val="19"/>
              </w:rPr>
              <w:t>Zendesk AI</w:t>
            </w:r>
          </w:p>
        </w:tc>
        <w:tc>
          <w:tcPr>
            <w:tcW w:type="dxa" w:w="3744"/>
            <w:shd w:val="clear" w:color="auto" w:fill="FBEBD9"/>
            <w:tcMar>
              <w:top w:w="90" w:type="dxa"/>
              <w:bottom w:w="90" w:type="dxa"/>
              <w:left w:w="150" w:type="dxa"/>
              <w:right w:w="150" w:type="dxa"/>
            </w:tcMar>
          </w:tcPr>
          <w:p>
            <w:pPr>
              <w:spacing w:line="264" w:lineRule="auto"/>
            </w:pPr>
            <w:r>
              <w:rPr>
                <w:rFonts w:ascii="Arial" w:hAnsi="Arial"/>
                <w:b w:val="0"/>
                <w:color w:val="5B6470"/>
                <w:sz w:val="19"/>
              </w:rPr>
              <w:t>Trusted ticketing system of record</w:t>
            </w:r>
          </w:p>
        </w:tc>
        <w:tc>
          <w:tcPr>
            <w:tcW w:type="dxa" w:w="4176"/>
            <w:shd w:val="clear" w:color="auto" w:fill="FBEBD9"/>
            <w:tcMar>
              <w:top w:w="90" w:type="dxa"/>
              <w:bottom w:w="90" w:type="dxa"/>
              <w:left w:w="150" w:type="dxa"/>
              <w:right w:w="150" w:type="dxa"/>
            </w:tcMar>
          </w:tcPr>
          <w:p>
            <w:pPr>
              <w:spacing w:line="264" w:lineRule="auto"/>
            </w:pPr>
            <w:r>
              <w:rPr>
                <w:rFonts w:ascii="Arial" w:hAnsi="Arial"/>
                <w:b w:val="0"/>
                <w:color w:val="5B6470"/>
                <w:sz w:val="19"/>
              </w:rPr>
              <w:t>Setup effort and workflow-specific resolution quality</w:t>
            </w:r>
          </w:p>
        </w:tc>
      </w:tr>
      <w:tr>
        <w:trPr>
          <w:cantSplit/>
        </w:trPr>
        <w:tc>
          <w:tcPr>
            <w:tcW w:type="dxa" w:w="2736"/>
            <w:shd w:val="clear" w:color="auto" w:fill="FFFFFF"/>
            <w:tcMar>
              <w:top w:w="90" w:type="dxa"/>
              <w:bottom w:w="90" w:type="dxa"/>
              <w:left w:w="150" w:type="dxa"/>
              <w:right w:w="150" w:type="dxa"/>
            </w:tcMar>
          </w:tcPr>
          <w:p>
            <w:pPr>
              <w:spacing w:line="264" w:lineRule="auto"/>
            </w:pPr>
            <w:r>
              <w:rPr>
                <w:rFonts w:ascii="Arial" w:hAnsi="Arial"/>
                <w:b/>
                <w:color w:val="1A1A1A"/>
                <w:sz w:val="19"/>
              </w:rPr>
              <w:t>Freshdesk / Freddy AI</w:t>
            </w:r>
          </w:p>
        </w:tc>
        <w:tc>
          <w:tcPr>
            <w:tcW w:type="dxa" w:w="3744"/>
            <w:shd w:val="clear" w:color="auto" w:fill="FFFFFF"/>
            <w:tcMar>
              <w:top w:w="90" w:type="dxa"/>
              <w:bottom w:w="90" w:type="dxa"/>
              <w:left w:w="150" w:type="dxa"/>
              <w:right w:w="150" w:type="dxa"/>
            </w:tcMar>
          </w:tcPr>
          <w:p>
            <w:pPr>
              <w:spacing w:line="264" w:lineRule="auto"/>
            </w:pPr>
            <w:r>
              <w:rPr>
                <w:rFonts w:ascii="Arial" w:hAnsi="Arial"/>
                <w:b w:val="0"/>
                <w:color w:val="5B6470"/>
                <w:sz w:val="19"/>
              </w:rPr>
              <w:t>Ease and accessible price-to-value</w:t>
            </w:r>
          </w:p>
        </w:tc>
        <w:tc>
          <w:tcPr>
            <w:tcW w:type="dxa" w:w="4176"/>
            <w:shd w:val="clear" w:color="auto" w:fill="FFFFFF"/>
            <w:tcMar>
              <w:top w:w="90" w:type="dxa"/>
              <w:bottom w:w="90" w:type="dxa"/>
              <w:left w:w="150" w:type="dxa"/>
              <w:right w:w="150" w:type="dxa"/>
            </w:tcMar>
          </w:tcPr>
          <w:p>
            <w:pPr>
              <w:spacing w:line="264" w:lineRule="auto"/>
            </w:pPr>
            <w:r>
              <w:rPr>
                <w:rFonts w:ascii="Arial" w:hAnsi="Arial"/>
                <w:b w:val="0"/>
                <w:color w:val="5B6470"/>
                <w:sz w:val="19"/>
              </w:rPr>
              <w:t>Advanced depth and integration reliability as teams mature</w:t>
            </w:r>
          </w:p>
        </w:tc>
      </w:tr>
      <w:tr>
        <w:trPr>
          <w:cantSplit/>
        </w:trPr>
        <w:tc>
          <w:tcPr>
            <w:tcW w:type="dxa" w:w="2736"/>
            <w:shd w:val="clear" w:color="auto" w:fill="FBEBD9"/>
            <w:tcMar>
              <w:top w:w="90" w:type="dxa"/>
              <w:bottom w:w="90" w:type="dxa"/>
              <w:left w:w="150" w:type="dxa"/>
              <w:right w:w="150" w:type="dxa"/>
            </w:tcMar>
          </w:tcPr>
          <w:p>
            <w:pPr>
              <w:spacing w:line="264" w:lineRule="auto"/>
            </w:pPr>
            <w:r>
              <w:rPr>
                <w:rFonts w:ascii="Arial" w:hAnsi="Arial"/>
                <w:b/>
                <w:color w:val="1A1A1A"/>
                <w:sz w:val="19"/>
              </w:rPr>
              <w:t>Salesforce / Agentforce</w:t>
            </w:r>
          </w:p>
        </w:tc>
        <w:tc>
          <w:tcPr>
            <w:tcW w:type="dxa" w:w="3744"/>
            <w:shd w:val="clear" w:color="auto" w:fill="FBEBD9"/>
            <w:tcMar>
              <w:top w:w="90" w:type="dxa"/>
              <w:bottom w:w="90" w:type="dxa"/>
              <w:left w:w="150" w:type="dxa"/>
              <w:right w:w="150" w:type="dxa"/>
            </w:tcMar>
          </w:tcPr>
          <w:p>
            <w:pPr>
              <w:spacing w:line="264" w:lineRule="auto"/>
            </w:pPr>
            <w:r>
              <w:rPr>
                <w:rFonts w:ascii="Arial" w:hAnsi="Arial"/>
                <w:b w:val="0"/>
                <w:color w:val="5B6470"/>
                <w:sz w:val="19"/>
              </w:rPr>
              <w:t>CRM context and enterprise governance</w:t>
            </w:r>
          </w:p>
        </w:tc>
        <w:tc>
          <w:tcPr>
            <w:tcW w:type="dxa" w:w="4176"/>
            <w:shd w:val="clear" w:color="auto" w:fill="FBEBD9"/>
            <w:tcMar>
              <w:top w:w="90" w:type="dxa"/>
              <w:bottom w:w="90" w:type="dxa"/>
              <w:left w:w="150" w:type="dxa"/>
              <w:right w:w="150" w:type="dxa"/>
            </w:tcMar>
          </w:tcPr>
          <w:p>
            <w:pPr>
              <w:spacing w:line="264" w:lineRule="auto"/>
            </w:pPr>
            <w:r>
              <w:rPr>
                <w:rFonts w:ascii="Arial" w:hAnsi="Arial"/>
                <w:b w:val="0"/>
                <w:color w:val="5B6470"/>
                <w:sz w:val="19"/>
              </w:rPr>
              <w:t>Time to value and fit for non-Salesforce stacks</w:t>
            </w:r>
          </w:p>
        </w:tc>
      </w:tr>
    </w:tbl>
    <w:p>
      <w:pPr>
        <w:spacing w:after="40"/>
      </w:pPr>
    </w:p>
    <w:p>
      <w:pPr>
        <w:spacing w:after="40"/>
        <w:jc w:val="center"/>
      </w:pPr>
      <w:r>
        <w:drawing>
          <wp:inline xmlns:a="http://schemas.openxmlformats.org/drawingml/2006/main" xmlns:pic="http://schemas.openxmlformats.org/drawingml/2006/picture">
            <wp:extent cx="4846320" cy="4111264"/>
            <wp:docPr id="3" name="Picture 3"/>
            <wp:cNvGraphicFramePr>
              <a:graphicFrameLocks noChangeAspect="1"/>
            </wp:cNvGraphicFramePr>
            <a:graphic>
              <a:graphicData uri="http://schemas.openxmlformats.org/drawingml/2006/picture">
                <pic:pic>
                  <pic:nvPicPr>
                    <pic:cNvPr id="0" name="competitive_positioning.png"/>
                    <pic:cNvPicPr/>
                  </pic:nvPicPr>
                  <pic:blipFill>
                    <a:blip r:embed="rId12"/>
                    <a:stretch>
                      <a:fillRect/>
                    </a:stretch>
                  </pic:blipFill>
                  <pic:spPr>
                    <a:xfrm>
                      <a:off x="0" y="0"/>
                      <a:ext cx="4846320" cy="4111264"/>
                    </a:xfrm>
                    <a:prstGeom prst="rect"/>
                  </pic:spPr>
                </pic:pic>
              </a:graphicData>
            </a:graphic>
          </wp:inline>
        </w:drawing>
      </w:r>
    </w:p>
    <w:p>
      <w:pPr>
        <w:spacing w:after="80"/>
      </w:pPr>
    </w:p>
    <w:tbl>
      <w:tblPr>
        <w:tblW w:type="auto" w:w="0"/>
        <w:jc w:val="center"/>
        <w:tblLook w:firstColumn="1" w:firstRow="1" w:lastColumn="0" w:lastRow="0" w:noHBand="0" w:noVBand="1" w:val="04A0"/>
      </w:tblPr>
      <w:tblGrid>
        <w:gridCol w:w="9412"/>
      </w:tblGrid>
      <w:tr>
        <w:trPr>
          <w:cantSplit/>
        </w:trPr>
        <w:tc>
          <w:tcPr>
            <w:tcW w:type="dxa" w:w="9412"/>
            <w:shd w:val="clear" w:color="auto" w:fill="FBEBD9"/>
            <w:tcMar>
              <w:top w:w="160" w:type="dxa"/>
              <w:bottom w:w="160" w:type="dxa"/>
              <w:left w:w="220" w:type="dxa"/>
              <w:right w:w="220" w:type="dxa"/>
            </w:tcMar>
          </w:tcPr>
          <w:p>
            <w:pPr>
              <w:spacing w:line="276" w:lineRule="auto"/>
            </w:pPr>
            <w:r>
              <w:rPr>
                <w:rFonts w:ascii="Arial" w:hAnsi="Arial"/>
                <w:b/>
                <w:color w:val="8A480B"/>
                <w:sz w:val="19"/>
              </w:rPr>
              <w:t xml:space="preserve">SEVEN CAPABILITIES EVERY INCUMBENT ALREADY CLAIMS   </w:t>
            </w:r>
            <w:r>
              <w:rPr>
                <w:rFonts w:ascii="Arial" w:hAnsi="Arial"/>
                <w:b/>
                <w:color w:val="1A1A1A"/>
                <w:sz w:val="21"/>
              </w:rPr>
              <w:t>AI agents with knowledge-grounded answers; agent assistance and summarization; human handoff and approvals; external integrations and system actions; analytics, evaluation and governance; usage- or outcome-based pricing; compatibility with an existing service stack. Generic AI and integration claims cannot carry the strategy — the entry needs one workflow where the product proves better completion, control, effort, or cost than the incumbent's native AI.</w:t>
            </w:r>
          </w:p>
        </w:tc>
      </w:tr>
    </w:tbl>
    <w:p>
      <w:pPr>
        <w:spacing w:after="40"/>
      </w:pPr>
    </w:p>
    <w:tbl>
      <w:tblPr>
        <w:tblW w:type="auto" w:w="0"/>
        <w:jc w:val="center"/>
        <w:tblLook w:firstColumn="1" w:firstRow="1" w:lastColumn="0" w:lastRow="0" w:noHBand="0" w:noVBand="1" w:val="04A0"/>
      </w:tblPr>
      <w:tblGrid>
        <w:gridCol w:w="9412"/>
      </w:tblGrid>
      <w:tr>
        <w:trPr>
          <w:cantSplit/>
        </w:trPr>
        <w:tc>
          <w:tcPr>
            <w:tcW w:type="dxa" w:w="9412"/>
            <w:shd w:val="clear" w:color="auto" w:fill="FBEBD9"/>
            <w:tcMar>
              <w:top w:w="160" w:type="dxa"/>
              <w:bottom w:w="160" w:type="dxa"/>
              <w:left w:w="220" w:type="dxa"/>
              <w:right w:w="220" w:type="dxa"/>
            </w:tcMar>
          </w:tcPr>
          <w:p>
            <w:pPr>
              <w:spacing w:line="276" w:lineRule="auto"/>
            </w:pPr>
            <w:r>
              <w:rPr>
                <w:rFonts w:ascii="Arial" w:hAnsi="Arial"/>
                <w:b/>
                <w:color w:val="8A480B"/>
                <w:sz w:val="19"/>
              </w:rPr>
              <w:t xml:space="preserve">CATEGORY WEDGE TO TEST   </w:t>
            </w:r>
            <w:r>
              <w:rPr>
                <w:rFonts w:ascii="Arial" w:hAnsi="Arial"/>
                <w:b/>
                <w:color w:val="1A1A1A"/>
                <w:sz w:val="21"/>
              </w:rPr>
              <w:t>workflow-specific completeness — assemble permissioned context, show the evidence used, route approval, preserve the full handoff, and write the result back — across a small set of stacks, faster and cheaper than the incumbent's native AI.</w:t>
            </w:r>
          </w:p>
        </w:tc>
      </w:tr>
    </w:tbl>
    <w:p>
      <w:pPr>
        <w:spacing w:after="40"/>
      </w:pPr>
    </w:p>
    <w:p>
      <w:pPr>
        <w:spacing w:after="40"/>
      </w:pPr>
      <w:r>
        <w:rPr>
          <w:rFonts w:ascii="Arial" w:hAnsi="Arial"/>
          <w:b/>
          <w:color w:val="B56012"/>
          <w:sz w:val="19"/>
        </w:rPr>
        <w:t>08 · PRODUCT, MVP, AND SEQUENCING</w:t>
      </w:r>
    </w:p>
    <w:p>
      <w:pPr>
        <w:spacing w:after="200" w:before="40"/>
      </w:pPr>
      <w:r>
        <w:rPr>
          <w:rFonts w:ascii="Arial" w:hAnsi="Arial"/>
          <w:b/>
          <w:color w:val="1A1A1A"/>
          <w:sz w:val="44"/>
        </w:rPr>
        <w:t>The workflow, sequenced by earned trust</w:t>
      </w:r>
    </w:p>
    <w:p>
      <w:pPr>
        <w:spacing w:after="160" w:line="283" w:lineRule="auto"/>
      </w:pPr>
      <w:r>
        <w:rPr>
          <w:rFonts w:ascii="Arial" w:hAnsi="Arial"/>
          <w:b w:val="0"/>
          <w:i w:val="0"/>
          <w:color w:val="1A1A1A"/>
          <w:sz w:val="21"/>
        </w:rPr>
        <w:t>The commercial adoption motion has four stages, each a precondition for the next — not four independent options.</w:t>
      </w:r>
    </w:p>
    <w:p>
      <w:pPr>
        <w:spacing w:after="40"/>
        <w:jc w:val="center"/>
      </w:pPr>
      <w:r>
        <w:drawing>
          <wp:inline xmlns:a="http://schemas.openxmlformats.org/drawingml/2006/main" xmlns:pic="http://schemas.openxmlformats.org/drawingml/2006/picture">
            <wp:extent cx="5760720" cy="1946792"/>
            <wp:docPr id="4" name="Picture 4"/>
            <wp:cNvGraphicFramePr>
              <a:graphicFrameLocks noChangeAspect="1"/>
            </wp:cNvGraphicFramePr>
            <a:graphic>
              <a:graphicData uri="http://schemas.openxmlformats.org/drawingml/2006/picture">
                <pic:pic>
                  <pic:nvPicPr>
                    <pic:cNvPr id="0" name="adoption_motion_chart.png"/>
                    <pic:cNvPicPr/>
                  </pic:nvPicPr>
                  <pic:blipFill>
                    <a:blip r:embed="rId13"/>
                    <a:stretch>
                      <a:fillRect/>
                    </a:stretch>
                  </pic:blipFill>
                  <pic:spPr>
                    <a:xfrm>
                      <a:off x="0" y="0"/>
                      <a:ext cx="5760720" cy="1946792"/>
                    </a:xfrm>
                    <a:prstGeom prst="rect"/>
                  </pic:spPr>
                </pic:pic>
              </a:graphicData>
            </a:graphic>
          </wp:inline>
        </w:drawing>
      </w:r>
    </w:p>
    <w:p>
      <w:pPr>
        <w:spacing w:after="80"/>
      </w:pPr>
    </w:p>
    <w:p>
      <w:pPr>
        <w:spacing w:after="160" w:line="283" w:lineRule="auto"/>
      </w:pPr>
      <w:r>
        <w:rPr>
          <w:rFonts w:ascii="Arial" w:hAnsi="Arial"/>
          <w:b w:val="0"/>
          <w:i w:val="0"/>
          <w:color w:val="1A1A1A"/>
          <w:sz w:val="20"/>
        </w:rPr>
        <w:t>The full eventual workflow has six steps. What changes is when each ships — sequenced to ask IT/security for the least trust first, directly operationalizing the Control stage above.</w:t>
      </w:r>
    </w:p>
    <w:p>
      <w:pPr>
        <w:spacing w:after="160" w:line="283" w:lineRule="auto"/>
      </w:pPr>
      <w:r>
        <w:rPr>
          <w:rFonts w:ascii="Arial" w:hAnsi="Arial"/>
          <w:b w:val="0"/>
          <w:i/>
          <w:color w:val="5B6470"/>
          <w:sz w:val="20"/>
        </w:rPr>
        <w:t>This is where “AI-powered” actually earns its name: an AI agent that perceives, retrieves, reasons, and drafts — with a human as the safety valve wherever the model's own judgment says the risk is high. Only step 2 below is plain deterministic lookup; the rest is the model doing real cognitive work, not automation with extra steps.</w:t>
      </w:r>
    </w:p>
    <w:tbl>
      <w:tblPr>
        <w:tblW w:type="auto" w:w="0"/>
        <w:jc w:val="center"/>
        <w:tblLayout w:type="autofit"/>
        <w:tblLook w:firstColumn="1" w:firstRow="1" w:lastColumn="0" w:lastRow="0" w:noHBand="0" w:noVBand="1" w:val="04A0"/>
      </w:tblPr>
      <w:tblGrid>
        <w:gridCol w:w="2353"/>
        <w:gridCol w:w="2353"/>
        <w:gridCol w:w="2353"/>
        <w:gridCol w:w="2353"/>
      </w:tblGrid>
      <w:tr>
        <w:trPr>
          <w:cantSplit/>
        </w:trPr>
        <w:tc>
          <w:tcPr>
            <w:tcW w:type="dxa" w:w="1728"/>
            <w:shd w:val="clear" w:color="auto" w:fill="8A480B"/>
            <w:tcMar>
              <w:top w:w="90" w:type="dxa"/>
              <w:bottom w:w="90" w:type="dxa"/>
              <w:left w:w="150" w:type="dxa"/>
              <w:right w:w="150" w:type="dxa"/>
            </w:tcMar>
          </w:tcPr>
          <w:p>
            <w:r>
              <w:rPr>
                <w:rFonts w:ascii="Arial" w:hAnsi="Arial"/>
                <w:b/>
                <w:color w:val="FFFFFF"/>
                <w:sz w:val="18"/>
              </w:rPr>
              <w:t>STEP</w:t>
            </w:r>
          </w:p>
        </w:tc>
        <w:tc>
          <w:tcPr>
            <w:tcW w:type="dxa" w:w="3600"/>
            <w:shd w:val="clear" w:color="auto" w:fill="8A480B"/>
            <w:tcMar>
              <w:top w:w="90" w:type="dxa"/>
              <w:bottom w:w="90" w:type="dxa"/>
              <w:left w:w="150" w:type="dxa"/>
              <w:right w:w="150" w:type="dxa"/>
            </w:tcMar>
          </w:tcPr>
          <w:p>
            <w:r>
              <w:rPr>
                <w:rFonts w:ascii="Arial" w:hAnsi="Arial"/>
                <w:b/>
                <w:color w:val="FFFFFF"/>
                <w:sz w:val="18"/>
              </w:rPr>
              <w:t>PRODUCT RESPONSIBILITY</w:t>
            </w:r>
          </w:p>
        </w:tc>
        <w:tc>
          <w:tcPr>
            <w:tcW w:type="dxa" w:w="3456"/>
            <w:shd w:val="clear" w:color="auto" w:fill="8A480B"/>
            <w:tcMar>
              <w:top w:w="90" w:type="dxa"/>
              <w:bottom w:w="90" w:type="dxa"/>
              <w:left w:w="150" w:type="dxa"/>
              <w:right w:w="150" w:type="dxa"/>
            </w:tcMar>
          </w:tcPr>
          <w:p>
            <w:r>
              <w:rPr>
                <w:rFonts w:ascii="Arial" w:hAnsi="Arial"/>
                <w:b/>
                <w:color w:val="FFFFFF"/>
                <w:sz w:val="18"/>
              </w:rPr>
              <w:t>WHAT'S ACTUALLY AI</w:t>
            </w:r>
          </w:p>
        </w:tc>
        <w:tc>
          <w:tcPr>
            <w:tcW w:type="dxa" w:w="1296"/>
            <w:shd w:val="clear" w:color="auto" w:fill="8A480B"/>
            <w:tcMar>
              <w:top w:w="90" w:type="dxa"/>
              <w:bottom w:w="90" w:type="dxa"/>
              <w:left w:w="150" w:type="dxa"/>
              <w:right w:w="150" w:type="dxa"/>
            </w:tcMar>
          </w:tcPr>
          <w:p>
            <w:r>
              <w:rPr>
                <w:rFonts w:ascii="Arial" w:hAnsi="Arial"/>
                <w:b/>
                <w:color w:val="FFFFFF"/>
                <w:sz w:val="18"/>
              </w:rPr>
              <w:t>SHIPS AT</w:t>
            </w:r>
          </w:p>
        </w:tc>
      </w:tr>
      <w:tr>
        <w:trPr>
          <w:cantSplit/>
        </w:trPr>
        <w:tc>
          <w:tcPr>
            <w:tcW w:type="dxa" w:w="1728"/>
            <w:shd w:val="clear" w:color="auto" w:fill="FFFFFF"/>
            <w:tcMar>
              <w:top w:w="90" w:type="dxa"/>
              <w:bottom w:w="90" w:type="dxa"/>
              <w:left w:w="150" w:type="dxa"/>
              <w:right w:w="150" w:type="dxa"/>
            </w:tcMar>
          </w:tcPr>
          <w:p>
            <w:pPr>
              <w:spacing w:line="264" w:lineRule="auto"/>
            </w:pPr>
            <w:r>
              <w:rPr>
                <w:rFonts w:ascii="Arial" w:hAnsi="Arial"/>
                <w:b/>
                <w:color w:val="1A1A1A"/>
                <w:sz w:val="19"/>
              </w:rPr>
              <w:t>1. Detect</w:t>
            </w:r>
          </w:p>
        </w:tc>
        <w:tc>
          <w:tcPr>
            <w:tcW w:type="dxa" w:w="3600"/>
            <w:shd w:val="clear" w:color="auto" w:fill="FFFFFF"/>
            <w:tcMar>
              <w:top w:w="90" w:type="dxa"/>
              <w:bottom w:w="90" w:type="dxa"/>
              <w:left w:w="150" w:type="dxa"/>
              <w:right w:w="150" w:type="dxa"/>
            </w:tcMar>
          </w:tcPr>
          <w:p>
            <w:pPr>
              <w:spacing w:line="264" w:lineRule="auto"/>
            </w:pPr>
            <w:r>
              <w:rPr>
                <w:rFonts w:ascii="Arial" w:hAnsi="Arial"/>
                <w:b w:val="0"/>
                <w:color w:val="5B6470"/>
                <w:sz w:val="19"/>
              </w:rPr>
              <w:t>Identify a difficult or escalated case in the existing helpdesk</w:t>
            </w:r>
          </w:p>
        </w:tc>
        <w:tc>
          <w:tcPr>
            <w:tcW w:type="dxa" w:w="3456"/>
            <w:shd w:val="clear" w:color="auto" w:fill="FFFFFF"/>
            <w:tcMar>
              <w:top w:w="90" w:type="dxa"/>
              <w:bottom w:w="90" w:type="dxa"/>
              <w:left w:w="150" w:type="dxa"/>
              <w:right w:w="150" w:type="dxa"/>
            </w:tcMar>
          </w:tcPr>
          <w:p>
            <w:pPr>
              <w:spacing w:line="264" w:lineRule="auto"/>
            </w:pPr>
            <w:r>
              <w:rPr>
                <w:rFonts w:ascii="Arial" w:hAnsi="Arial"/>
                <w:b w:val="0"/>
                <w:color w:val="5B6470"/>
                <w:sz w:val="19"/>
              </w:rPr>
              <w:t>Classifies case difficulty from content, not a static priority flag</w:t>
            </w:r>
          </w:p>
        </w:tc>
        <w:tc>
          <w:tcPr>
            <w:tcW w:type="dxa" w:w="1296"/>
            <w:shd w:val="clear" w:color="auto" w:fill="FFFFFF"/>
            <w:tcMar>
              <w:top w:w="90" w:type="dxa"/>
              <w:bottom w:w="90" w:type="dxa"/>
              <w:left w:w="150" w:type="dxa"/>
              <w:right w:w="150" w:type="dxa"/>
            </w:tcMar>
          </w:tcPr>
          <w:p>
            <w:pPr>
              <w:spacing w:line="264" w:lineRule="auto"/>
            </w:pPr>
            <w:r>
              <w:rPr>
                <w:rFonts w:ascii="Arial" w:hAnsi="Arial"/>
                <w:b w:val="0"/>
                <w:color w:val="5B6470"/>
                <w:sz w:val="19"/>
              </w:rPr>
              <w:t>Land</w:t>
            </w:r>
          </w:p>
        </w:tc>
      </w:tr>
      <w:tr>
        <w:trPr>
          <w:cantSplit/>
        </w:trPr>
        <w:tc>
          <w:tcPr>
            <w:tcW w:type="dxa" w:w="1728"/>
            <w:shd w:val="clear" w:color="auto" w:fill="FBEBD9"/>
            <w:tcMar>
              <w:top w:w="90" w:type="dxa"/>
              <w:bottom w:w="90" w:type="dxa"/>
              <w:left w:w="150" w:type="dxa"/>
              <w:right w:w="150" w:type="dxa"/>
            </w:tcMar>
          </w:tcPr>
          <w:p>
            <w:pPr>
              <w:spacing w:line="264" w:lineRule="auto"/>
            </w:pPr>
            <w:r>
              <w:rPr>
                <w:rFonts w:ascii="Arial" w:hAnsi="Arial"/>
                <w:b/>
                <w:color w:val="1A1A1A"/>
                <w:sz w:val="19"/>
              </w:rPr>
              <w:t>2. Resolve identity</w:t>
            </w:r>
          </w:p>
        </w:tc>
        <w:tc>
          <w:tcPr>
            <w:tcW w:type="dxa" w:w="3600"/>
            <w:shd w:val="clear" w:color="auto" w:fill="FBEBD9"/>
            <w:tcMar>
              <w:top w:w="90" w:type="dxa"/>
              <w:bottom w:w="90" w:type="dxa"/>
              <w:left w:w="150" w:type="dxa"/>
              <w:right w:w="150" w:type="dxa"/>
            </w:tcMar>
          </w:tcPr>
          <w:p>
            <w:pPr>
              <w:spacing w:line="264" w:lineRule="auto"/>
            </w:pPr>
            <w:r>
              <w:rPr>
                <w:rFonts w:ascii="Arial" w:hAnsi="Arial"/>
                <w:b w:val="0"/>
                <w:color w:val="5B6470"/>
                <w:sz w:val="19"/>
              </w:rPr>
              <w:t>Link customer/account across helpdesk and one system of record</w:t>
            </w:r>
          </w:p>
        </w:tc>
        <w:tc>
          <w:tcPr>
            <w:tcW w:type="dxa" w:w="3456"/>
            <w:shd w:val="clear" w:color="auto" w:fill="FBEBD9"/>
            <w:tcMar>
              <w:top w:w="90" w:type="dxa"/>
              <w:bottom w:w="90" w:type="dxa"/>
              <w:left w:w="150" w:type="dxa"/>
              <w:right w:w="150" w:type="dxa"/>
            </w:tcMar>
          </w:tcPr>
          <w:p>
            <w:pPr>
              <w:spacing w:line="264" w:lineRule="auto"/>
            </w:pPr>
            <w:r>
              <w:rPr>
                <w:rFonts w:ascii="Arial" w:hAnsi="Arial"/>
                <w:b w:val="0"/>
                <w:color w:val="5B6470"/>
                <w:sz w:val="19"/>
              </w:rPr>
              <w:t>Deterministic lookup — the one non-AI step</w:t>
            </w:r>
          </w:p>
        </w:tc>
        <w:tc>
          <w:tcPr>
            <w:tcW w:type="dxa" w:w="1296"/>
            <w:shd w:val="clear" w:color="auto" w:fill="FBEBD9"/>
            <w:tcMar>
              <w:top w:w="90" w:type="dxa"/>
              <w:bottom w:w="90" w:type="dxa"/>
              <w:left w:w="150" w:type="dxa"/>
              <w:right w:w="150" w:type="dxa"/>
            </w:tcMar>
          </w:tcPr>
          <w:p>
            <w:pPr>
              <w:spacing w:line="264" w:lineRule="auto"/>
            </w:pPr>
            <w:r>
              <w:rPr>
                <w:rFonts w:ascii="Arial" w:hAnsi="Arial"/>
                <w:b w:val="0"/>
                <w:color w:val="5B6470"/>
                <w:sz w:val="19"/>
              </w:rPr>
              <w:t>Land</w:t>
            </w:r>
          </w:p>
        </w:tc>
      </w:tr>
      <w:tr>
        <w:trPr>
          <w:cantSplit/>
        </w:trPr>
        <w:tc>
          <w:tcPr>
            <w:tcW w:type="dxa" w:w="1728"/>
            <w:shd w:val="clear" w:color="auto" w:fill="FFFFFF"/>
            <w:tcMar>
              <w:top w:w="90" w:type="dxa"/>
              <w:bottom w:w="90" w:type="dxa"/>
              <w:left w:w="150" w:type="dxa"/>
              <w:right w:w="150" w:type="dxa"/>
            </w:tcMar>
          </w:tcPr>
          <w:p>
            <w:pPr>
              <w:spacing w:line="264" w:lineRule="auto"/>
            </w:pPr>
            <w:r>
              <w:rPr>
                <w:rFonts w:ascii="Arial" w:hAnsi="Arial"/>
                <w:b/>
                <w:color w:val="1A1A1A"/>
                <w:sz w:val="19"/>
              </w:rPr>
              <w:t>3. Assemble context</w:t>
            </w:r>
          </w:p>
        </w:tc>
        <w:tc>
          <w:tcPr>
            <w:tcW w:type="dxa" w:w="3600"/>
            <w:shd w:val="clear" w:color="auto" w:fill="FFFFFF"/>
            <w:tcMar>
              <w:top w:w="90" w:type="dxa"/>
              <w:bottom w:w="90" w:type="dxa"/>
              <w:left w:w="150" w:type="dxa"/>
              <w:right w:w="150" w:type="dxa"/>
            </w:tcMar>
          </w:tcPr>
          <w:p>
            <w:pPr>
              <w:spacing w:line="264" w:lineRule="auto"/>
            </w:pPr>
            <w:r>
              <w:rPr>
                <w:rFonts w:ascii="Arial" w:hAnsi="Arial"/>
                <w:b w:val="0"/>
                <w:color w:val="5B6470"/>
                <w:sz w:val="19"/>
              </w:rPr>
              <w:t>Retrieve recent ticket, account and approval state, read-only, sources shown</w:t>
            </w:r>
          </w:p>
        </w:tc>
        <w:tc>
          <w:tcPr>
            <w:tcW w:type="dxa" w:w="3456"/>
            <w:shd w:val="clear" w:color="auto" w:fill="FFFFFF"/>
            <w:tcMar>
              <w:top w:w="90" w:type="dxa"/>
              <w:bottom w:w="90" w:type="dxa"/>
              <w:left w:w="150" w:type="dxa"/>
              <w:right w:w="150" w:type="dxa"/>
            </w:tcMar>
          </w:tcPr>
          <w:p>
            <w:pPr>
              <w:spacing w:line="264" w:lineRule="auto"/>
            </w:pPr>
            <w:r>
              <w:rPr>
                <w:rFonts w:ascii="Arial" w:hAnsi="Arial"/>
                <w:b w:val="0"/>
                <w:color w:val="5B6470"/>
                <w:sz w:val="19"/>
              </w:rPr>
              <w:t>Retrieves and synthesizes records across systems into one picture (retrieval-augmented generation)</w:t>
            </w:r>
          </w:p>
        </w:tc>
        <w:tc>
          <w:tcPr>
            <w:tcW w:type="dxa" w:w="1296"/>
            <w:shd w:val="clear" w:color="auto" w:fill="FFFFFF"/>
            <w:tcMar>
              <w:top w:w="90" w:type="dxa"/>
              <w:bottom w:w="90" w:type="dxa"/>
              <w:left w:w="150" w:type="dxa"/>
              <w:right w:w="150" w:type="dxa"/>
            </w:tcMar>
          </w:tcPr>
          <w:p>
            <w:pPr>
              <w:spacing w:line="264" w:lineRule="auto"/>
            </w:pPr>
            <w:r>
              <w:rPr>
                <w:rFonts w:ascii="Arial" w:hAnsi="Arial"/>
                <w:b w:val="0"/>
                <w:color w:val="5B6470"/>
                <w:sz w:val="19"/>
              </w:rPr>
              <w:t>Land</w:t>
            </w:r>
          </w:p>
        </w:tc>
      </w:tr>
      <w:tr>
        <w:trPr>
          <w:cantSplit/>
        </w:trPr>
        <w:tc>
          <w:tcPr>
            <w:tcW w:type="dxa" w:w="1728"/>
            <w:shd w:val="clear" w:color="auto" w:fill="FBEBD9"/>
            <w:tcMar>
              <w:top w:w="90" w:type="dxa"/>
              <w:bottom w:w="90" w:type="dxa"/>
              <w:left w:w="150" w:type="dxa"/>
              <w:right w:w="150" w:type="dxa"/>
            </w:tcMar>
          </w:tcPr>
          <w:p>
            <w:pPr>
              <w:spacing w:line="264" w:lineRule="auto"/>
            </w:pPr>
            <w:r>
              <w:rPr>
                <w:rFonts w:ascii="Arial" w:hAnsi="Arial"/>
                <w:b/>
                <w:color w:val="1A1A1A"/>
                <w:sz w:val="19"/>
              </w:rPr>
              <w:t>4. Recommend</w:t>
            </w:r>
          </w:p>
        </w:tc>
        <w:tc>
          <w:tcPr>
            <w:tcW w:type="dxa" w:w="3600"/>
            <w:shd w:val="clear" w:color="auto" w:fill="FBEBD9"/>
            <w:tcMar>
              <w:top w:w="90" w:type="dxa"/>
              <w:bottom w:w="90" w:type="dxa"/>
              <w:left w:w="150" w:type="dxa"/>
              <w:right w:w="150" w:type="dxa"/>
            </w:tcMar>
          </w:tcPr>
          <w:p>
            <w:pPr>
              <w:spacing w:line="264" w:lineRule="auto"/>
            </w:pPr>
            <w:r>
              <w:rPr>
                <w:rFonts w:ascii="Arial" w:hAnsi="Arial"/>
                <w:b w:val="0"/>
                <w:color w:val="5B6470"/>
                <w:sz w:val="19"/>
              </w:rPr>
              <w:t>Summarize history, gap and next action; draft a customer update</w:t>
            </w:r>
          </w:p>
        </w:tc>
        <w:tc>
          <w:tcPr>
            <w:tcW w:type="dxa" w:w="3456"/>
            <w:shd w:val="clear" w:color="auto" w:fill="FBEBD9"/>
            <w:tcMar>
              <w:top w:w="90" w:type="dxa"/>
              <w:bottom w:w="90" w:type="dxa"/>
              <w:left w:w="150" w:type="dxa"/>
              <w:right w:w="150" w:type="dxa"/>
            </w:tcMar>
          </w:tcPr>
          <w:p>
            <w:pPr>
              <w:spacing w:line="264" w:lineRule="auto"/>
            </w:pPr>
            <w:r>
              <w:rPr>
                <w:rFonts w:ascii="Arial" w:hAnsi="Arial"/>
                <w:b w:val="0"/>
                <w:color w:val="5B6470"/>
                <w:sz w:val="19"/>
              </w:rPr>
              <w:t>Drafts the next action or update in plain language, grounded in the assembled context</w:t>
            </w:r>
          </w:p>
        </w:tc>
        <w:tc>
          <w:tcPr>
            <w:tcW w:type="dxa" w:w="1296"/>
            <w:shd w:val="clear" w:color="auto" w:fill="FBEBD9"/>
            <w:tcMar>
              <w:top w:w="90" w:type="dxa"/>
              <w:bottom w:w="90" w:type="dxa"/>
              <w:left w:w="150" w:type="dxa"/>
              <w:right w:w="150" w:type="dxa"/>
            </w:tcMar>
          </w:tcPr>
          <w:p>
            <w:pPr>
              <w:spacing w:line="264" w:lineRule="auto"/>
            </w:pPr>
            <w:r>
              <w:rPr>
                <w:rFonts w:ascii="Arial" w:hAnsi="Arial"/>
                <w:b w:val="0"/>
                <w:color w:val="5B6470"/>
                <w:sz w:val="19"/>
              </w:rPr>
              <w:t>Expand (early)</w:t>
            </w:r>
          </w:p>
        </w:tc>
      </w:tr>
      <w:tr>
        <w:trPr>
          <w:cantSplit/>
        </w:trPr>
        <w:tc>
          <w:tcPr>
            <w:tcW w:type="dxa" w:w="1728"/>
            <w:shd w:val="clear" w:color="auto" w:fill="FFFFFF"/>
            <w:tcMar>
              <w:top w:w="90" w:type="dxa"/>
              <w:bottom w:w="90" w:type="dxa"/>
              <w:left w:w="150" w:type="dxa"/>
              <w:right w:w="150" w:type="dxa"/>
            </w:tcMar>
          </w:tcPr>
          <w:p>
            <w:pPr>
              <w:spacing w:line="264" w:lineRule="auto"/>
            </w:pPr>
            <w:r>
              <w:rPr>
                <w:rFonts w:ascii="Arial" w:hAnsi="Arial"/>
                <w:b/>
                <w:color w:val="1A1A1A"/>
                <w:sz w:val="19"/>
              </w:rPr>
              <w:t>5. Approve / hand off</w:t>
            </w:r>
          </w:p>
        </w:tc>
        <w:tc>
          <w:tcPr>
            <w:tcW w:type="dxa" w:w="3600"/>
            <w:shd w:val="clear" w:color="auto" w:fill="FFFFFF"/>
            <w:tcMar>
              <w:top w:w="90" w:type="dxa"/>
              <w:bottom w:w="90" w:type="dxa"/>
              <w:left w:w="150" w:type="dxa"/>
              <w:right w:w="150" w:type="dxa"/>
            </w:tcMar>
          </w:tcPr>
          <w:p>
            <w:pPr>
              <w:spacing w:line="264" w:lineRule="auto"/>
            </w:pPr>
            <w:r>
              <w:rPr>
                <w:rFonts w:ascii="Arial" w:hAnsi="Arial"/>
                <w:b w:val="0"/>
                <w:color w:val="5B6470"/>
                <w:sz w:val="19"/>
              </w:rPr>
              <w:t>Route high-risk steps to the right person with complete context</w:t>
            </w:r>
          </w:p>
        </w:tc>
        <w:tc>
          <w:tcPr>
            <w:tcW w:type="dxa" w:w="3456"/>
            <w:shd w:val="clear" w:color="auto" w:fill="FFFFFF"/>
            <w:tcMar>
              <w:top w:w="90" w:type="dxa"/>
              <w:bottom w:w="90" w:type="dxa"/>
              <w:left w:w="150" w:type="dxa"/>
              <w:right w:w="150" w:type="dxa"/>
            </w:tcMar>
          </w:tcPr>
          <w:p>
            <w:pPr>
              <w:spacing w:line="264" w:lineRule="auto"/>
            </w:pPr>
            <w:r>
              <w:rPr>
                <w:rFonts w:ascii="Arial" w:hAnsi="Arial"/>
                <w:b w:val="0"/>
                <w:color w:val="5B6470"/>
                <w:sz w:val="19"/>
              </w:rPr>
              <w:t>Judges its own confidence/risk to decide what needs a human first</w:t>
            </w:r>
          </w:p>
        </w:tc>
        <w:tc>
          <w:tcPr>
            <w:tcW w:type="dxa" w:w="1296"/>
            <w:shd w:val="clear" w:color="auto" w:fill="FFFFFF"/>
            <w:tcMar>
              <w:top w:w="90" w:type="dxa"/>
              <w:bottom w:w="90" w:type="dxa"/>
              <w:left w:w="150" w:type="dxa"/>
              <w:right w:w="150" w:type="dxa"/>
            </w:tcMar>
          </w:tcPr>
          <w:p>
            <w:pPr>
              <w:spacing w:line="264" w:lineRule="auto"/>
            </w:pPr>
            <w:r>
              <w:rPr>
                <w:rFonts w:ascii="Arial" w:hAnsi="Arial"/>
                <w:b w:val="0"/>
                <w:color w:val="5B6470"/>
                <w:sz w:val="19"/>
              </w:rPr>
              <w:t>Expand (early)</w:t>
            </w:r>
          </w:p>
        </w:tc>
      </w:tr>
      <w:tr>
        <w:trPr>
          <w:cantSplit/>
        </w:trPr>
        <w:tc>
          <w:tcPr>
            <w:tcW w:type="dxa" w:w="1728"/>
            <w:shd w:val="clear" w:color="auto" w:fill="FBEBD9"/>
            <w:tcMar>
              <w:top w:w="90" w:type="dxa"/>
              <w:bottom w:w="90" w:type="dxa"/>
              <w:left w:w="150" w:type="dxa"/>
              <w:right w:w="150" w:type="dxa"/>
            </w:tcMar>
          </w:tcPr>
          <w:p>
            <w:pPr>
              <w:spacing w:line="264" w:lineRule="auto"/>
            </w:pPr>
            <w:r>
              <w:rPr>
                <w:rFonts w:ascii="Arial" w:hAnsi="Arial"/>
                <w:b/>
                <w:color w:val="1A1A1A"/>
                <w:sz w:val="19"/>
              </w:rPr>
              <w:t>6. Write back</w:t>
            </w:r>
          </w:p>
        </w:tc>
        <w:tc>
          <w:tcPr>
            <w:tcW w:type="dxa" w:w="3600"/>
            <w:shd w:val="clear" w:color="auto" w:fill="FBEBD9"/>
            <w:tcMar>
              <w:top w:w="90" w:type="dxa"/>
              <w:bottom w:w="90" w:type="dxa"/>
              <w:left w:w="150" w:type="dxa"/>
              <w:right w:w="150" w:type="dxa"/>
            </w:tcMar>
          </w:tcPr>
          <w:p>
            <w:pPr>
              <w:spacing w:line="264" w:lineRule="auto"/>
            </w:pPr>
            <w:r>
              <w:rPr>
                <w:rFonts w:ascii="Arial" w:hAnsi="Arial"/>
                <w:b w:val="0"/>
                <w:color w:val="5B6470"/>
                <w:sz w:val="19"/>
              </w:rPr>
              <w:t>Record outcome, source and next step in the system of record</w:t>
            </w:r>
          </w:p>
        </w:tc>
        <w:tc>
          <w:tcPr>
            <w:tcW w:type="dxa" w:w="3456"/>
            <w:shd w:val="clear" w:color="auto" w:fill="FBEBD9"/>
            <w:tcMar>
              <w:top w:w="90" w:type="dxa"/>
              <w:bottom w:w="90" w:type="dxa"/>
              <w:left w:w="150" w:type="dxa"/>
              <w:right w:w="150" w:type="dxa"/>
            </w:tcMar>
          </w:tcPr>
          <w:p>
            <w:pPr>
              <w:spacing w:line="264" w:lineRule="auto"/>
            </w:pPr>
            <w:r>
              <w:rPr>
                <w:rFonts w:ascii="Arial" w:hAnsi="Arial"/>
                <w:b w:val="0"/>
                <w:color w:val="5B6470"/>
                <w:sz w:val="19"/>
              </w:rPr>
              <w:t>Executes an AI-proposed action once approved — mechanical, not cognitive</w:t>
            </w:r>
          </w:p>
        </w:tc>
        <w:tc>
          <w:tcPr>
            <w:tcW w:type="dxa" w:w="1296"/>
            <w:shd w:val="clear" w:color="auto" w:fill="FBEBD9"/>
            <w:tcMar>
              <w:top w:w="90" w:type="dxa"/>
              <w:bottom w:w="90" w:type="dxa"/>
              <w:left w:w="150" w:type="dxa"/>
              <w:right w:w="150" w:type="dxa"/>
            </w:tcMar>
          </w:tcPr>
          <w:p>
            <w:pPr>
              <w:spacing w:line="264" w:lineRule="auto"/>
            </w:pPr>
            <w:r>
              <w:rPr>
                <w:rFonts w:ascii="Arial" w:hAnsi="Arial"/>
                <w:b w:val="0"/>
                <w:color w:val="5B6470"/>
                <w:sz w:val="19"/>
              </w:rPr>
              <w:t>Expand (later)</w:t>
            </w:r>
          </w:p>
        </w:tc>
      </w:tr>
    </w:tbl>
    <w:p>
      <w:pPr>
        <w:spacing w:after="40"/>
      </w:pPr>
    </w:p>
    <w:tbl>
      <w:tblPr>
        <w:tblW w:type="auto" w:w="0"/>
        <w:jc w:val="center"/>
        <w:tblLook w:firstColumn="1" w:firstRow="1" w:lastColumn="0" w:lastRow="0" w:noHBand="0" w:noVBand="1" w:val="04A0"/>
      </w:tblPr>
      <w:tblGrid>
        <w:gridCol w:w="9412"/>
      </w:tblGrid>
      <w:tr>
        <w:trPr>
          <w:cantSplit/>
        </w:trPr>
        <w:tc>
          <w:tcPr>
            <w:tcW w:type="dxa" w:w="9412"/>
            <w:shd w:val="clear" w:color="auto" w:fill="FBEBD9"/>
            <w:tcMar>
              <w:top w:w="160" w:type="dxa"/>
              <w:bottom w:w="160" w:type="dxa"/>
              <w:left w:w="220" w:type="dxa"/>
              <w:right w:w="220" w:type="dxa"/>
            </w:tcMar>
          </w:tcPr>
          <w:p>
            <w:pPr>
              <w:spacing w:line="276" w:lineRule="auto"/>
            </w:pPr>
            <w:r>
              <w:rPr>
                <w:rFonts w:ascii="Arial" w:hAnsi="Arial"/>
                <w:b/>
                <w:color w:val="8A480B"/>
                <w:sz w:val="19"/>
              </w:rPr>
              <w:t xml:space="preserve">MVP BOUNDARY   </w:t>
            </w:r>
            <w:r>
              <w:rPr>
                <w:rFonts w:ascii="Arial" w:hAnsi="Arial"/>
                <w:b/>
                <w:color w:val="1A1A1A"/>
                <w:sz w:val="21"/>
              </w:rPr>
              <w:t>in scope: one helpdesk, one system of record, one workflow, agent-assist/shadow mode, citations, approval, durable write-back once earned, audit. Not in scope: helpdesk replacement, open-ended autonomous actions, every connector, general chatbot, regulated approval decisions.</w:t>
            </w:r>
          </w:p>
        </w:tc>
      </w:tr>
    </w:tbl>
    <w:p>
      <w:pPr>
        <w:spacing w:after="40"/>
      </w:pPr>
    </w:p>
    <w:p>
      <w:pPr>
        <w:spacing w:after="40"/>
      </w:pPr>
      <w:r>
        <w:rPr>
          <w:rFonts w:ascii="Arial" w:hAnsi="Arial"/>
          <w:b/>
          <w:color w:val="B56012"/>
          <w:sz w:val="19"/>
        </w:rPr>
        <w:t>09 · ROADMAP</w:t>
      </w:r>
    </w:p>
    <w:p>
      <w:pPr>
        <w:spacing w:after="200" w:before="40"/>
      </w:pPr>
      <w:r>
        <w:rPr>
          <w:rFonts w:ascii="Arial" w:hAnsi="Arial"/>
          <w:b/>
          <w:color w:val="1A1A1A"/>
          <w:sz w:val="44"/>
        </w:rPr>
        <w:t>Earn the platform, one gate at a time</w:t>
      </w:r>
    </w:p>
    <w:p>
      <w:pPr>
        <w:spacing w:after="40"/>
        <w:jc w:val="center"/>
      </w:pPr>
      <w:r>
        <w:drawing>
          <wp:inline xmlns:a="http://schemas.openxmlformats.org/drawingml/2006/main" xmlns:pic="http://schemas.openxmlformats.org/drawingml/2006/picture">
            <wp:extent cx="5760720" cy="1964024"/>
            <wp:docPr id="5" name="Picture 5"/>
            <wp:cNvGraphicFramePr>
              <a:graphicFrameLocks noChangeAspect="1"/>
            </wp:cNvGraphicFramePr>
            <a:graphic>
              <a:graphicData uri="http://schemas.openxmlformats.org/drawingml/2006/picture">
                <pic:pic>
                  <pic:nvPicPr>
                    <pic:cNvPr id="0" name="roadmap_timeline.png"/>
                    <pic:cNvPicPr/>
                  </pic:nvPicPr>
                  <pic:blipFill>
                    <a:blip r:embed="rId14"/>
                    <a:stretch>
                      <a:fillRect/>
                    </a:stretch>
                  </pic:blipFill>
                  <pic:spPr>
                    <a:xfrm>
                      <a:off x="0" y="0"/>
                      <a:ext cx="5760720" cy="1964024"/>
                    </a:xfrm>
                    <a:prstGeom prst="rect"/>
                  </pic:spPr>
                </pic:pic>
              </a:graphicData>
            </a:graphic>
          </wp:inline>
        </w:drawing>
      </w:r>
    </w:p>
    <w:p>
      <w:pPr>
        <w:spacing w:after="80"/>
      </w:pPr>
    </w:p>
    <w:tbl>
      <w:tblPr>
        <w:tblW w:type="auto" w:w="0"/>
        <w:jc w:val="center"/>
        <w:tblLayout w:type="autofit"/>
        <w:tblLook w:firstColumn="1" w:firstRow="1" w:lastColumn="0" w:lastRow="0" w:noHBand="0" w:noVBand="1" w:val="04A0"/>
      </w:tblPr>
      <w:tblGrid>
        <w:gridCol w:w="3137"/>
        <w:gridCol w:w="3137"/>
        <w:gridCol w:w="3137"/>
      </w:tblGrid>
      <w:tr>
        <w:trPr>
          <w:cantSplit/>
        </w:trPr>
        <w:tc>
          <w:tcPr>
            <w:tcW w:type="dxa" w:w="2592"/>
            <w:shd w:val="clear" w:color="auto" w:fill="8A480B"/>
            <w:tcMar>
              <w:top w:w="90" w:type="dxa"/>
              <w:bottom w:w="90" w:type="dxa"/>
              <w:left w:w="150" w:type="dxa"/>
              <w:right w:w="150" w:type="dxa"/>
            </w:tcMar>
          </w:tcPr>
          <w:p>
            <w:r>
              <w:rPr>
                <w:rFonts w:ascii="Arial" w:hAnsi="Arial"/>
                <w:b/>
                <w:color w:val="FFFFFF"/>
                <w:sz w:val="18"/>
              </w:rPr>
              <w:t>HORIZON</w:t>
            </w:r>
          </w:p>
        </w:tc>
        <w:tc>
          <w:tcPr>
            <w:tcW w:type="dxa" w:w="4032"/>
            <w:shd w:val="clear" w:color="auto" w:fill="8A480B"/>
            <w:tcMar>
              <w:top w:w="90" w:type="dxa"/>
              <w:bottom w:w="90" w:type="dxa"/>
              <w:left w:w="150" w:type="dxa"/>
              <w:right w:w="150" w:type="dxa"/>
            </w:tcMar>
          </w:tcPr>
          <w:p>
            <w:r>
              <w:rPr>
                <w:rFonts w:ascii="Arial" w:hAnsi="Arial"/>
                <w:b/>
                <w:color w:val="FFFFFF"/>
                <w:sz w:val="18"/>
              </w:rPr>
              <w:t>GOAL</w:t>
            </w:r>
          </w:p>
        </w:tc>
        <w:tc>
          <w:tcPr>
            <w:tcW w:type="dxa" w:w="3744"/>
            <w:shd w:val="clear" w:color="auto" w:fill="8A480B"/>
            <w:tcMar>
              <w:top w:w="90" w:type="dxa"/>
              <w:bottom w:w="90" w:type="dxa"/>
              <w:left w:w="150" w:type="dxa"/>
              <w:right w:w="150" w:type="dxa"/>
            </w:tcMar>
          </w:tcPr>
          <w:p>
            <w:r>
              <w:rPr>
                <w:rFonts w:ascii="Arial" w:hAnsi="Arial"/>
                <w:b/>
                <w:color w:val="FFFFFF"/>
                <w:sz w:val="18"/>
              </w:rPr>
              <w:t>EVIDENCE GATE</w:t>
            </w:r>
          </w:p>
        </w:tc>
      </w:tr>
      <w:tr>
        <w:trPr>
          <w:cantSplit/>
        </w:trPr>
        <w:tc>
          <w:tcPr>
            <w:tcW w:type="dxa" w:w="2592"/>
            <w:shd w:val="clear" w:color="auto" w:fill="FFFFFF"/>
            <w:tcMar>
              <w:top w:w="90" w:type="dxa"/>
              <w:bottom w:w="90" w:type="dxa"/>
              <w:left w:w="150" w:type="dxa"/>
              <w:right w:w="150" w:type="dxa"/>
            </w:tcMar>
          </w:tcPr>
          <w:p>
            <w:pPr>
              <w:spacing w:line="264" w:lineRule="auto"/>
            </w:pPr>
            <w:r>
              <w:rPr>
                <w:rFonts w:ascii="Arial" w:hAnsi="Arial"/>
                <w:b/>
                <w:color w:val="1A1A1A"/>
                <w:sz w:val="19"/>
              </w:rPr>
              <w:t>0–6 mo · Prove</w:t>
            </w:r>
          </w:p>
        </w:tc>
        <w:tc>
          <w:tcPr>
            <w:tcW w:type="dxa" w:w="4032"/>
            <w:shd w:val="clear" w:color="auto" w:fill="FFFFFF"/>
            <w:tcMar>
              <w:top w:w="90" w:type="dxa"/>
              <w:bottom w:w="90" w:type="dxa"/>
              <w:left w:w="150" w:type="dxa"/>
              <w:right w:w="150" w:type="dxa"/>
            </w:tcMar>
          </w:tcPr>
          <w:p>
            <w:pPr>
              <w:spacing w:line="264" w:lineRule="auto"/>
            </w:pPr>
            <w:r>
              <w:rPr>
                <w:rFonts w:ascii="Arial" w:hAnsi="Arial"/>
                <w:b w:val="0"/>
                <w:color w:val="5B6470"/>
                <w:sz w:val="19"/>
              </w:rPr>
              <w:t>One workflow in one segment (Land/Control/Prove above)</w:t>
            </w:r>
          </w:p>
        </w:tc>
        <w:tc>
          <w:tcPr>
            <w:tcW w:type="dxa" w:w="3744"/>
            <w:shd w:val="clear" w:color="auto" w:fill="FFFFFF"/>
            <w:tcMar>
              <w:top w:w="90" w:type="dxa"/>
              <w:bottom w:w="90" w:type="dxa"/>
              <w:left w:w="150" w:type="dxa"/>
              <w:right w:w="150" w:type="dxa"/>
            </w:tcMar>
          </w:tcPr>
          <w:p>
            <w:pPr>
              <w:spacing w:line="264" w:lineRule="auto"/>
            </w:pPr>
            <w:r>
              <w:rPr>
                <w:rFonts w:ascii="Arial" w:hAnsi="Arial"/>
                <w:b w:val="0"/>
                <w:color w:val="5B6470"/>
                <w:sz w:val="19"/>
              </w:rPr>
              <w:t>≥4 customers show the same workflow; ≥2 paid/committed pilots</w:t>
            </w:r>
          </w:p>
        </w:tc>
      </w:tr>
      <w:tr>
        <w:trPr>
          <w:cantSplit/>
        </w:trPr>
        <w:tc>
          <w:tcPr>
            <w:tcW w:type="dxa" w:w="2592"/>
            <w:shd w:val="clear" w:color="auto" w:fill="FBEBD9"/>
            <w:tcMar>
              <w:top w:w="90" w:type="dxa"/>
              <w:bottom w:w="90" w:type="dxa"/>
              <w:left w:w="150" w:type="dxa"/>
              <w:right w:w="150" w:type="dxa"/>
            </w:tcMar>
          </w:tcPr>
          <w:p>
            <w:pPr>
              <w:spacing w:line="264" w:lineRule="auto"/>
            </w:pPr>
            <w:r>
              <w:rPr>
                <w:rFonts w:ascii="Arial" w:hAnsi="Arial"/>
                <w:b/>
                <w:color w:val="1A1A1A"/>
                <w:sz w:val="19"/>
              </w:rPr>
              <w:t>6–12 mo · Repeat</w:t>
            </w:r>
          </w:p>
        </w:tc>
        <w:tc>
          <w:tcPr>
            <w:tcW w:type="dxa" w:w="4032"/>
            <w:shd w:val="clear" w:color="auto" w:fill="FBEBD9"/>
            <w:tcMar>
              <w:top w:w="90" w:type="dxa"/>
              <w:bottom w:w="90" w:type="dxa"/>
              <w:left w:w="150" w:type="dxa"/>
              <w:right w:w="150" w:type="dxa"/>
            </w:tcMar>
          </w:tcPr>
          <w:p>
            <w:pPr>
              <w:spacing w:line="264" w:lineRule="auto"/>
            </w:pPr>
            <w:r>
              <w:rPr>
                <w:rFonts w:ascii="Arial" w:hAnsi="Arial"/>
                <w:b w:val="0"/>
                <w:color w:val="5B6470"/>
                <w:sz w:val="19"/>
              </w:rPr>
              <w:t>Deploy the same workflow faster</w:t>
            </w:r>
          </w:p>
        </w:tc>
        <w:tc>
          <w:tcPr>
            <w:tcW w:type="dxa" w:w="3744"/>
            <w:shd w:val="clear" w:color="auto" w:fill="FBEBD9"/>
            <w:tcMar>
              <w:top w:w="90" w:type="dxa"/>
              <w:bottom w:w="90" w:type="dxa"/>
              <w:left w:w="150" w:type="dxa"/>
              <w:right w:w="150" w:type="dxa"/>
            </w:tcMar>
          </w:tcPr>
          <w:p>
            <w:pPr>
              <w:spacing w:line="264" w:lineRule="auto"/>
            </w:pPr>
            <w:r>
              <w:rPr>
                <w:rFonts w:ascii="Arial" w:hAnsi="Arial"/>
                <w:b w:val="0"/>
                <w:color w:val="5B6470"/>
                <w:sz w:val="19"/>
              </w:rPr>
              <w:t>Faster repeat deploys; retention; acceptable margin</w:t>
            </w:r>
          </w:p>
        </w:tc>
      </w:tr>
      <w:tr>
        <w:trPr>
          <w:cantSplit/>
        </w:trPr>
        <w:tc>
          <w:tcPr>
            <w:tcW w:type="dxa" w:w="2592"/>
            <w:shd w:val="clear" w:color="auto" w:fill="FFFFFF"/>
            <w:tcMar>
              <w:top w:w="90" w:type="dxa"/>
              <w:bottom w:w="90" w:type="dxa"/>
              <w:left w:w="150" w:type="dxa"/>
              <w:right w:w="150" w:type="dxa"/>
            </w:tcMar>
          </w:tcPr>
          <w:p>
            <w:pPr>
              <w:spacing w:line="264" w:lineRule="auto"/>
            </w:pPr>
            <w:r>
              <w:rPr>
                <w:rFonts w:ascii="Arial" w:hAnsi="Arial"/>
                <w:b/>
                <w:color w:val="1A1A1A"/>
                <w:sz w:val="19"/>
              </w:rPr>
              <w:t>12–24 mo · Expand</w:t>
            </w:r>
          </w:p>
        </w:tc>
        <w:tc>
          <w:tcPr>
            <w:tcW w:type="dxa" w:w="4032"/>
            <w:shd w:val="clear" w:color="auto" w:fill="FFFFFF"/>
            <w:tcMar>
              <w:top w:w="90" w:type="dxa"/>
              <w:bottom w:w="90" w:type="dxa"/>
              <w:left w:w="150" w:type="dxa"/>
              <w:right w:w="150" w:type="dxa"/>
            </w:tcMar>
          </w:tcPr>
          <w:p>
            <w:pPr>
              <w:spacing w:line="264" w:lineRule="auto"/>
            </w:pPr>
            <w:r>
              <w:rPr>
                <w:rFonts w:ascii="Arial" w:hAnsi="Arial"/>
                <w:b w:val="0"/>
                <w:color w:val="5B6470"/>
                <w:sz w:val="19"/>
              </w:rPr>
              <w:t>Adjacent workflows for the same team</w:t>
            </w:r>
          </w:p>
        </w:tc>
        <w:tc>
          <w:tcPr>
            <w:tcW w:type="dxa" w:w="3744"/>
            <w:shd w:val="clear" w:color="auto" w:fill="FFFFFF"/>
            <w:tcMar>
              <w:top w:w="90" w:type="dxa"/>
              <w:bottom w:w="90" w:type="dxa"/>
              <w:left w:w="150" w:type="dxa"/>
              <w:right w:w="150" w:type="dxa"/>
            </w:tcMar>
          </w:tcPr>
          <w:p>
            <w:pPr>
              <w:spacing w:line="264" w:lineRule="auto"/>
            </w:pPr>
            <w:r>
              <w:rPr>
                <w:rFonts w:ascii="Arial" w:hAnsi="Arial"/>
                <w:b w:val="0"/>
                <w:color w:val="5B6470"/>
                <w:sz w:val="19"/>
              </w:rPr>
              <w:t>Usage/renewal pull; repeatable cross-workflow expansion</w:t>
            </w:r>
          </w:p>
        </w:tc>
      </w:tr>
      <w:tr>
        <w:trPr>
          <w:cantSplit/>
        </w:trPr>
        <w:tc>
          <w:tcPr>
            <w:tcW w:type="dxa" w:w="2592"/>
            <w:shd w:val="clear" w:color="auto" w:fill="FBEBD9"/>
            <w:tcMar>
              <w:top w:w="90" w:type="dxa"/>
              <w:bottom w:w="90" w:type="dxa"/>
              <w:left w:w="150" w:type="dxa"/>
              <w:right w:w="150" w:type="dxa"/>
            </w:tcMar>
          </w:tcPr>
          <w:p>
            <w:pPr>
              <w:spacing w:line="264" w:lineRule="auto"/>
            </w:pPr>
            <w:r>
              <w:rPr>
                <w:rFonts w:ascii="Arial" w:hAnsi="Arial"/>
                <w:b/>
                <w:color w:val="1A1A1A"/>
                <w:sz w:val="19"/>
              </w:rPr>
              <w:t>24–36 mo · Platform</w:t>
            </w:r>
          </w:p>
        </w:tc>
        <w:tc>
          <w:tcPr>
            <w:tcW w:type="dxa" w:w="4032"/>
            <w:shd w:val="clear" w:color="auto" w:fill="FBEBD9"/>
            <w:tcMar>
              <w:top w:w="90" w:type="dxa"/>
              <w:bottom w:w="90" w:type="dxa"/>
              <w:left w:w="150" w:type="dxa"/>
              <w:right w:w="150" w:type="dxa"/>
            </w:tcMar>
          </w:tcPr>
          <w:p>
            <w:pPr>
              <w:spacing w:line="264" w:lineRule="auto"/>
            </w:pPr>
            <w:r>
              <w:rPr>
                <w:rFonts w:ascii="Arial" w:hAnsi="Arial"/>
                <w:b w:val="0"/>
                <w:color w:val="5B6470"/>
                <w:sz w:val="19"/>
              </w:rPr>
              <w:t>Selected Customer Operations workflows</w:t>
            </w:r>
          </w:p>
        </w:tc>
        <w:tc>
          <w:tcPr>
            <w:tcW w:type="dxa" w:w="3744"/>
            <w:shd w:val="clear" w:color="auto" w:fill="FBEBD9"/>
            <w:tcMar>
              <w:top w:w="90" w:type="dxa"/>
              <w:bottom w:w="90" w:type="dxa"/>
              <w:left w:w="150" w:type="dxa"/>
              <w:right w:w="150" w:type="dxa"/>
            </w:tcMar>
          </w:tcPr>
          <w:p>
            <w:pPr>
              <w:spacing w:line="264" w:lineRule="auto"/>
            </w:pPr>
            <w:r>
              <w:rPr>
                <w:rFonts w:ascii="Arial" w:hAnsi="Arial"/>
                <w:b w:val="0"/>
                <w:color w:val="5B6470"/>
                <w:sz w:val="19"/>
              </w:rPr>
              <w:t>Expansion without custom-project economics</w:t>
            </w:r>
          </w:p>
        </w:tc>
      </w:tr>
    </w:tbl>
    <w:p>
      <w:pPr>
        <w:spacing w:after="40"/>
      </w:pPr>
    </w:p>
    <w:p>
      <w:pPr>
        <w:spacing w:after="160" w:line="283" w:lineRule="auto"/>
      </w:pPr>
      <w:r>
        <w:rPr>
          <w:rFonts w:ascii="Arial" w:hAnsi="Arial"/>
          <w:b w:val="0"/>
          <w:i/>
          <w:color w:val="5B6470"/>
          <w:sz w:val="19"/>
        </w:rPr>
        <w:t>Quarterly stop rules: narrow or stop if customers prefer incumbent-native AI at acceptable cost; don't automate a step whose data, permission or failure recovery can't be verified; don't add a segment until the first workflow is repeatable and profitable; don't call it a platform until expansion happens without services-heavy customization.</w:t>
      </w:r>
    </w:p>
    <w:p>
      <w:r>
        <w:br w:type="page"/>
      </w:r>
    </w:p>
    <w:p>
      <w:pPr>
        <w:spacing w:after="40"/>
      </w:pPr>
      <w:r>
        <w:rPr>
          <w:rFonts w:ascii="Arial" w:hAnsi="Arial"/>
          <w:b/>
          <w:color w:val="B56012"/>
          <w:sz w:val="19"/>
        </w:rPr>
        <w:t>10 · MOAT AND DEFENSIBILITY</w:t>
      </w:r>
    </w:p>
    <w:p>
      <w:pPr>
        <w:spacing w:after="200" w:before="40"/>
      </w:pPr>
      <w:r>
        <w:rPr>
          <w:rFonts w:ascii="Arial" w:hAnsi="Arial"/>
          <w:b/>
          <w:color w:val="1A1A1A"/>
          <w:sz w:val="44"/>
        </w:rPr>
        <w:t>Same categories. One concrete artifact each.</w:t>
      </w:r>
    </w:p>
    <w:tbl>
      <w:tblPr>
        <w:tblW w:type="auto" w:w="0"/>
        <w:jc w:val="center"/>
        <w:tblLayout w:type="autofit"/>
        <w:tblLook w:firstColumn="1" w:firstRow="1" w:lastColumn="0" w:lastRow="0" w:noHBand="0" w:noVBand="1" w:val="04A0"/>
      </w:tblPr>
      <w:tblGrid>
        <w:gridCol w:w="4706"/>
        <w:gridCol w:w="4706"/>
      </w:tblGrid>
      <w:tr>
        <w:trPr>
          <w:cantSplit/>
        </w:trPr>
        <w:tc>
          <w:tcPr>
            <w:tcW w:type="dxa" w:w="4706"/>
            <w:shd w:val="clear" w:color="auto" w:fill="FBEBD9"/>
            <w:tcMar>
              <w:top w:w="180" w:type="dxa"/>
              <w:bottom w:w="180" w:type="dxa"/>
              <w:left w:w="220" w:type="dxa"/>
              <w:right w:w="220" w:type="dxa"/>
            </w:tcMar>
            <w:tcBorders>
              <w:top w:val="single" w:sz="24" w:color="8A480B"/>
            </w:tcBorders>
          </w:tcPr>
          <w:p>
            <w:pPr>
              <w:spacing w:after="80"/>
            </w:pPr>
            <w:r/>
          </w:p>
          <w:tbl>
            <w:tblPr>
              <w:tblW w:type="auto" w:w="0"/>
              <w:tblLayout w:type="fixed"/>
              <w:tblLook w:firstColumn="1" w:firstRow="1" w:lastColumn="0" w:lastRow="0" w:noHBand="0" w:noVBand="1" w:val="04A0"/>
            </w:tblPr>
            <w:tblGrid>
              <w:gridCol w:w="4706"/>
            </w:tblGrid>
            <w:tr>
              <w:trPr>
                <w:trHeight w:val="432"/>
              </w:trPr>
              <w:tc>
                <w:tcPr>
                  <w:tcW w:type="dxa" w:w="432"/>
                  <w:shd w:val="clear" w:color="auto" w:fill="8A480B"/>
                  <w:tcMar>
                    <w:top w:w="60" w:type="dxa"/>
                    <w:bottom w:w="60" w:type="dxa"/>
                    <w:left w:w="0" w:type="dxa"/>
                    <w:right w:w="0" w:type="dxa"/>
                  </w:tcMar>
                </w:tcPr>
                <w:p>
                  <w:pPr>
                    <w:jc w:val="center"/>
                  </w:pPr>
                  <w:r>
                    <w:rPr>
                      <w:rFonts w:ascii="Arial" w:hAnsi="Arial"/>
                      <w:b/>
                      <w:color w:val="FFFFFF"/>
                      <w:sz w:val="22"/>
                    </w:rPr>
                    <w:t>1</w:t>
                  </w:r>
                </w:p>
              </w:tc>
            </w:tr>
          </w:tbl>
          <w:p/>
          <w:p>
            <w:pPr>
              <w:spacing w:before="120" w:after="80"/>
            </w:pPr>
            <w:r>
              <w:rPr>
                <w:rFonts w:ascii="Arial" w:hAnsi="Arial"/>
                <w:b/>
                <w:color w:val="1A1A1A"/>
                <w:sz w:val="22"/>
              </w:rPr>
              <w:t>Workflow evaluation data</w:t>
            </w:r>
          </w:p>
          <w:p>
            <w:pPr>
              <w:spacing w:line="276" w:lineRule="auto"/>
            </w:pPr>
            <w:r>
              <w:rPr>
                <w:rFonts w:ascii="Arial" w:hAnsi="Arial"/>
                <w:color w:val="5B6470"/>
                <w:sz w:val="19"/>
              </w:rPr>
              <w:t>Concrete artifact: per-workflow library of correct/refuse/escalate examples. Defeats: competitors starting quality from zero.</w:t>
            </w:r>
          </w:p>
        </w:tc>
        <w:tc>
          <w:tcPr>
            <w:tcW w:type="dxa" w:w="4706"/>
            <w:shd w:val="clear" w:color="auto" w:fill="F2F1EF"/>
            <w:tcMar>
              <w:top w:w="180" w:type="dxa"/>
              <w:bottom w:w="180" w:type="dxa"/>
              <w:left w:w="220" w:type="dxa"/>
              <w:right w:w="220" w:type="dxa"/>
            </w:tcMar>
            <w:tcBorders>
              <w:top w:val="single" w:sz="24" w:color="8A480B"/>
            </w:tcBorders>
          </w:tcPr>
          <w:p>
            <w:pPr>
              <w:spacing w:after="80"/>
            </w:pPr>
            <w:r/>
          </w:p>
          <w:tbl>
            <w:tblPr>
              <w:tblW w:type="auto" w:w="0"/>
              <w:tblLayout w:type="fixed"/>
              <w:tblLook w:firstColumn="1" w:firstRow="1" w:lastColumn="0" w:lastRow="0" w:noHBand="0" w:noVBand="1" w:val="04A0"/>
            </w:tblPr>
            <w:tblGrid>
              <w:gridCol w:w="4706"/>
            </w:tblGrid>
            <w:tr>
              <w:trPr>
                <w:trHeight w:val="432"/>
              </w:trPr>
              <w:tc>
                <w:tcPr>
                  <w:tcW w:type="dxa" w:w="432"/>
                  <w:shd w:val="clear" w:color="auto" w:fill="8A480B"/>
                  <w:tcMar>
                    <w:top w:w="60" w:type="dxa"/>
                    <w:bottom w:w="60" w:type="dxa"/>
                    <w:left w:w="0" w:type="dxa"/>
                    <w:right w:w="0" w:type="dxa"/>
                  </w:tcMar>
                </w:tcPr>
                <w:p>
                  <w:pPr>
                    <w:jc w:val="center"/>
                  </w:pPr>
                  <w:r>
                    <w:rPr>
                      <w:rFonts w:ascii="Arial" w:hAnsi="Arial"/>
                      <w:b/>
                      <w:color w:val="FFFFFF"/>
                      <w:sz w:val="22"/>
                    </w:rPr>
                    <w:t>2</w:t>
                  </w:r>
                </w:p>
              </w:tc>
            </w:tr>
          </w:tbl>
          <w:p/>
          <w:p>
            <w:pPr>
              <w:spacing w:before="120" w:after="80"/>
            </w:pPr>
            <w:r>
              <w:rPr>
                <w:rFonts w:ascii="Arial" w:hAnsi="Arial"/>
                <w:b/>
                <w:color w:val="1A1A1A"/>
                <w:sz w:val="22"/>
              </w:rPr>
              <w:t>Reliable action contracts</w:t>
            </w:r>
          </w:p>
          <w:p>
            <w:pPr>
              <w:spacing w:line="276" w:lineRule="auto"/>
            </w:pPr>
            <w:r>
              <w:rPr>
                <w:rFonts w:ascii="Arial" w:hAnsi="Arial"/>
                <w:color w:val="5B6470"/>
                <w:sz w:val="19"/>
              </w:rPr>
              <w:t>Concrete artifact: versioned, scoped, audited, reversible connectors. Defeats: easy-to-copy idea, hard-to-copy hardening.</w:t>
            </w:r>
          </w:p>
        </w:tc>
      </w:tr>
      <w:tr>
        <w:trPr>
          <w:cantSplit/>
        </w:trPr>
        <w:tc>
          <w:tcPr>
            <w:tcW w:type="dxa" w:w="4706"/>
            <w:shd w:val="clear" w:color="auto" w:fill="FBEBD9"/>
            <w:tcMar>
              <w:top w:w="180" w:type="dxa"/>
              <w:bottom w:w="180" w:type="dxa"/>
              <w:left w:w="220" w:type="dxa"/>
              <w:right w:w="220" w:type="dxa"/>
            </w:tcMar>
            <w:tcBorders>
              <w:top w:val="single" w:sz="24" w:color="8A480B"/>
            </w:tcBorders>
          </w:tcPr>
          <w:p>
            <w:pPr>
              <w:spacing w:after="80"/>
            </w:pPr>
            <w:r/>
          </w:p>
          <w:tbl>
            <w:tblPr>
              <w:tblW w:type="auto" w:w="0"/>
              <w:tblLayout w:type="fixed"/>
              <w:tblLook w:firstColumn="1" w:firstRow="1" w:lastColumn="0" w:lastRow="0" w:noHBand="0" w:noVBand="1" w:val="04A0"/>
            </w:tblPr>
            <w:tblGrid>
              <w:gridCol w:w="4706"/>
            </w:tblGrid>
            <w:tr>
              <w:trPr>
                <w:trHeight w:val="432"/>
              </w:trPr>
              <w:tc>
                <w:tcPr>
                  <w:tcW w:type="dxa" w:w="432"/>
                  <w:shd w:val="clear" w:color="auto" w:fill="8A480B"/>
                  <w:tcMar>
                    <w:top w:w="60" w:type="dxa"/>
                    <w:bottom w:w="60" w:type="dxa"/>
                    <w:left w:w="0" w:type="dxa"/>
                    <w:right w:w="0" w:type="dxa"/>
                  </w:tcMar>
                </w:tcPr>
                <w:p>
                  <w:pPr>
                    <w:jc w:val="center"/>
                  </w:pPr>
                  <w:r>
                    <w:rPr>
                      <w:rFonts w:ascii="Arial" w:hAnsi="Arial"/>
                      <w:b/>
                      <w:color w:val="FFFFFF"/>
                      <w:sz w:val="22"/>
                    </w:rPr>
                    <w:t>3</w:t>
                  </w:r>
                </w:p>
              </w:tc>
            </w:tr>
          </w:tbl>
          <w:p/>
          <w:p>
            <w:pPr>
              <w:spacing w:before="120" w:after="80"/>
            </w:pPr>
            <w:r>
              <w:rPr>
                <w:rFonts w:ascii="Arial" w:hAnsi="Arial"/>
                <w:b/>
                <w:color w:val="1A1A1A"/>
                <w:sz w:val="22"/>
              </w:rPr>
              <w:t>Operational learning loop</w:t>
            </w:r>
          </w:p>
          <w:p>
            <w:pPr>
              <w:spacing w:line="276" w:lineRule="auto"/>
            </w:pPr>
            <w:r>
              <w:rPr>
                <w:rFonts w:ascii="Arial" w:hAnsi="Arial"/>
                <w:color w:val="5B6470"/>
                <w:sz w:val="19"/>
              </w:rPr>
              <w:t>Concrete artifact: corrections/reopens become regression tests. Defeats: quality resetting each release.</w:t>
            </w:r>
          </w:p>
        </w:tc>
        <w:tc>
          <w:tcPr>
            <w:tcW w:type="dxa" w:w="4706"/>
            <w:shd w:val="clear" w:color="auto" w:fill="F2F1EF"/>
            <w:tcMar>
              <w:top w:w="180" w:type="dxa"/>
              <w:bottom w:w="180" w:type="dxa"/>
              <w:left w:w="220" w:type="dxa"/>
              <w:right w:w="220" w:type="dxa"/>
            </w:tcMar>
            <w:tcBorders>
              <w:top w:val="single" w:sz="24" w:color="8A480B"/>
            </w:tcBorders>
          </w:tcPr>
          <w:p>
            <w:pPr>
              <w:spacing w:after="80"/>
            </w:pPr>
            <w:r/>
          </w:p>
          <w:tbl>
            <w:tblPr>
              <w:tblW w:type="auto" w:w="0"/>
              <w:tblLayout w:type="fixed"/>
              <w:tblLook w:firstColumn="1" w:firstRow="1" w:lastColumn="0" w:lastRow="0" w:noHBand="0" w:noVBand="1" w:val="04A0"/>
            </w:tblPr>
            <w:tblGrid>
              <w:gridCol w:w="4706"/>
            </w:tblGrid>
            <w:tr>
              <w:trPr>
                <w:trHeight w:val="432"/>
              </w:trPr>
              <w:tc>
                <w:tcPr>
                  <w:tcW w:type="dxa" w:w="432"/>
                  <w:shd w:val="clear" w:color="auto" w:fill="8A480B"/>
                  <w:tcMar>
                    <w:top w:w="60" w:type="dxa"/>
                    <w:bottom w:w="60" w:type="dxa"/>
                    <w:left w:w="0" w:type="dxa"/>
                    <w:right w:w="0" w:type="dxa"/>
                  </w:tcMar>
                </w:tcPr>
                <w:p>
                  <w:pPr>
                    <w:jc w:val="center"/>
                  </w:pPr>
                  <w:r>
                    <w:rPr>
                      <w:rFonts w:ascii="Arial" w:hAnsi="Arial"/>
                      <w:b/>
                      <w:color w:val="FFFFFF"/>
                      <w:sz w:val="22"/>
                    </w:rPr>
                    <w:t>4</w:t>
                  </w:r>
                </w:p>
              </w:tc>
            </w:tr>
          </w:tbl>
          <w:p/>
          <w:p>
            <w:pPr>
              <w:spacing w:before="120" w:after="80"/>
            </w:pPr>
            <w:r>
              <w:rPr>
                <w:rFonts w:ascii="Arial" w:hAnsi="Arial"/>
                <w:b/>
                <w:color w:val="1A1A1A"/>
                <w:sz w:val="22"/>
              </w:rPr>
              <w:t>Repeatable deployment</w:t>
            </w:r>
          </w:p>
          <w:p>
            <w:pPr>
              <w:spacing w:line="276" w:lineRule="auto"/>
            </w:pPr>
            <w:r>
              <w:rPr>
                <w:rFonts w:ascii="Arial" w:hAnsi="Arial"/>
                <w:color w:val="5B6470"/>
                <w:sz w:val="19"/>
              </w:rPr>
              <w:t>Concrete artifact: templates per stack combination. Defeats: slow, costly repeat deployments.</w:t>
            </w:r>
          </w:p>
        </w:tc>
      </w:tr>
      <w:tr>
        <w:trPr>
          <w:cantSplit/>
        </w:trPr>
        <w:tc>
          <w:tcPr>
            <w:tcW w:type="dxa" w:w="4706"/>
            <w:shd w:val="clear" w:color="auto" w:fill="FBEBD9"/>
            <w:tcMar>
              <w:top w:w="180" w:type="dxa"/>
              <w:bottom w:w="180" w:type="dxa"/>
              <w:left w:w="220" w:type="dxa"/>
              <w:right w:w="220" w:type="dxa"/>
            </w:tcMar>
            <w:tcBorders>
              <w:top w:val="single" w:sz="24" w:color="8A480B"/>
            </w:tcBorders>
          </w:tcPr>
          <w:p>
            <w:pPr>
              <w:spacing w:after="80"/>
            </w:pPr>
            <w:r/>
          </w:p>
          <w:tbl>
            <w:tblPr>
              <w:tblW w:type="auto" w:w="0"/>
              <w:tblLayout w:type="fixed"/>
              <w:tblLook w:firstColumn="1" w:firstRow="1" w:lastColumn="0" w:lastRow="0" w:noHBand="0" w:noVBand="1" w:val="04A0"/>
            </w:tblPr>
            <w:tblGrid>
              <w:gridCol w:w="4706"/>
            </w:tblGrid>
            <w:tr>
              <w:trPr>
                <w:trHeight w:val="432"/>
              </w:trPr>
              <w:tc>
                <w:tcPr>
                  <w:tcW w:type="dxa" w:w="432"/>
                  <w:shd w:val="clear" w:color="auto" w:fill="8A480B"/>
                  <w:tcMar>
                    <w:top w:w="60" w:type="dxa"/>
                    <w:bottom w:w="60" w:type="dxa"/>
                    <w:left w:w="0" w:type="dxa"/>
                    <w:right w:w="0" w:type="dxa"/>
                  </w:tcMar>
                </w:tcPr>
                <w:p>
                  <w:pPr>
                    <w:jc w:val="center"/>
                  </w:pPr>
                  <w:r>
                    <w:rPr>
                      <w:rFonts w:ascii="Arial" w:hAnsi="Arial"/>
                      <w:b/>
                      <w:color w:val="FFFFFF"/>
                      <w:sz w:val="22"/>
                    </w:rPr>
                    <w:t>5</w:t>
                  </w:r>
                </w:p>
              </w:tc>
            </w:tr>
          </w:tbl>
          <w:p/>
          <w:p>
            <w:pPr>
              <w:spacing w:before="120" w:after="80"/>
            </w:pPr>
            <w:r>
              <w:rPr>
                <w:rFonts w:ascii="Arial" w:hAnsi="Arial"/>
                <w:b/>
                <w:color w:val="1A1A1A"/>
                <w:sz w:val="22"/>
              </w:rPr>
              <w:t>Switching cost, trusted ops</w:t>
            </w:r>
          </w:p>
          <w:p>
            <w:pPr>
              <w:spacing w:line="276" w:lineRule="auto"/>
            </w:pPr>
            <w:r>
              <w:rPr>
                <w:rFonts w:ascii="Arial" w:hAnsi="Arial"/>
                <w:color w:val="5B6470"/>
                <w:sz w:val="19"/>
              </w:rPr>
              <w:t>Concrete artifact: per-customer permission + evaluation profile. Defeats: easy vendor replacement.</w:t>
            </w:r>
          </w:p>
        </w:tc>
        <w:tc>
          <w:tcPr>
            <w:tcW w:type="dxa" w:w="4706"/>
            <w:shd w:val="clear" w:color="auto" w:fill="FFFFFF"/>
          </w:tcPr>
          <w:p/>
        </w:tc>
      </w:tr>
    </w:tbl>
    <w:p>
      <w:pPr>
        <w:spacing w:after="80"/>
      </w:pPr>
    </w:p>
    <w:p>
      <w:pPr>
        <w:spacing w:after="160" w:line="283" w:lineRule="auto"/>
      </w:pPr>
      <w:r>
        <w:rPr>
          <w:rFonts w:ascii="Arial" w:hAnsi="Arial"/>
          <w:b w:val="0"/>
          <w:i/>
          <w:color w:val="5B6470"/>
          <w:sz w:val="19"/>
        </w:rPr>
        <w:t>The first three mechanisms were already visible in the competitive teardown; the last two sharpen that list into something each engagement actually produces. None of the five is the model, generic retrieval, or connector-catalogue size — those are copyable with an API key and a weekend, not defensible on their own. No network-effect claim yet.</w:t>
      </w:r>
    </w:p>
    <w:p>
      <w:r>
        <w:br w:type="page"/>
      </w:r>
    </w:p>
    <w:p>
      <w:pPr>
        <w:spacing w:after="40"/>
      </w:pPr>
      <w:r>
        <w:rPr>
          <w:rFonts w:ascii="Arial" w:hAnsi="Arial"/>
          <w:b/>
          <w:color w:val="B56012"/>
          <w:sz w:val="19"/>
        </w:rPr>
        <w:t>11 · GO-TO-MARKET, METRICS, PRICING</w:t>
      </w:r>
    </w:p>
    <w:p>
      <w:pPr>
        <w:spacing w:after="200" w:before="40"/>
      </w:pPr>
      <w:r>
        <w:rPr>
          <w:rFonts w:ascii="Arial" w:hAnsi="Arial"/>
          <w:b/>
          <w:color w:val="1A1A1A"/>
          <w:sz w:val="44"/>
        </w:rPr>
        <w:t>Land, prove, expand — who and what</w:t>
      </w:r>
    </w:p>
    <w:tbl>
      <w:tblPr>
        <w:tblW w:type="auto" w:w="0"/>
        <w:jc w:val="center"/>
        <w:tblLayout w:type="autofit"/>
        <w:tblLook w:firstColumn="1" w:firstRow="1" w:lastColumn="0" w:lastRow="0" w:noHBand="0" w:noVBand="1" w:val="04A0"/>
      </w:tblPr>
      <w:tblGrid>
        <w:gridCol w:w="2353"/>
        <w:gridCol w:w="2353"/>
        <w:gridCol w:w="2353"/>
        <w:gridCol w:w="2353"/>
      </w:tblGrid>
      <w:tr>
        <w:trPr>
          <w:cantSplit/>
        </w:trPr>
        <w:tc>
          <w:tcPr>
            <w:tcW w:type="dxa" w:w="1584"/>
            <w:shd w:val="clear" w:color="auto" w:fill="8A480B"/>
            <w:tcMar>
              <w:top w:w="90" w:type="dxa"/>
              <w:bottom w:w="90" w:type="dxa"/>
              <w:left w:w="150" w:type="dxa"/>
              <w:right w:w="150" w:type="dxa"/>
            </w:tcMar>
          </w:tcPr>
          <w:p>
            <w:r>
              <w:rPr>
                <w:rFonts w:ascii="Arial" w:hAnsi="Arial"/>
                <w:b/>
                <w:color w:val="FFFFFF"/>
                <w:sz w:val="18"/>
              </w:rPr>
              <w:t>MOTION</w:t>
            </w:r>
          </w:p>
        </w:tc>
        <w:tc>
          <w:tcPr>
            <w:tcW w:type="dxa" w:w="3744"/>
            <w:shd w:val="clear" w:color="auto" w:fill="8A480B"/>
            <w:tcMar>
              <w:top w:w="90" w:type="dxa"/>
              <w:bottom w:w="90" w:type="dxa"/>
              <w:left w:w="150" w:type="dxa"/>
              <w:right w:w="150" w:type="dxa"/>
            </w:tcMar>
          </w:tcPr>
          <w:p>
            <w:r>
              <w:rPr>
                <w:rFonts w:ascii="Arial" w:hAnsi="Arial"/>
                <w:b/>
                <w:color w:val="FFFFFF"/>
                <w:sz w:val="18"/>
              </w:rPr>
              <w:t>WHO</w:t>
            </w:r>
          </w:p>
        </w:tc>
        <w:tc>
          <w:tcPr>
            <w:tcW w:type="dxa" w:w="3024"/>
            <w:shd w:val="clear" w:color="auto" w:fill="8A480B"/>
            <w:tcMar>
              <w:top w:w="90" w:type="dxa"/>
              <w:bottom w:w="90" w:type="dxa"/>
              <w:left w:w="150" w:type="dxa"/>
              <w:right w:w="150" w:type="dxa"/>
            </w:tcMar>
          </w:tcPr>
          <w:p>
            <w:r>
              <w:rPr>
                <w:rFonts w:ascii="Arial" w:hAnsi="Arial"/>
                <w:b/>
                <w:color w:val="FFFFFF"/>
                <w:sz w:val="18"/>
              </w:rPr>
              <w:t>OFFER</w:t>
            </w:r>
          </w:p>
        </w:tc>
        <w:tc>
          <w:tcPr>
            <w:tcW w:type="dxa" w:w="2304"/>
            <w:shd w:val="clear" w:color="auto" w:fill="8A480B"/>
            <w:tcMar>
              <w:top w:w="90" w:type="dxa"/>
              <w:bottom w:w="90" w:type="dxa"/>
              <w:left w:w="150" w:type="dxa"/>
              <w:right w:w="150" w:type="dxa"/>
            </w:tcMar>
          </w:tcPr>
          <w:p>
            <w:r>
              <w:rPr>
                <w:rFonts w:ascii="Arial" w:hAnsi="Arial"/>
                <w:b/>
                <w:color w:val="FFFFFF"/>
                <w:sz w:val="18"/>
              </w:rPr>
              <w:t>TRIGGER TO ADVANCE</w:t>
            </w:r>
          </w:p>
        </w:tc>
      </w:tr>
      <w:tr>
        <w:trPr>
          <w:cantSplit/>
        </w:trPr>
        <w:tc>
          <w:tcPr>
            <w:tcW w:type="dxa" w:w="1584"/>
            <w:shd w:val="clear" w:color="auto" w:fill="FFFFFF"/>
            <w:tcMar>
              <w:top w:w="90" w:type="dxa"/>
              <w:bottom w:w="90" w:type="dxa"/>
              <w:left w:w="150" w:type="dxa"/>
              <w:right w:w="150" w:type="dxa"/>
            </w:tcMar>
          </w:tcPr>
          <w:p>
            <w:pPr>
              <w:spacing w:line="264" w:lineRule="auto"/>
            </w:pPr>
            <w:r>
              <w:rPr>
                <w:rFonts w:ascii="Arial" w:hAnsi="Arial"/>
                <w:b/>
                <w:color w:val="1A1A1A"/>
                <w:sz w:val="19"/>
              </w:rPr>
              <w:t>Land</w:t>
            </w:r>
          </w:p>
        </w:tc>
        <w:tc>
          <w:tcPr>
            <w:tcW w:type="dxa" w:w="3744"/>
            <w:shd w:val="clear" w:color="auto" w:fill="FFFFFF"/>
            <w:tcMar>
              <w:top w:w="90" w:type="dxa"/>
              <w:bottom w:w="90" w:type="dxa"/>
              <w:left w:w="150" w:type="dxa"/>
              <w:right w:w="150" w:type="dxa"/>
            </w:tcMar>
          </w:tcPr>
          <w:p>
            <w:pPr>
              <w:spacing w:line="264" w:lineRule="auto"/>
            </w:pPr>
            <w:r>
              <w:rPr>
                <w:rFonts w:ascii="Arial" w:hAnsi="Arial"/>
                <w:b w:val="0"/>
                <w:color w:val="5B6470"/>
                <w:sz w:val="19"/>
              </w:rPr>
              <w:t>Head/VP Support or Customer Ops buys; Support Ops operates; IT/security approve</w:t>
            </w:r>
          </w:p>
        </w:tc>
        <w:tc>
          <w:tcPr>
            <w:tcW w:type="dxa" w:w="3024"/>
            <w:shd w:val="clear" w:color="auto" w:fill="FFFFFF"/>
            <w:tcMar>
              <w:top w:w="90" w:type="dxa"/>
              <w:bottom w:w="90" w:type="dxa"/>
              <w:left w:w="150" w:type="dxa"/>
              <w:right w:w="150" w:type="dxa"/>
            </w:tcMar>
          </w:tcPr>
          <w:p>
            <w:pPr>
              <w:spacing w:line="264" w:lineRule="auto"/>
            </w:pPr>
            <w:r>
              <w:rPr>
                <w:rFonts w:ascii="Arial" w:hAnsi="Arial"/>
                <w:b w:val="0"/>
                <w:color w:val="5B6470"/>
                <w:sz w:val="19"/>
              </w:rPr>
              <w:t>30–60 day pilot for one workflow</w:t>
            </w:r>
          </w:p>
        </w:tc>
        <w:tc>
          <w:tcPr>
            <w:tcW w:type="dxa" w:w="2304"/>
            <w:shd w:val="clear" w:color="auto" w:fill="FFFFFF"/>
            <w:tcMar>
              <w:top w:w="90" w:type="dxa"/>
              <w:bottom w:w="90" w:type="dxa"/>
              <w:left w:w="150" w:type="dxa"/>
              <w:right w:w="150" w:type="dxa"/>
            </w:tcMar>
          </w:tcPr>
          <w:p>
            <w:pPr>
              <w:spacing w:line="264" w:lineRule="auto"/>
            </w:pPr>
            <w:r>
              <w:rPr>
                <w:rFonts w:ascii="Arial" w:hAnsi="Arial"/>
                <w:b w:val="0"/>
                <w:color w:val="5B6470"/>
                <w:sz w:val="19"/>
              </w:rPr>
              <w:t>Baseline volume, measurable pain, access approved</w:t>
            </w:r>
          </w:p>
        </w:tc>
      </w:tr>
      <w:tr>
        <w:trPr>
          <w:cantSplit/>
        </w:trPr>
        <w:tc>
          <w:tcPr>
            <w:tcW w:type="dxa" w:w="1584"/>
            <w:shd w:val="clear" w:color="auto" w:fill="FBEBD9"/>
            <w:tcMar>
              <w:top w:w="90" w:type="dxa"/>
              <w:bottom w:w="90" w:type="dxa"/>
              <w:left w:w="150" w:type="dxa"/>
              <w:right w:w="150" w:type="dxa"/>
            </w:tcMar>
          </w:tcPr>
          <w:p>
            <w:pPr>
              <w:spacing w:line="264" w:lineRule="auto"/>
            </w:pPr>
            <w:r>
              <w:rPr>
                <w:rFonts w:ascii="Arial" w:hAnsi="Arial"/>
                <w:b/>
                <w:color w:val="1A1A1A"/>
                <w:sz w:val="19"/>
              </w:rPr>
              <w:t>Control / Prove</w:t>
            </w:r>
          </w:p>
        </w:tc>
        <w:tc>
          <w:tcPr>
            <w:tcW w:type="dxa" w:w="3744"/>
            <w:shd w:val="clear" w:color="auto" w:fill="FBEBD9"/>
            <w:tcMar>
              <w:top w:w="90" w:type="dxa"/>
              <w:bottom w:w="90" w:type="dxa"/>
              <w:left w:w="150" w:type="dxa"/>
              <w:right w:w="150" w:type="dxa"/>
            </w:tcMar>
          </w:tcPr>
          <w:p>
            <w:pPr>
              <w:spacing w:line="264" w:lineRule="auto"/>
            </w:pPr>
            <w:r>
              <w:rPr>
                <w:rFonts w:ascii="Arial" w:hAnsi="Arial"/>
                <w:b w:val="0"/>
                <w:color w:val="5B6470"/>
                <w:sz w:val="19"/>
              </w:rPr>
              <w:t>Frontline agents and support managers</w:t>
            </w:r>
          </w:p>
        </w:tc>
        <w:tc>
          <w:tcPr>
            <w:tcW w:type="dxa" w:w="3024"/>
            <w:shd w:val="clear" w:color="auto" w:fill="FBEBD9"/>
            <w:tcMar>
              <w:top w:w="90" w:type="dxa"/>
              <w:bottom w:w="90" w:type="dxa"/>
              <w:left w:w="150" w:type="dxa"/>
              <w:right w:w="150" w:type="dxa"/>
            </w:tcMar>
          </w:tcPr>
          <w:p>
            <w:pPr>
              <w:spacing w:line="264" w:lineRule="auto"/>
            </w:pPr>
            <w:r>
              <w:rPr>
                <w:rFonts w:ascii="Arial" w:hAnsi="Arial"/>
                <w:b w:val="0"/>
                <w:color w:val="5B6470"/>
                <w:sz w:val="19"/>
              </w:rPr>
              <w:t>Shadow/assist workflow, read-only</w:t>
            </w:r>
          </w:p>
        </w:tc>
        <w:tc>
          <w:tcPr>
            <w:tcW w:type="dxa" w:w="2304"/>
            <w:shd w:val="clear" w:color="auto" w:fill="FBEBD9"/>
            <w:tcMar>
              <w:top w:w="90" w:type="dxa"/>
              <w:bottom w:w="90" w:type="dxa"/>
              <w:left w:w="150" w:type="dxa"/>
              <w:right w:w="150" w:type="dxa"/>
            </w:tcMar>
          </w:tcPr>
          <w:p>
            <w:pPr>
              <w:spacing w:line="264" w:lineRule="auto"/>
            </w:pPr>
            <w:r>
              <w:rPr>
                <w:rFonts w:ascii="Arial" w:hAnsi="Arial"/>
                <w:b w:val="0"/>
                <w:color w:val="5B6470"/>
                <w:sz w:val="19"/>
              </w:rPr>
              <w:t>No rise in reopens, unsafe actions or audit gaps</w:t>
            </w:r>
          </w:p>
        </w:tc>
      </w:tr>
      <w:tr>
        <w:trPr>
          <w:cantSplit/>
        </w:trPr>
        <w:tc>
          <w:tcPr>
            <w:tcW w:type="dxa" w:w="1584"/>
            <w:shd w:val="clear" w:color="auto" w:fill="FFFFFF"/>
            <w:tcMar>
              <w:top w:w="90" w:type="dxa"/>
              <w:bottom w:w="90" w:type="dxa"/>
              <w:left w:w="150" w:type="dxa"/>
              <w:right w:w="150" w:type="dxa"/>
            </w:tcMar>
          </w:tcPr>
          <w:p>
            <w:pPr>
              <w:spacing w:line="264" w:lineRule="auto"/>
            </w:pPr>
            <w:r>
              <w:rPr>
                <w:rFonts w:ascii="Arial" w:hAnsi="Arial"/>
                <w:b/>
                <w:color w:val="1A1A1A"/>
                <w:sz w:val="19"/>
              </w:rPr>
              <w:t>Expand (early)</w:t>
            </w:r>
          </w:p>
        </w:tc>
        <w:tc>
          <w:tcPr>
            <w:tcW w:type="dxa" w:w="3744"/>
            <w:shd w:val="clear" w:color="auto" w:fill="FFFFFF"/>
            <w:tcMar>
              <w:top w:w="90" w:type="dxa"/>
              <w:bottom w:w="90" w:type="dxa"/>
              <w:left w:w="150" w:type="dxa"/>
              <w:right w:w="150" w:type="dxa"/>
            </w:tcMar>
          </w:tcPr>
          <w:p>
            <w:pPr>
              <w:spacing w:line="264" w:lineRule="auto"/>
            </w:pPr>
            <w:r>
              <w:rPr>
                <w:rFonts w:ascii="Arial" w:hAnsi="Arial"/>
                <w:b w:val="0"/>
                <w:color w:val="5B6470"/>
                <w:sz w:val="19"/>
              </w:rPr>
              <w:t>Same support team</w:t>
            </w:r>
          </w:p>
        </w:tc>
        <w:tc>
          <w:tcPr>
            <w:tcW w:type="dxa" w:w="3024"/>
            <w:shd w:val="clear" w:color="auto" w:fill="FFFFFF"/>
            <w:tcMar>
              <w:top w:w="90" w:type="dxa"/>
              <w:bottom w:w="90" w:type="dxa"/>
              <w:left w:w="150" w:type="dxa"/>
              <w:right w:w="150" w:type="dxa"/>
            </w:tcMar>
          </w:tcPr>
          <w:p>
            <w:pPr>
              <w:spacing w:line="264" w:lineRule="auto"/>
            </w:pPr>
            <w:r>
              <w:rPr>
                <w:rFonts w:ascii="Arial" w:hAnsi="Arial"/>
                <w:b w:val="0"/>
                <w:color w:val="5B6470"/>
                <w:sz w:val="19"/>
              </w:rPr>
              <w:t>Adjacent variant or second system</w:t>
            </w:r>
          </w:p>
        </w:tc>
        <w:tc>
          <w:tcPr>
            <w:tcW w:type="dxa" w:w="2304"/>
            <w:shd w:val="clear" w:color="auto" w:fill="FFFFFF"/>
            <w:tcMar>
              <w:top w:w="90" w:type="dxa"/>
              <w:bottom w:w="90" w:type="dxa"/>
              <w:left w:w="150" w:type="dxa"/>
              <w:right w:w="150" w:type="dxa"/>
            </w:tcMar>
          </w:tcPr>
          <w:p>
            <w:pPr>
              <w:spacing w:line="264" w:lineRule="auto"/>
            </w:pPr>
            <w:r>
              <w:rPr>
                <w:rFonts w:ascii="Arial" w:hAnsi="Arial"/>
                <w:b w:val="0"/>
                <w:color w:val="5B6470"/>
                <w:sz w:val="19"/>
              </w:rPr>
              <w:t>Repeated usage, manager pull</w:t>
            </w:r>
          </w:p>
        </w:tc>
      </w:tr>
      <w:tr>
        <w:trPr>
          <w:cantSplit/>
        </w:trPr>
        <w:tc>
          <w:tcPr>
            <w:tcW w:type="dxa" w:w="1584"/>
            <w:shd w:val="clear" w:color="auto" w:fill="FBEBD9"/>
            <w:tcMar>
              <w:top w:w="90" w:type="dxa"/>
              <w:bottom w:w="90" w:type="dxa"/>
              <w:left w:w="150" w:type="dxa"/>
              <w:right w:w="150" w:type="dxa"/>
            </w:tcMar>
          </w:tcPr>
          <w:p>
            <w:pPr>
              <w:spacing w:line="264" w:lineRule="auto"/>
            </w:pPr>
            <w:r>
              <w:rPr>
                <w:rFonts w:ascii="Arial" w:hAnsi="Arial"/>
                <w:b/>
                <w:color w:val="1A1A1A"/>
                <w:sz w:val="19"/>
              </w:rPr>
              <w:t>Expand (later)</w:t>
            </w:r>
          </w:p>
        </w:tc>
        <w:tc>
          <w:tcPr>
            <w:tcW w:type="dxa" w:w="3744"/>
            <w:shd w:val="clear" w:color="auto" w:fill="FBEBD9"/>
            <w:tcMar>
              <w:top w:w="90" w:type="dxa"/>
              <w:bottom w:w="90" w:type="dxa"/>
              <w:left w:w="150" w:type="dxa"/>
              <w:right w:w="150" w:type="dxa"/>
            </w:tcMar>
          </w:tcPr>
          <w:p>
            <w:pPr>
              <w:spacing w:line="264" w:lineRule="auto"/>
            </w:pPr>
            <w:r>
              <w:rPr>
                <w:rFonts w:ascii="Arial" w:hAnsi="Arial"/>
                <w:b w:val="0"/>
                <w:color w:val="5B6470"/>
                <w:sz w:val="19"/>
              </w:rPr>
              <w:t>Customer success / operations</w:t>
            </w:r>
          </w:p>
        </w:tc>
        <w:tc>
          <w:tcPr>
            <w:tcW w:type="dxa" w:w="3024"/>
            <w:shd w:val="clear" w:color="auto" w:fill="FBEBD9"/>
            <w:tcMar>
              <w:top w:w="90" w:type="dxa"/>
              <w:bottom w:w="90" w:type="dxa"/>
              <w:left w:w="150" w:type="dxa"/>
              <w:right w:w="150" w:type="dxa"/>
            </w:tcMar>
          </w:tcPr>
          <w:p>
            <w:pPr>
              <w:spacing w:line="264" w:lineRule="auto"/>
            </w:pPr>
            <w:r>
              <w:rPr>
                <w:rFonts w:ascii="Arial" w:hAnsi="Arial"/>
                <w:b w:val="0"/>
                <w:color w:val="5B6470"/>
                <w:sz w:val="19"/>
              </w:rPr>
              <w:t>Adjacent workflows, shared controls</w:t>
            </w:r>
          </w:p>
        </w:tc>
        <w:tc>
          <w:tcPr>
            <w:tcW w:type="dxa" w:w="2304"/>
            <w:shd w:val="clear" w:color="auto" w:fill="FBEBD9"/>
            <w:tcMar>
              <w:top w:w="90" w:type="dxa"/>
              <w:bottom w:w="90" w:type="dxa"/>
              <w:left w:w="150" w:type="dxa"/>
              <w:right w:w="150" w:type="dxa"/>
            </w:tcMar>
          </w:tcPr>
          <w:p>
            <w:pPr>
              <w:spacing w:line="264" w:lineRule="auto"/>
            </w:pPr>
            <w:r>
              <w:rPr>
                <w:rFonts w:ascii="Arial" w:hAnsi="Arial"/>
                <w:b w:val="0"/>
                <w:color w:val="5B6470"/>
                <w:sz w:val="19"/>
              </w:rPr>
              <w:t>Renewal, buyer-backed ROI</w:t>
            </w:r>
          </w:p>
        </w:tc>
      </w:tr>
    </w:tbl>
    <w:p>
      <w:pPr>
        <w:spacing w:after="40"/>
      </w:pPr>
    </w:p>
    <w:tbl>
      <w:tblPr>
        <w:tblW w:type="auto" w:w="0"/>
        <w:jc w:val="center"/>
        <w:tblLook w:firstColumn="1" w:firstRow="1" w:lastColumn="0" w:lastRow="0" w:noHBand="0" w:noVBand="1" w:val="04A0"/>
      </w:tblPr>
      <w:tblGrid>
        <w:gridCol w:w="9412"/>
      </w:tblGrid>
      <w:tr>
        <w:trPr>
          <w:cantSplit/>
        </w:trPr>
        <w:tc>
          <w:tcPr>
            <w:tcW w:type="dxa" w:w="9412"/>
            <w:shd w:val="clear" w:color="auto" w:fill="FBEBD9"/>
            <w:tcMar>
              <w:top w:w="160" w:type="dxa"/>
              <w:bottom w:w="160" w:type="dxa"/>
              <w:left w:w="220" w:type="dxa"/>
              <w:right w:w="220" w:type="dxa"/>
            </w:tcMar>
          </w:tcPr>
          <w:p>
            <w:pPr>
              <w:spacing w:line="276" w:lineRule="auto"/>
            </w:pPr>
            <w:r>
              <w:rPr>
                <w:rFonts w:ascii="Arial" w:hAnsi="Arial"/>
                <w:b/>
                <w:color w:val="8A480B"/>
                <w:sz w:val="19"/>
              </w:rPr>
              <w:t xml:space="preserve">METRICS   </w:t>
            </w:r>
            <w:r>
              <w:rPr>
                <w:rFonts w:ascii="Arial" w:hAnsi="Arial"/>
                <w:b/>
                <w:color w:val="1A1A1A"/>
                <w:sz w:val="21"/>
              </w:rPr>
              <w:t>primary: median context-collection minutes per difficult case. Guardrails: reopen rate, incorrect/unauthorized action rate, customer harm, audit completeness, connector failures, CSAT.</w:t>
            </w:r>
          </w:p>
        </w:tc>
      </w:tr>
    </w:tbl>
    <w:p>
      <w:pPr>
        <w:spacing w:after="40"/>
      </w:pPr>
    </w:p>
    <w:p>
      <w:pPr>
        <w:spacing w:after="160" w:line="283" w:lineRule="auto"/>
      </w:pPr>
      <w:r>
        <w:rPr>
          <w:rFonts w:ascii="Arial" w:hAnsi="Arial"/>
          <w:b w:val="0"/>
          <w:i w:val="0"/>
          <w:color w:val="1A1A1A"/>
          <w:sz w:val="20"/>
        </w:rPr>
        <w:t>Pricing hypothesis: a predictable base subscription plus a capped usage tier tied to workflow volume or verified outcomes. No price set before a durable resolution, reopen window and cost floor are defined.</w:t>
      </w:r>
    </w:p>
    <w:p>
      <w:r>
        <w:br w:type="page"/>
      </w:r>
    </w:p>
    <w:p>
      <w:pPr>
        <w:spacing w:after="40"/>
      </w:pPr>
      <w:r>
        <w:rPr>
          <w:rFonts w:ascii="Arial" w:hAnsi="Arial"/>
          <w:b/>
          <w:color w:val="B56012"/>
          <w:sz w:val="19"/>
        </w:rPr>
        <w:t>12 · RISKS, REJECTION CONDITIONS, AND DECISION GATES</w:t>
      </w:r>
    </w:p>
    <w:p>
      <w:pPr>
        <w:spacing w:after="200" w:before="40"/>
      </w:pPr>
      <w:r>
        <w:rPr>
          <w:rFonts w:ascii="Arial" w:hAnsi="Arial"/>
          <w:b/>
          <w:color w:val="1A1A1A"/>
          <w:sz w:val="44"/>
        </w:rPr>
        <w:t>What has to be true before this scales</w:t>
      </w:r>
    </w:p>
    <w:tbl>
      <w:tblPr>
        <w:tblW w:type="auto" w:w="0"/>
        <w:jc w:val="center"/>
        <w:tblLayout w:type="autofit"/>
        <w:tblLook w:firstColumn="1" w:firstRow="1" w:lastColumn="0" w:lastRow="0" w:noHBand="0" w:noVBand="1" w:val="04A0"/>
      </w:tblPr>
      <w:tblGrid>
        <w:gridCol w:w="4706"/>
        <w:gridCol w:w="4706"/>
      </w:tblGrid>
      <w:tr>
        <w:trPr>
          <w:cantSplit/>
        </w:trPr>
        <w:tc>
          <w:tcPr>
            <w:tcW w:type="dxa" w:w="3456"/>
            <w:shd w:val="clear" w:color="auto" w:fill="8A480B"/>
            <w:tcMar>
              <w:top w:w="90" w:type="dxa"/>
              <w:bottom w:w="90" w:type="dxa"/>
              <w:left w:w="150" w:type="dxa"/>
              <w:right w:w="150" w:type="dxa"/>
            </w:tcMar>
          </w:tcPr>
          <w:p>
            <w:r>
              <w:rPr>
                <w:rFonts w:ascii="Arial" w:hAnsi="Arial"/>
                <w:b/>
                <w:color w:val="FFFFFF"/>
                <w:sz w:val="18"/>
              </w:rPr>
              <w:t>RISK</w:t>
            </w:r>
          </w:p>
        </w:tc>
        <w:tc>
          <w:tcPr>
            <w:tcW w:type="dxa" w:w="6048"/>
            <w:shd w:val="clear" w:color="auto" w:fill="8A480B"/>
            <w:tcMar>
              <w:top w:w="90" w:type="dxa"/>
              <w:bottom w:w="90" w:type="dxa"/>
              <w:left w:w="150" w:type="dxa"/>
              <w:right w:w="150" w:type="dxa"/>
            </w:tcMar>
          </w:tcPr>
          <w:p>
            <w:r>
              <w:rPr>
                <w:rFonts w:ascii="Arial" w:hAnsi="Arial"/>
                <w:b/>
                <w:color w:val="FFFFFF"/>
                <w:sz w:val="18"/>
              </w:rPr>
              <w:t>MITIGATION</w:t>
            </w:r>
          </w:p>
        </w:tc>
      </w:tr>
      <w:tr>
        <w:trPr>
          <w:cantSplit/>
        </w:trPr>
        <w:tc>
          <w:tcPr>
            <w:tcW w:type="dxa" w:w="3456"/>
            <w:shd w:val="clear" w:color="auto" w:fill="FFFFFF"/>
            <w:tcMar>
              <w:top w:w="90" w:type="dxa"/>
              <w:bottom w:w="90" w:type="dxa"/>
              <w:left w:w="150" w:type="dxa"/>
              <w:right w:w="150" w:type="dxa"/>
            </w:tcMar>
          </w:tcPr>
          <w:p>
            <w:pPr>
              <w:spacing w:line="264" w:lineRule="auto"/>
            </w:pPr>
            <w:r>
              <w:rPr>
                <w:rFonts w:ascii="Arial" w:hAnsi="Arial"/>
                <w:b/>
                <w:color w:val="1A1A1A"/>
                <w:sz w:val="19"/>
              </w:rPr>
              <w:t>Incumbents close the gap</w:t>
            </w:r>
          </w:p>
        </w:tc>
        <w:tc>
          <w:tcPr>
            <w:tcW w:type="dxa" w:w="6048"/>
            <w:shd w:val="clear" w:color="auto" w:fill="FFFFFF"/>
            <w:tcMar>
              <w:top w:w="90" w:type="dxa"/>
              <w:bottom w:w="90" w:type="dxa"/>
              <w:left w:w="150" w:type="dxa"/>
              <w:right w:w="150" w:type="dxa"/>
            </w:tcMar>
          </w:tcPr>
          <w:p>
            <w:pPr>
              <w:spacing w:line="264" w:lineRule="auto"/>
            </w:pPr>
            <w:r>
              <w:rPr>
                <w:rFonts w:ascii="Arial" w:hAnsi="Arial"/>
                <w:b w:val="0"/>
                <w:color w:val="5B6470"/>
                <w:sz w:val="19"/>
              </w:rPr>
              <w:t>Win only with a validated workflow, faster deployment, better economics</w:t>
            </w:r>
          </w:p>
        </w:tc>
      </w:tr>
      <w:tr>
        <w:trPr>
          <w:cantSplit/>
        </w:trPr>
        <w:tc>
          <w:tcPr>
            <w:tcW w:type="dxa" w:w="3456"/>
            <w:shd w:val="clear" w:color="auto" w:fill="FBEBD9"/>
            <w:tcMar>
              <w:top w:w="90" w:type="dxa"/>
              <w:bottom w:w="90" w:type="dxa"/>
              <w:left w:w="150" w:type="dxa"/>
              <w:right w:w="150" w:type="dxa"/>
            </w:tcMar>
          </w:tcPr>
          <w:p>
            <w:pPr>
              <w:spacing w:line="264" w:lineRule="auto"/>
            </w:pPr>
            <w:r>
              <w:rPr>
                <w:rFonts w:ascii="Arial" w:hAnsi="Arial"/>
                <w:b/>
                <w:color w:val="1A1A1A"/>
                <w:sz w:val="19"/>
              </w:rPr>
              <w:t>Another system increases complexity</w:t>
            </w:r>
          </w:p>
        </w:tc>
        <w:tc>
          <w:tcPr>
            <w:tcW w:type="dxa" w:w="6048"/>
            <w:shd w:val="clear" w:color="auto" w:fill="FBEBD9"/>
            <w:tcMar>
              <w:top w:w="90" w:type="dxa"/>
              <w:bottom w:w="90" w:type="dxa"/>
              <w:left w:w="150" w:type="dxa"/>
              <w:right w:w="150" w:type="dxa"/>
            </w:tcMar>
          </w:tcPr>
          <w:p>
            <w:pPr>
              <w:spacing w:line="264" w:lineRule="auto"/>
            </w:pPr>
            <w:r>
              <w:rPr>
                <w:rFonts w:ascii="Arial" w:hAnsi="Arial"/>
                <w:b w:val="0"/>
                <w:color w:val="5B6470"/>
                <w:sz w:val="19"/>
              </w:rPr>
              <w:t>Prove reduced total admin effort, not only handle time</w:t>
            </w:r>
          </w:p>
        </w:tc>
      </w:tr>
      <w:tr>
        <w:trPr>
          <w:cantSplit/>
        </w:trPr>
        <w:tc>
          <w:tcPr>
            <w:tcW w:type="dxa" w:w="3456"/>
            <w:shd w:val="clear" w:color="auto" w:fill="FFFFFF"/>
            <w:tcMar>
              <w:top w:w="90" w:type="dxa"/>
              <w:bottom w:w="90" w:type="dxa"/>
              <w:left w:w="150" w:type="dxa"/>
              <w:right w:w="150" w:type="dxa"/>
            </w:tcMar>
          </w:tcPr>
          <w:p>
            <w:pPr>
              <w:spacing w:line="264" w:lineRule="auto"/>
            </w:pPr>
            <w:r>
              <w:rPr>
                <w:rFonts w:ascii="Arial" w:hAnsi="Arial"/>
                <w:b/>
                <w:color w:val="1A1A1A"/>
                <w:sz w:val="19"/>
              </w:rPr>
              <w:t>Poor context or unsafe action</w:t>
            </w:r>
          </w:p>
        </w:tc>
        <w:tc>
          <w:tcPr>
            <w:tcW w:type="dxa" w:w="6048"/>
            <w:shd w:val="clear" w:color="auto" w:fill="FFFFFF"/>
            <w:tcMar>
              <w:top w:w="90" w:type="dxa"/>
              <w:bottom w:w="90" w:type="dxa"/>
              <w:left w:w="150" w:type="dxa"/>
              <w:right w:w="150" w:type="dxa"/>
            </w:tcMar>
          </w:tcPr>
          <w:p>
            <w:pPr>
              <w:spacing w:line="264" w:lineRule="auto"/>
            </w:pPr>
            <w:r>
              <w:rPr>
                <w:rFonts w:ascii="Arial" w:hAnsi="Arial"/>
                <w:b w:val="0"/>
                <w:color w:val="5B6470"/>
                <w:sz w:val="19"/>
              </w:rPr>
              <w:t>Read-only first, citations, approval, audit, rollback, safe stop</w:t>
            </w:r>
          </w:p>
        </w:tc>
      </w:tr>
      <w:tr>
        <w:trPr>
          <w:cantSplit/>
        </w:trPr>
        <w:tc>
          <w:tcPr>
            <w:tcW w:type="dxa" w:w="3456"/>
            <w:shd w:val="clear" w:color="auto" w:fill="FBEBD9"/>
            <w:tcMar>
              <w:top w:w="90" w:type="dxa"/>
              <w:bottom w:w="90" w:type="dxa"/>
              <w:left w:w="150" w:type="dxa"/>
              <w:right w:w="150" w:type="dxa"/>
            </w:tcMar>
          </w:tcPr>
          <w:p>
            <w:pPr>
              <w:spacing w:line="264" w:lineRule="auto"/>
            </w:pPr>
            <w:r>
              <w:rPr>
                <w:rFonts w:ascii="Arial" w:hAnsi="Arial"/>
                <w:b/>
                <w:color w:val="1A1A1A"/>
                <w:sz w:val="19"/>
              </w:rPr>
              <w:t>Custom integration destroys margin</w:t>
            </w:r>
          </w:p>
        </w:tc>
        <w:tc>
          <w:tcPr>
            <w:tcW w:type="dxa" w:w="6048"/>
            <w:shd w:val="clear" w:color="auto" w:fill="FBEBD9"/>
            <w:tcMar>
              <w:top w:w="90" w:type="dxa"/>
              <w:bottom w:w="90" w:type="dxa"/>
              <w:left w:w="150" w:type="dxa"/>
              <w:right w:w="150" w:type="dxa"/>
            </w:tcMar>
          </w:tcPr>
          <w:p>
            <w:pPr>
              <w:spacing w:line="264" w:lineRule="auto"/>
            </w:pPr>
            <w:r>
              <w:rPr>
                <w:rFonts w:ascii="Arial" w:hAnsi="Arial"/>
                <w:b w:val="0"/>
                <w:color w:val="5B6470"/>
                <w:sz w:val="19"/>
              </w:rPr>
              <w:t>Versioned action contracts, stop rules for bespoke work</w:t>
            </w:r>
          </w:p>
        </w:tc>
      </w:tr>
      <w:tr>
        <w:trPr>
          <w:cantSplit/>
        </w:trPr>
        <w:tc>
          <w:tcPr>
            <w:tcW w:type="dxa" w:w="3456"/>
            <w:shd w:val="clear" w:color="auto" w:fill="FFFFFF"/>
            <w:tcMar>
              <w:top w:w="90" w:type="dxa"/>
              <w:bottom w:w="90" w:type="dxa"/>
              <w:left w:w="150" w:type="dxa"/>
              <w:right w:w="150" w:type="dxa"/>
            </w:tcMar>
          </w:tcPr>
          <w:p>
            <w:pPr>
              <w:spacing w:line="264" w:lineRule="auto"/>
            </w:pPr>
            <w:r>
              <w:rPr>
                <w:rFonts w:ascii="Arial" w:hAnsi="Arial"/>
                <w:b/>
                <w:color w:val="1A1A1A"/>
                <w:sz w:val="19"/>
              </w:rPr>
              <w:t>Interview evidence is too narrow</w:t>
            </w:r>
          </w:p>
        </w:tc>
        <w:tc>
          <w:tcPr>
            <w:tcW w:type="dxa" w:w="6048"/>
            <w:shd w:val="clear" w:color="auto" w:fill="FFFFFF"/>
            <w:tcMar>
              <w:top w:w="90" w:type="dxa"/>
              <w:bottom w:w="90" w:type="dxa"/>
              <w:left w:w="150" w:type="dxa"/>
              <w:right w:w="150" w:type="dxa"/>
            </w:tcMar>
          </w:tcPr>
          <w:p>
            <w:pPr>
              <w:spacing w:line="264" w:lineRule="auto"/>
            </w:pPr>
            <w:r>
              <w:rPr>
                <w:rFonts w:ascii="Arial" w:hAnsi="Arial"/>
                <w:b w:val="0"/>
                <w:color w:val="5B6470"/>
                <w:sz w:val="19"/>
              </w:rPr>
              <w:t>Disclose 4/8; treat ICP and workflow as hypotheses</w:t>
            </w:r>
          </w:p>
        </w:tc>
      </w:tr>
      <w:tr>
        <w:trPr>
          <w:cantSplit/>
        </w:trPr>
        <w:tc>
          <w:tcPr>
            <w:tcW w:type="dxa" w:w="3456"/>
            <w:shd w:val="clear" w:color="auto" w:fill="FBEBD9"/>
            <w:tcMar>
              <w:top w:w="90" w:type="dxa"/>
              <w:bottom w:w="90" w:type="dxa"/>
              <w:left w:w="150" w:type="dxa"/>
              <w:right w:w="150" w:type="dxa"/>
            </w:tcMar>
          </w:tcPr>
          <w:p>
            <w:pPr>
              <w:spacing w:line="264" w:lineRule="auto"/>
            </w:pPr>
            <w:r>
              <w:rPr>
                <w:rFonts w:ascii="Arial" w:hAnsi="Arial"/>
                <w:b/>
                <w:color w:val="1A1A1A"/>
                <w:sz w:val="19"/>
              </w:rPr>
              <w:t>Bottom-up estimate overstates confidence</w:t>
            </w:r>
          </w:p>
        </w:tc>
        <w:tc>
          <w:tcPr>
            <w:tcW w:type="dxa" w:w="6048"/>
            <w:shd w:val="clear" w:color="auto" w:fill="FBEBD9"/>
            <w:tcMar>
              <w:top w:w="90" w:type="dxa"/>
              <w:bottom w:w="90" w:type="dxa"/>
              <w:left w:w="150" w:type="dxa"/>
              <w:right w:w="150" w:type="dxa"/>
            </w:tcMar>
          </w:tcPr>
          <w:p>
            <w:pPr>
              <w:spacing w:line="264" w:lineRule="auto"/>
            </w:pPr>
            <w:r>
              <w:rPr>
                <w:rFonts w:ascii="Arial" w:hAnsi="Arial"/>
                <w:b w:val="0"/>
                <w:color w:val="5B6470"/>
                <w:sz w:val="19"/>
              </w:rPr>
              <w:t>Vertical-share input labeled an assumption, not fact</w:t>
            </w:r>
          </w:p>
        </w:tc>
      </w:tr>
    </w:tbl>
    <w:p>
      <w:pPr>
        <w:spacing w:after="40"/>
      </w:pPr>
    </w:p>
    <w:tbl>
      <w:tblPr>
        <w:tblW w:type="auto" w:w="0"/>
        <w:jc w:val="center"/>
        <w:tblLook w:firstColumn="1" w:firstRow="1" w:lastColumn="0" w:lastRow="0" w:noHBand="0" w:noVBand="1" w:val="04A0"/>
      </w:tblPr>
      <w:tblGrid>
        <w:gridCol w:w="9412"/>
      </w:tblGrid>
      <w:tr>
        <w:trPr>
          <w:cantSplit/>
        </w:trPr>
        <w:tc>
          <w:tcPr>
            <w:tcW w:type="dxa" w:w="9412"/>
            <w:shd w:val="clear" w:color="auto" w:fill="FBEBD9"/>
            <w:tcMar>
              <w:top w:w="160" w:type="dxa"/>
              <w:bottom w:w="160" w:type="dxa"/>
              <w:left w:w="220" w:type="dxa"/>
              <w:right w:w="220" w:type="dxa"/>
            </w:tcMar>
          </w:tcPr>
          <w:p>
            <w:pPr>
              <w:spacing w:line="276" w:lineRule="auto"/>
            </w:pPr>
            <w:r>
              <w:rPr>
                <w:rFonts w:ascii="Arial" w:hAnsi="Arial"/>
                <w:b/>
                <w:color w:val="8A480B"/>
                <w:sz w:val="19"/>
              </w:rPr>
              <w:t xml:space="preserve">REJECT OR NARROW THIS STRATEGY IF   </w:t>
            </w:r>
            <w:r>
              <w:rPr>
                <w:rFonts w:ascii="Arial" w:hAnsi="Arial"/>
                <w:b/>
                <w:color w:val="1A1A1A"/>
                <w:sz w:val="21"/>
              </w:rPr>
              <w:t>customers cannot name one frequent, urgent workflow; IT or security will not permit the required access; the incumbent completes it well enough at lower total cost; no buyer will sponsor a controlled pilot; or the product becomes another destination agents must maintain.</w:t>
            </w:r>
          </w:p>
        </w:tc>
      </w:tr>
    </w:tbl>
    <w:p>
      <w:pPr>
        <w:spacing w:after="40"/>
      </w:pPr>
    </w:p>
    <w:p>
      <w:pPr>
        <w:spacing w:before="280" w:after="120"/>
      </w:pPr>
      <w:r>
        <w:rPr>
          <w:rFonts w:ascii="Arial" w:hAnsi="Arial"/>
          <w:b/>
          <w:color w:val="8A480B"/>
          <w:sz w:val="28"/>
        </w:rPr>
        <w:t>Evidence still missing, and the decision gates</w:t>
      </w:r>
    </w:p>
    <w:p>
      <w:pPr>
        <w:spacing w:after="80" w:line="276" w:lineRule="auto"/>
        <w:ind w:left="280"/>
      </w:pPr>
      <w:r>
        <w:rPr>
          <w:rFonts w:ascii="Arial" w:hAnsi="Arial"/>
          <w:b/>
          <w:color w:val="B56012"/>
          <w:sz w:val="21"/>
        </w:rPr>
        <w:t xml:space="preserve">—  </w:t>
      </w:r>
      <w:r>
        <w:rPr>
          <w:rFonts w:ascii="Arial" w:hAnsi="Arial"/>
          <w:color w:val="1A1A1A"/>
          <w:sz w:val="21"/>
        </w:rPr>
        <w:t>Buyer interviews across company size and support maturity</w:t>
      </w:r>
    </w:p>
    <w:p>
      <w:pPr>
        <w:spacing w:after="80" w:line="276" w:lineRule="auto"/>
        <w:ind w:left="280"/>
      </w:pPr>
      <w:r>
        <w:rPr>
          <w:rFonts w:ascii="Arial" w:hAnsi="Arial"/>
          <w:b/>
          <w:color w:val="B56012"/>
          <w:sz w:val="21"/>
        </w:rPr>
        <w:t xml:space="preserve">—  </w:t>
      </w:r>
      <w:r>
        <w:rPr>
          <w:rFonts w:ascii="Arial" w:hAnsi="Arial"/>
          <w:color w:val="1A1A1A"/>
          <w:sz w:val="21"/>
        </w:rPr>
        <w:t>Recent workflow frequency, baseline effort, and failure cost</w:t>
      </w:r>
    </w:p>
    <w:p>
      <w:pPr>
        <w:spacing w:after="80" w:line="276" w:lineRule="auto"/>
        <w:ind w:left="280"/>
      </w:pPr>
      <w:r>
        <w:rPr>
          <w:rFonts w:ascii="Arial" w:hAnsi="Arial"/>
          <w:b/>
          <w:color w:val="B56012"/>
          <w:sz w:val="21"/>
        </w:rPr>
        <w:t xml:space="preserve">—  </w:t>
      </w:r>
      <w:r>
        <w:rPr>
          <w:rFonts w:ascii="Arial" w:hAnsi="Arial"/>
          <w:color w:val="1A1A1A"/>
          <w:sz w:val="21"/>
        </w:rPr>
        <w:t>A hands-on incumbent comparison and administrator experience</w:t>
      </w:r>
    </w:p>
    <w:p>
      <w:pPr>
        <w:spacing w:after="80" w:line="276" w:lineRule="auto"/>
        <w:ind w:left="280"/>
      </w:pPr>
      <w:r>
        <w:rPr>
          <w:rFonts w:ascii="Arial" w:hAnsi="Arial"/>
          <w:b/>
          <w:color w:val="B56012"/>
          <w:sz w:val="21"/>
        </w:rPr>
        <w:t xml:space="preserve">—  </w:t>
      </w:r>
      <w:r>
        <w:rPr>
          <w:rFonts w:ascii="Arial" w:hAnsi="Arial"/>
          <w:color w:val="1A1A1A"/>
          <w:sz w:val="21"/>
        </w:rPr>
        <w:t>Security approval, system permissions, and data-boundary requirements</w:t>
      </w:r>
    </w:p>
    <w:p>
      <w:pPr>
        <w:spacing w:after="80" w:line="276" w:lineRule="auto"/>
        <w:ind w:left="280"/>
      </w:pPr>
      <w:r>
        <w:rPr>
          <w:rFonts w:ascii="Arial" w:hAnsi="Arial"/>
          <w:b/>
          <w:color w:val="B56012"/>
          <w:sz w:val="21"/>
        </w:rPr>
        <w:t xml:space="preserve">—  </w:t>
      </w:r>
      <w:r>
        <w:rPr>
          <w:rFonts w:ascii="Arial" w:hAnsi="Arial"/>
          <w:color w:val="1A1A1A"/>
          <w:sz w:val="21"/>
        </w:rPr>
        <w:t>Pilot sponsorship, willingness to pay, and a full cost model</w:t>
      </w:r>
    </w:p>
    <w:tbl>
      <w:tblPr>
        <w:tblW w:type="auto" w:w="0"/>
        <w:jc w:val="center"/>
        <w:tblLayout w:type="autofit"/>
        <w:tblLook w:firstColumn="1" w:firstRow="1" w:lastColumn="0" w:lastRow="0" w:noHBand="0" w:noVBand="1" w:val="04A0"/>
      </w:tblPr>
      <w:tblGrid>
        <w:gridCol w:w="2353"/>
        <w:gridCol w:w="2353"/>
        <w:gridCol w:w="2353"/>
        <w:gridCol w:w="2353"/>
      </w:tblGrid>
      <w:tr>
        <w:trPr>
          <w:cantSplit/>
        </w:trPr>
        <w:tc>
          <w:tcPr>
            <w:tcW w:type="dxa" w:w="4608"/>
            <w:shd w:val="clear" w:color="auto" w:fill="8A480B"/>
            <w:tcMar>
              <w:top w:w="90" w:type="dxa"/>
              <w:bottom w:w="90" w:type="dxa"/>
              <w:left w:w="150" w:type="dxa"/>
              <w:right w:w="150" w:type="dxa"/>
            </w:tcMar>
          </w:tcPr>
          <w:p>
            <w:r>
              <w:rPr>
                <w:rFonts w:ascii="Arial" w:hAnsi="Arial"/>
                <w:b/>
                <w:color w:val="FFFFFF"/>
                <w:sz w:val="18"/>
              </w:rPr>
              <w:t>INTERVIEW DECISION GATE</w:t>
            </w:r>
          </w:p>
        </w:tc>
        <w:tc>
          <w:tcPr>
            <w:tcW w:type="dxa" w:w="2016"/>
            <w:shd w:val="clear" w:color="auto" w:fill="8A480B"/>
            <w:tcMar>
              <w:top w:w="90" w:type="dxa"/>
              <w:bottom w:w="90" w:type="dxa"/>
              <w:left w:w="150" w:type="dxa"/>
              <w:right w:w="150" w:type="dxa"/>
            </w:tcMar>
          </w:tcPr>
          <w:p>
            <w:r>
              <w:rPr>
                <w:rFonts w:ascii="Arial" w:hAnsi="Arial"/>
                <w:b/>
                <w:color w:val="FFFFFF"/>
                <w:sz w:val="18"/>
              </w:rPr>
              <w:t>THRESHOLD</w:t>
            </w:r>
          </w:p>
        </w:tc>
        <w:tc>
          <w:tcPr>
            <w:tcW w:type="dxa" w:w="1584"/>
            <w:shd w:val="clear" w:color="auto" w:fill="8A480B"/>
            <w:tcMar>
              <w:top w:w="90" w:type="dxa"/>
              <w:bottom w:w="90" w:type="dxa"/>
              <w:left w:w="150" w:type="dxa"/>
              <w:right w:w="150" w:type="dxa"/>
            </w:tcMar>
          </w:tcPr>
          <w:p>
            <w:r>
              <w:rPr>
                <w:rFonts w:ascii="Arial" w:hAnsi="Arial"/>
                <w:b/>
                <w:color w:val="FFFFFF"/>
                <w:sz w:val="18"/>
              </w:rPr>
              <w:t>OBSERVED</w:t>
            </w:r>
          </w:p>
        </w:tc>
        <w:tc>
          <w:tcPr>
            <w:tcW w:type="dxa" w:w="1440"/>
            <w:shd w:val="clear" w:color="auto" w:fill="8A480B"/>
            <w:tcMar>
              <w:top w:w="90" w:type="dxa"/>
              <w:bottom w:w="90" w:type="dxa"/>
              <w:left w:w="150" w:type="dxa"/>
              <w:right w:w="150" w:type="dxa"/>
            </w:tcMar>
          </w:tcPr>
          <w:p>
            <w:r>
              <w:rPr>
                <w:rFonts w:ascii="Arial" w:hAnsi="Arial"/>
                <w:b/>
                <w:color w:val="FFFFFF"/>
                <w:sz w:val="18"/>
              </w:rPr>
              <w:t>STATUS</w:t>
            </w:r>
          </w:p>
        </w:tc>
      </w:tr>
      <w:tr>
        <w:trPr>
          <w:cantSplit/>
        </w:trPr>
        <w:tc>
          <w:tcPr>
            <w:tcW w:type="dxa" w:w="4608"/>
            <w:shd w:val="clear" w:color="auto" w:fill="FFFFFF"/>
            <w:tcMar>
              <w:top w:w="90" w:type="dxa"/>
              <w:bottom w:w="90" w:type="dxa"/>
              <w:left w:w="150" w:type="dxa"/>
              <w:right w:w="150" w:type="dxa"/>
            </w:tcMar>
          </w:tcPr>
          <w:p>
            <w:pPr>
              <w:spacing w:line="264" w:lineRule="auto"/>
            </w:pPr>
            <w:r>
              <w:rPr>
                <w:rFonts w:ascii="Arial" w:hAnsi="Arial"/>
                <w:b/>
                <w:color w:val="1A1A1A"/>
                <w:sz w:val="19"/>
              </w:rPr>
              <w:t>Same repeated workflow</w:t>
            </w:r>
          </w:p>
        </w:tc>
        <w:tc>
          <w:tcPr>
            <w:tcW w:type="dxa" w:w="2016"/>
            <w:shd w:val="clear" w:color="auto" w:fill="FFFFFF"/>
            <w:tcMar>
              <w:top w:w="90" w:type="dxa"/>
              <w:bottom w:w="90" w:type="dxa"/>
              <w:left w:w="150" w:type="dxa"/>
              <w:right w:w="150" w:type="dxa"/>
            </w:tcMar>
          </w:tcPr>
          <w:p>
            <w:pPr>
              <w:spacing w:line="264" w:lineRule="auto"/>
            </w:pPr>
            <w:r>
              <w:rPr>
                <w:rFonts w:ascii="Arial" w:hAnsi="Arial"/>
                <w:b w:val="0"/>
                <w:color w:val="5B6470"/>
                <w:sz w:val="19"/>
              </w:rPr>
              <w:t>≥4 participants</w:t>
            </w:r>
          </w:p>
        </w:tc>
        <w:tc>
          <w:tcPr>
            <w:tcW w:type="dxa" w:w="1584"/>
            <w:shd w:val="clear" w:color="auto" w:fill="FFFFFF"/>
            <w:tcMar>
              <w:top w:w="90" w:type="dxa"/>
              <w:bottom w:w="90" w:type="dxa"/>
              <w:left w:w="150" w:type="dxa"/>
              <w:right w:w="150" w:type="dxa"/>
            </w:tcMar>
          </w:tcPr>
          <w:p>
            <w:pPr>
              <w:spacing w:line="264" w:lineRule="auto"/>
            </w:pPr>
            <w:r>
              <w:rPr>
                <w:rFonts w:ascii="Arial" w:hAnsi="Arial"/>
                <w:b w:val="0"/>
                <w:color w:val="5B6470"/>
                <w:sz w:val="19"/>
              </w:rPr>
              <w:t>2</w:t>
            </w:r>
          </w:p>
        </w:tc>
        <w:tc>
          <w:tcPr>
            <w:tcW w:type="dxa" w:w="1440"/>
            <w:shd w:val="clear" w:color="auto" w:fill="FFFFFF"/>
            <w:tcMar>
              <w:top w:w="90" w:type="dxa"/>
              <w:bottom w:w="90" w:type="dxa"/>
              <w:left w:w="150" w:type="dxa"/>
              <w:right w:w="150" w:type="dxa"/>
            </w:tcMar>
          </w:tcPr>
          <w:p>
            <w:pPr>
              <w:spacing w:line="264" w:lineRule="auto"/>
            </w:pPr>
            <w:r>
              <w:rPr>
                <w:rFonts w:ascii="Arial" w:hAnsi="Arial"/>
                <w:b w:val="0"/>
                <w:color w:val="5B6470"/>
                <w:sz w:val="19"/>
              </w:rPr>
              <w:t>Not met</w:t>
            </w:r>
          </w:p>
        </w:tc>
      </w:tr>
      <w:tr>
        <w:trPr>
          <w:cantSplit/>
        </w:trPr>
        <w:tc>
          <w:tcPr>
            <w:tcW w:type="dxa" w:w="4608"/>
            <w:shd w:val="clear" w:color="auto" w:fill="FBEBD9"/>
            <w:tcMar>
              <w:top w:w="90" w:type="dxa"/>
              <w:bottom w:w="90" w:type="dxa"/>
              <w:left w:w="150" w:type="dxa"/>
              <w:right w:w="150" w:type="dxa"/>
            </w:tcMar>
          </w:tcPr>
          <w:p>
            <w:pPr>
              <w:spacing w:line="264" w:lineRule="auto"/>
            </w:pPr>
            <w:r>
              <w:rPr>
                <w:rFonts w:ascii="Arial" w:hAnsi="Arial"/>
                <w:b/>
                <w:color w:val="1A1A1A"/>
                <w:sz w:val="19"/>
              </w:rPr>
              <w:t>Measurable impact, leading workflow</w:t>
            </w:r>
          </w:p>
        </w:tc>
        <w:tc>
          <w:tcPr>
            <w:tcW w:type="dxa" w:w="2016"/>
            <w:shd w:val="clear" w:color="auto" w:fill="FBEBD9"/>
            <w:tcMar>
              <w:top w:w="90" w:type="dxa"/>
              <w:bottom w:w="90" w:type="dxa"/>
              <w:left w:w="150" w:type="dxa"/>
              <w:right w:w="150" w:type="dxa"/>
            </w:tcMar>
          </w:tcPr>
          <w:p>
            <w:pPr>
              <w:spacing w:line="264" w:lineRule="auto"/>
            </w:pPr>
            <w:r>
              <w:rPr>
                <w:rFonts w:ascii="Arial" w:hAnsi="Arial"/>
                <w:b w:val="0"/>
                <w:color w:val="5B6470"/>
                <w:sz w:val="19"/>
              </w:rPr>
              <w:t>≥3 participants</w:t>
            </w:r>
          </w:p>
        </w:tc>
        <w:tc>
          <w:tcPr>
            <w:tcW w:type="dxa" w:w="1584"/>
            <w:shd w:val="clear" w:color="auto" w:fill="FBEBD9"/>
            <w:tcMar>
              <w:top w:w="90" w:type="dxa"/>
              <w:bottom w:w="90" w:type="dxa"/>
              <w:left w:w="150" w:type="dxa"/>
              <w:right w:w="150" w:type="dxa"/>
            </w:tcMar>
          </w:tcPr>
          <w:p>
            <w:pPr>
              <w:spacing w:line="264" w:lineRule="auto"/>
            </w:pPr>
            <w:r>
              <w:rPr>
                <w:rFonts w:ascii="Arial" w:hAnsi="Arial"/>
                <w:b w:val="0"/>
                <w:color w:val="5B6470"/>
                <w:sz w:val="19"/>
              </w:rPr>
              <w:t>1</w:t>
            </w:r>
          </w:p>
        </w:tc>
        <w:tc>
          <w:tcPr>
            <w:tcW w:type="dxa" w:w="1440"/>
            <w:shd w:val="clear" w:color="auto" w:fill="FBEBD9"/>
            <w:tcMar>
              <w:top w:w="90" w:type="dxa"/>
              <w:bottom w:w="90" w:type="dxa"/>
              <w:left w:w="150" w:type="dxa"/>
              <w:right w:w="150" w:type="dxa"/>
            </w:tcMar>
          </w:tcPr>
          <w:p>
            <w:pPr>
              <w:spacing w:line="264" w:lineRule="auto"/>
            </w:pPr>
            <w:r>
              <w:rPr>
                <w:rFonts w:ascii="Arial" w:hAnsi="Arial"/>
                <w:b w:val="0"/>
                <w:color w:val="5B6470"/>
                <w:sz w:val="19"/>
              </w:rPr>
              <w:t>Not met</w:t>
            </w:r>
          </w:p>
        </w:tc>
      </w:tr>
      <w:tr>
        <w:trPr>
          <w:cantSplit/>
        </w:trPr>
        <w:tc>
          <w:tcPr>
            <w:tcW w:type="dxa" w:w="4608"/>
            <w:shd w:val="clear" w:color="auto" w:fill="FFFFFF"/>
            <w:tcMar>
              <w:top w:w="90" w:type="dxa"/>
              <w:bottom w:w="90" w:type="dxa"/>
              <w:left w:w="150" w:type="dxa"/>
              <w:right w:w="150" w:type="dxa"/>
            </w:tcMar>
          </w:tcPr>
          <w:p>
            <w:pPr>
              <w:spacing w:line="264" w:lineRule="auto"/>
            </w:pPr>
            <w:r>
              <w:rPr>
                <w:rFonts w:ascii="Arial" w:hAnsi="Arial"/>
                <w:b/>
                <w:color w:val="1A1A1A"/>
                <w:sz w:val="19"/>
              </w:rPr>
              <w:t>Native tool insufficient</w:t>
            </w:r>
          </w:p>
        </w:tc>
        <w:tc>
          <w:tcPr>
            <w:tcW w:type="dxa" w:w="2016"/>
            <w:shd w:val="clear" w:color="auto" w:fill="FFFFFF"/>
            <w:tcMar>
              <w:top w:w="90" w:type="dxa"/>
              <w:bottom w:w="90" w:type="dxa"/>
              <w:left w:w="150" w:type="dxa"/>
              <w:right w:w="150" w:type="dxa"/>
            </w:tcMar>
          </w:tcPr>
          <w:p>
            <w:pPr>
              <w:spacing w:line="264" w:lineRule="auto"/>
            </w:pPr>
            <w:r>
              <w:rPr>
                <w:rFonts w:ascii="Arial" w:hAnsi="Arial"/>
                <w:b w:val="0"/>
                <w:color w:val="5B6470"/>
                <w:sz w:val="19"/>
              </w:rPr>
              <w:t>≥3 participants</w:t>
            </w:r>
          </w:p>
        </w:tc>
        <w:tc>
          <w:tcPr>
            <w:tcW w:type="dxa" w:w="1584"/>
            <w:shd w:val="clear" w:color="auto" w:fill="FFFFFF"/>
            <w:tcMar>
              <w:top w:w="90" w:type="dxa"/>
              <w:bottom w:w="90" w:type="dxa"/>
              <w:left w:w="150" w:type="dxa"/>
              <w:right w:w="150" w:type="dxa"/>
            </w:tcMar>
          </w:tcPr>
          <w:p>
            <w:pPr>
              <w:spacing w:line="264" w:lineRule="auto"/>
            </w:pPr>
            <w:r>
              <w:rPr>
                <w:rFonts w:ascii="Arial" w:hAnsi="Arial"/>
                <w:b w:val="0"/>
                <w:color w:val="5B6470"/>
                <w:sz w:val="19"/>
              </w:rPr>
              <w:t>2</w:t>
            </w:r>
          </w:p>
        </w:tc>
        <w:tc>
          <w:tcPr>
            <w:tcW w:type="dxa" w:w="1440"/>
            <w:shd w:val="clear" w:color="auto" w:fill="FFFFFF"/>
            <w:tcMar>
              <w:top w:w="90" w:type="dxa"/>
              <w:bottom w:w="90" w:type="dxa"/>
              <w:left w:w="150" w:type="dxa"/>
              <w:right w:w="150" w:type="dxa"/>
            </w:tcMar>
          </w:tcPr>
          <w:p>
            <w:pPr>
              <w:spacing w:line="264" w:lineRule="auto"/>
            </w:pPr>
            <w:r>
              <w:rPr>
                <w:rFonts w:ascii="Arial" w:hAnsi="Arial"/>
                <w:b w:val="0"/>
                <w:color w:val="5B6470"/>
                <w:sz w:val="19"/>
              </w:rPr>
              <w:t>Not met</w:t>
            </w:r>
          </w:p>
        </w:tc>
      </w:tr>
      <w:tr>
        <w:trPr>
          <w:cantSplit/>
        </w:trPr>
        <w:tc>
          <w:tcPr>
            <w:tcW w:type="dxa" w:w="4608"/>
            <w:shd w:val="clear" w:color="auto" w:fill="FBEBD9"/>
            <w:tcMar>
              <w:top w:w="90" w:type="dxa"/>
              <w:bottom w:w="90" w:type="dxa"/>
              <w:left w:w="150" w:type="dxa"/>
              <w:right w:w="150" w:type="dxa"/>
            </w:tcMar>
          </w:tcPr>
          <w:p>
            <w:pPr>
              <w:spacing w:line="264" w:lineRule="auto"/>
            </w:pPr>
            <w:r>
              <w:rPr>
                <w:rFonts w:ascii="Arial" w:hAnsi="Arial"/>
                <w:b/>
                <w:color w:val="1A1A1A"/>
                <w:sz w:val="19"/>
              </w:rPr>
              <w:t>Strong pilot interest</w:t>
            </w:r>
          </w:p>
        </w:tc>
        <w:tc>
          <w:tcPr>
            <w:tcW w:type="dxa" w:w="2016"/>
            <w:shd w:val="clear" w:color="auto" w:fill="FBEBD9"/>
            <w:tcMar>
              <w:top w:w="90" w:type="dxa"/>
              <w:bottom w:w="90" w:type="dxa"/>
              <w:left w:w="150" w:type="dxa"/>
              <w:right w:w="150" w:type="dxa"/>
            </w:tcMar>
          </w:tcPr>
          <w:p>
            <w:pPr>
              <w:spacing w:line="264" w:lineRule="auto"/>
            </w:pPr>
            <w:r>
              <w:rPr>
                <w:rFonts w:ascii="Arial" w:hAnsi="Arial"/>
                <w:b w:val="0"/>
                <w:color w:val="5B6470"/>
                <w:sz w:val="19"/>
              </w:rPr>
              <w:t>≥2 participants</w:t>
            </w:r>
          </w:p>
        </w:tc>
        <w:tc>
          <w:tcPr>
            <w:tcW w:type="dxa" w:w="1584"/>
            <w:shd w:val="clear" w:color="auto" w:fill="FBEBD9"/>
            <w:tcMar>
              <w:top w:w="90" w:type="dxa"/>
              <w:bottom w:w="90" w:type="dxa"/>
              <w:left w:w="150" w:type="dxa"/>
              <w:right w:w="150" w:type="dxa"/>
            </w:tcMar>
          </w:tcPr>
          <w:p>
            <w:pPr>
              <w:spacing w:line="264" w:lineRule="auto"/>
            </w:pPr>
            <w:r>
              <w:rPr>
                <w:rFonts w:ascii="Arial" w:hAnsi="Arial"/>
                <w:b w:val="0"/>
                <w:color w:val="5B6470"/>
                <w:sz w:val="19"/>
              </w:rPr>
              <w:t>0</w:t>
            </w:r>
          </w:p>
        </w:tc>
        <w:tc>
          <w:tcPr>
            <w:tcW w:type="dxa" w:w="1440"/>
            <w:shd w:val="clear" w:color="auto" w:fill="FBEBD9"/>
            <w:tcMar>
              <w:top w:w="90" w:type="dxa"/>
              <w:bottom w:w="90" w:type="dxa"/>
              <w:left w:w="150" w:type="dxa"/>
              <w:right w:w="150" w:type="dxa"/>
            </w:tcMar>
          </w:tcPr>
          <w:p>
            <w:pPr>
              <w:spacing w:line="264" w:lineRule="auto"/>
            </w:pPr>
            <w:r>
              <w:rPr>
                <w:rFonts w:ascii="Arial" w:hAnsi="Arial"/>
                <w:b w:val="0"/>
                <w:color w:val="5B6470"/>
                <w:sz w:val="19"/>
              </w:rPr>
              <w:t>Not met</w:t>
            </w:r>
          </w:p>
        </w:tc>
      </w:tr>
    </w:tbl>
    <w:p>
      <w:pPr>
        <w:spacing w:after="40"/>
      </w:pPr>
    </w:p>
    <w:tbl>
      <w:tblPr>
        <w:tblW w:type="auto" w:w="0"/>
        <w:jc w:val="center"/>
        <w:tblLook w:firstColumn="1" w:firstRow="1" w:lastColumn="0" w:lastRow="0" w:noHBand="0" w:noVBand="1" w:val="04A0"/>
      </w:tblPr>
      <w:tblGrid>
        <w:gridCol w:w="9412"/>
      </w:tblGrid>
      <w:tr>
        <w:trPr>
          <w:cantSplit/>
        </w:trPr>
        <w:tc>
          <w:tcPr>
            <w:tcW w:type="dxa" w:w="9412"/>
            <w:shd w:val="clear" w:color="auto" w:fill="FBEBD9"/>
            <w:tcMar>
              <w:top w:w="160" w:type="dxa"/>
              <w:bottom w:w="160" w:type="dxa"/>
              <w:left w:w="220" w:type="dxa"/>
              <w:right w:w="220" w:type="dxa"/>
            </w:tcMar>
          </w:tcPr>
          <w:p>
            <w:pPr>
              <w:spacing w:line="276" w:lineRule="auto"/>
            </w:pPr>
            <w:r>
              <w:rPr>
                <w:rFonts w:ascii="Arial" w:hAnsi="Arial"/>
                <w:b/>
                <w:color w:val="8A480B"/>
                <w:sz w:val="19"/>
              </w:rPr>
              <w:t xml:space="preserve">FINAL BOUNDARY   </w:t>
            </w:r>
            <w:r>
              <w:rPr>
                <w:rFonts w:ascii="Arial" w:hAnsi="Arial"/>
                <w:b/>
                <w:color w:val="1A1A1A"/>
                <w:sz w:val="21"/>
              </w:rPr>
              <w:t>this document recommends a direction under time and sample constraints. It does not claim a validated ICP, statistically representative demand, a confirmed buyer, willingness to pay, or a proven moat. All four interview decision gates are unmet, and the evidence gaps above are still open.</w:t>
            </w:r>
          </w:p>
        </w:tc>
      </w:tr>
    </w:tbl>
    <w:p>
      <w:pPr>
        <w:spacing w:after="40"/>
      </w:pPr>
    </w:p>
    <w:p>
      <w:pPr>
        <w:spacing w:after="40"/>
      </w:pPr>
      <w:r>
        <w:rPr>
          <w:rFonts w:ascii="Arial" w:hAnsi="Arial"/>
          <w:b/>
          <w:color w:val="B56012"/>
          <w:sz w:val="19"/>
        </w:rPr>
        <w:t>VIDEO WALKTHROUGH</w:t>
      </w:r>
    </w:p>
    <w:p>
      <w:pPr>
        <w:spacing w:after="200" w:before="40"/>
      </w:pPr>
      <w:r>
        <w:rPr>
          <w:rFonts w:ascii="Arial" w:hAnsi="Arial"/>
          <w:b/>
          <w:color w:val="1A1A1A"/>
          <w:sz w:val="40"/>
        </w:rPr>
        <w:t>Video link</w:t>
      </w:r>
    </w:p>
    <w:p>
      <w:pPr>
        <w:spacing w:after="200" w:line="283" w:lineRule="auto"/>
      </w:pPr>
      <w:r>
        <w:rPr>
          <w:rFonts w:ascii="Arial" w:hAnsi="Arial"/>
          <w:b w:val="0"/>
          <w:i w:val="0"/>
          <w:color w:val="5B6470"/>
          <w:sz w:val="21"/>
        </w:rPr>
        <w:t>A recorded walkthrough (under five minutes) of the decision, evidence, and boundary above.</w:t>
      </w:r>
    </w:p>
    <w:tbl>
      <w:tblPr>
        <w:tblW w:type="auto" w:w="0"/>
        <w:jc w:val="center"/>
        <w:tblLook w:firstColumn="1" w:firstRow="1" w:lastColumn="0" w:lastRow="0" w:noHBand="0" w:noVBand="1" w:val="04A0"/>
      </w:tblPr>
      <w:tblGrid>
        <w:gridCol w:w="9412"/>
      </w:tblGrid>
      <w:tr>
        <w:trPr>
          <w:cantSplit/>
        </w:trPr>
        <w:tc>
          <w:tcPr>
            <w:tcW w:type="dxa" w:w="9412"/>
            <w:shd w:val="clear" w:color="auto" w:fill="FBEBD9"/>
            <w:tcMar>
              <w:top w:w="160" w:type="dxa"/>
              <w:bottom w:w="160" w:type="dxa"/>
              <w:left w:w="220" w:type="dxa"/>
              <w:right w:w="220" w:type="dxa"/>
            </w:tcMar>
          </w:tcPr>
          <w:p>
            <w:pPr>
              <w:spacing w:line="276" w:lineRule="auto"/>
            </w:pPr>
            <w:r>
              <w:rPr>
                <w:rFonts w:ascii="Arial" w:hAnsi="Arial"/>
                <w:b/>
                <w:color w:val="8A480B"/>
                <w:sz w:val="19"/>
              </w:rPr>
              <w:t xml:space="preserve">VIDEO LINK   </w:t>
            </w:r>
            <w:r>
              <w:rPr>
                <w:rFonts w:ascii="Arial" w:hAnsi="Arial"/>
                <w:b/>
                <w:color w:val="1A1A1A"/>
                <w:sz w:val="21"/>
              </w:rPr>
              <w:t>Add the Loom or Google Drive URL here before upload: ______________________________________________</w:t>
            </w:r>
          </w:p>
        </w:tc>
      </w:tr>
    </w:tbl>
    <w:p>
      <w:pPr>
        <w:spacing w:after="40"/>
      </w:pPr>
    </w:p>
    <w:p>
      <w:r>
        <w:br w:type="page"/>
      </w:r>
    </w:p>
    <w:p>
      <w:pPr>
        <w:spacing w:after="40"/>
      </w:pPr>
      <w:r>
        <w:rPr>
          <w:rFonts w:ascii="Arial" w:hAnsi="Arial"/>
          <w:b/>
          <w:color w:val="B56012"/>
          <w:sz w:val="19"/>
        </w:rPr>
        <w:t>13 · SELECTED SOURCES AND RESEARCH RECORD</w:t>
      </w:r>
    </w:p>
    <w:p>
      <w:pPr>
        <w:spacing w:after="200" w:before="40"/>
      </w:pPr>
      <w:r>
        <w:rPr>
          <w:rFonts w:ascii="Arial" w:hAnsi="Arial"/>
          <w:b/>
          <w:color w:val="1A1A1A"/>
          <w:sz w:val="44"/>
        </w:rPr>
        <w:t>Evidence index</w:t>
      </w:r>
    </w:p>
    <w:p>
      <w:pPr>
        <w:spacing w:before="280" w:after="120"/>
      </w:pPr>
      <w:r>
        <w:rPr>
          <w:rFonts w:ascii="Arial" w:hAnsi="Arial"/>
          <w:b/>
          <w:color w:val="8A480B"/>
          <w:sz w:val="28"/>
        </w:rPr>
        <w:t>General research base</w:t>
      </w:r>
    </w:p>
    <w:p>
      <w:pPr>
        <w:spacing w:after="160" w:line="283" w:lineRule="auto"/>
      </w:pPr>
      <w:r>
        <w:rPr>
          <w:rFonts w:ascii="Arial" w:hAnsi="Arial"/>
          <w:b w:val="0"/>
          <w:i w:val="0"/>
          <w:color w:val="1A1A1A"/>
          <w:sz w:val="20"/>
        </w:rPr>
        <w:t>secondary-research-report.md, source-inventory.csv, review-evidence.csv, interview notes P01–P04, and research/bottom-up-market-estimate.md.</w:t>
      </w:r>
    </w:p>
    <w:p>
      <w:pPr>
        <w:spacing w:before="280" w:after="120"/>
      </w:pPr>
      <w:r>
        <w:rPr>
          <w:rFonts w:ascii="Arial" w:hAnsi="Arial"/>
          <w:b/>
          <w:color w:val="8A480B"/>
          <w:sz w:val="28"/>
        </w:rPr>
        <w:t>Competitive teardown register</w:t>
      </w:r>
    </w:p>
    <w:p>
      <w:pPr>
        <w:spacing w:after="160" w:line="283" w:lineRule="auto"/>
      </w:pPr>
      <w:r>
        <w:rPr>
          <w:rFonts w:ascii="Arial" w:hAnsi="Arial"/>
          <w:b w:val="0"/>
          <w:i w:val="0"/>
          <w:color w:val="1A1A1A"/>
          <w:sz w:val="20"/>
        </w:rPr>
        <w:t>research/competitive-teardowns/ — V1–V3 (Intercom pricing, Fin Procedures, outcome definition), V4–V5 (Zendesk AI agents and pricing), V6–V8 (Freshdesk features, pricing, integrations), V9–V11 (Salesforce Service Cloud, Agentforce pricing, guardrails), R1–R2 (Intercom reviews), R3–R4 (Zendesk reviews), R5 (Freshdesk reviews), R6 (Salesforce/Agentforce reviews), I1–I2 (the two enterprise interviews used for cross-system pain examples), H (strategic synthesis), U (explicitly unresolved — see Section 12).</w:t>
      </w:r>
    </w:p>
    <w:p>
      <w:pPr>
        <w:spacing w:after="160" w:line="283" w:lineRule="auto"/>
      </w:pPr>
      <w:r>
        <w:rPr>
          <w:rFonts w:ascii="Arial" w:hAnsi="Arial"/>
          <w:b w:val="0"/>
          <w:i/>
          <w:color w:val="5B6470"/>
          <w:sz w:val="18"/>
        </w:rPr>
        <w:t>Counts: 91 evidence records → 56 linked sources → 65-source register. Public and interview evidence are stored separately. The competitive register is related but kept distinct — never merged into one ID system.</w:t>
      </w:r>
    </w:p>
    <w:p>
      <w:pPr>
        <w:spacing w:before="280" w:after="120"/>
      </w:pPr>
      <w:r>
        <w:rPr>
          <w:rFonts w:ascii="Arial" w:hAnsi="Arial"/>
          <w:b/>
          <w:color w:val="8A480B"/>
          <w:sz w:val="28"/>
        </w:rPr>
        <w:t>Submission checklist</w:t>
      </w:r>
    </w:p>
    <w:p>
      <w:pPr>
        <w:spacing w:after="80" w:line="276" w:lineRule="auto"/>
        <w:ind w:left="280"/>
      </w:pPr>
      <w:r>
        <w:rPr>
          <w:rFonts w:ascii="Arial" w:hAnsi="Arial"/>
          <w:b/>
          <w:color w:val="B56012"/>
          <w:sz w:val="19"/>
        </w:rPr>
        <w:t xml:space="preserve">—  </w:t>
      </w:r>
      <w:r>
        <w:rPr>
          <w:rFonts w:ascii="Arial" w:hAnsi="Arial"/>
          <w:color w:val="1A1A1A"/>
          <w:sz w:val="19"/>
        </w:rPr>
        <w:t>PDF visually checked; no fabricated quotes or participant identities.</w:t>
      </w:r>
    </w:p>
    <w:p>
      <w:pPr>
        <w:spacing w:after="80" w:line="276" w:lineRule="auto"/>
        <w:ind w:left="280"/>
      </w:pPr>
      <w:r>
        <w:rPr>
          <w:rFonts w:ascii="Arial" w:hAnsi="Arial"/>
          <w:b/>
          <w:color w:val="B56012"/>
          <w:sz w:val="19"/>
        </w:rPr>
        <w:t xml:space="preserve">—  </w:t>
      </w:r>
      <w:r>
        <w:rPr>
          <w:rFonts w:ascii="Arial" w:hAnsi="Arial"/>
          <w:color w:val="1A1A1A"/>
          <w:sz w:val="19"/>
        </w:rPr>
        <w:t>Interview diversity limitation and all unknowns disclosed.</w:t>
      </w:r>
    </w:p>
    <w:p>
      <w:pPr>
        <w:spacing w:after="80" w:line="276" w:lineRule="auto"/>
        <w:ind w:left="280"/>
      </w:pPr>
      <w:r>
        <w:rPr>
          <w:rFonts w:ascii="Arial" w:hAnsi="Arial"/>
          <w:b/>
          <w:color w:val="B56012"/>
          <w:sz w:val="19"/>
        </w:rPr>
        <w:t xml:space="preserve">—  </w:t>
      </w:r>
      <w:r>
        <w:rPr>
          <w:rFonts w:ascii="Arial" w:hAnsi="Arial"/>
          <w:color w:val="1A1A1A"/>
          <w:sz w:val="19"/>
        </w:rPr>
        <w:t>Competitor capabilities represented as current product claims, not outcome proof.</w:t>
      </w:r>
    </w:p>
    <w:p>
      <w:pPr>
        <w:spacing w:after="80" w:line="276" w:lineRule="auto"/>
        <w:ind w:left="280"/>
      </w:pPr>
      <w:r>
        <w:rPr>
          <w:rFonts w:ascii="Arial" w:hAnsi="Arial"/>
          <w:b/>
          <w:color w:val="B56012"/>
          <w:sz w:val="19"/>
        </w:rPr>
        <w:t xml:space="preserve">—  </w:t>
      </w:r>
      <w:r>
        <w:rPr>
          <w:rFonts w:ascii="Arial" w:hAnsi="Arial"/>
          <w:color w:val="1A1A1A"/>
          <w:sz w:val="19"/>
        </w:rPr>
        <w:t>Before upload: record the under-five-minute video, paste its working URL in the Video Link section above, regenerate the PDF, and open the link in a private browser window.</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2" w:val="left"/>
      </w:tabs>
    </w:pPr>
    <w:r/>
    <w:r>
      <w:rPr>
        <w:rFonts w:ascii="Arial" w:hAnsi="Arial"/>
        <w:color w:val="5B6470"/>
        <w:sz w:val="17"/>
      </w:rPr>
      <w:t>Airtribe B2B Product Strategy</w:t>
    </w:r>
    <w:r>
      <w:tab/>
    </w:r>
    <w:r>
      <w:rPr>
        <w:sz w:val="17"/>
        <w:color w:val="5B647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Earn the Platform, Don't Announce It — B2B Product Strategy</dc:title>
  <dc:subject>2-3 year AI-powered Customer Operations Platform strategy — Airtribe B2B Product Strategy Assignment</dc:subject>
  <dc:creator>Praveen Veera</dc:creator>
  <cp:keywords>B2B SaaS, AI customer support, product strategy, Airtribe, Customer Operations Platform</cp:keywords>
  <dc:description/>
  <cp:lastModifiedBy>Praveen Veera</cp:lastModifiedBy>
  <cp:revision>1</cp:revision>
  <dcterms:created xsi:type="dcterms:W3CDTF">2013-12-23T23:15:00Z</dcterms:created>
  <dcterms:modified xsi:type="dcterms:W3CDTF">2013-12-23T23:15:00Z</dcterms:modified>
  <cp:category/>
</cp:coreProperties>
</file>