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20"/>
      </w:pPr>
      <w:r>
        <w:rPr>
          <w:rFonts w:ascii="Aptos" w:hAnsi="Aptos"/>
          <w:b/>
          <w:color w:val="D99A2B"/>
          <w:sz w:val="17"/>
        </w:rPr>
        <w:t>AIRTRIBE  •  B2B PRODUCT STRATEGY</w:t>
      </w:r>
    </w:p>
    <w:p>
      <w:pPr>
        <w:pStyle w:val="Title"/>
      </w:pPr>
      <w:r>
        <w:t>From AI chatbot to</w:t>
        <w:br/>
        <w:t>trusted workflow completion</w:t>
      </w:r>
    </w:p>
    <w:p>
      <w:pPr>
        <w:pStyle w:val="Subtitle"/>
      </w:pPr>
      <w:r>
        <w:t>A 2–3 year product strategy for AI-powered Customer Operations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10080"/>
      </w:tblGrid>
      <w:tr>
        <w:trPr>
          <w:cantSplit/>
        </w:trPr>
        <w:tc>
          <w:tcPr>
            <w:tcW w:type="dxa" w:w="5141"/>
            <w:shd w:fill="2D6A9F"/>
          </w:tcPr>
          <w:p/>
        </w:tc>
        <w:tc>
          <w:tcPr>
            <w:tcW w:type="dxa" w:w="5141"/>
            <w:shd w:fill="EAF2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2D6A9F"/>
                <w:sz w:val="16"/>
              </w:rPr>
              <w:t>STRATEGIC DECISION</w:t>
            </w:r>
          </w:p>
          <w:p>
            <w:pPr>
              <w:spacing w:after="0"/>
            </w:pPr>
            <w:r>
              <w:rPr>
                <w:rFonts w:ascii="Aptos" w:hAnsi="Aptos"/>
                <w:color w:val="17202A"/>
                <w:sz w:val="18"/>
              </w:rPr>
              <w:t>Do not replace the helpdesk and do not launch a broad platform. Land with one permission-aware, cross-system workflow in agent-assist or shadow mode; prove durable resolution and safe write-back; expand only after the workflow earns adoption.</w:t>
            </w:r>
          </w:p>
        </w:tc>
      </w:tr>
    </w:tbl>
    <w:p>
      <w:pPr>
        <w:spacing w:after="0"/>
      </w:pP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304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Evidence base</w:t>
            </w:r>
          </w:p>
        </w:tc>
        <w:tc>
          <w:tcPr>
            <w:tcW w:type="dxa" w:w="4896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What it supports</w:t>
            </w:r>
          </w:p>
        </w:tc>
        <w:tc>
          <w:tcPr>
            <w:tcW w:type="dxa" w:w="3024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Boundary</w:t>
            </w:r>
          </w:p>
        </w:tc>
      </w:tr>
      <w:tr>
        <w:trPr>
          <w:cantSplit/>
        </w:trPr>
        <w:tc>
          <w:tcPr>
            <w:tcW w:type="dxa" w:w="2304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91 public evidence records</w:t>
            </w:r>
          </w:p>
        </w:tc>
        <w:tc>
          <w:tcPr>
            <w:tcW w:type="dxa" w:w="4896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Category, adoption, competitor capability and recurring pain themes</w:t>
            </w:r>
          </w:p>
        </w:tc>
        <w:tc>
          <w:tcPr>
            <w:tcW w:type="dxa" w:w="3024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Linked to 56 unique sources in a 65-source register</w:t>
            </w:r>
          </w:p>
        </w:tc>
      </w:tr>
      <w:tr>
        <w:trPr>
          <w:cantSplit/>
        </w:trPr>
        <w:tc>
          <w:tcPr>
            <w:tcW w:type="dxa" w:w="2304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4 anonymized interviews</w:t>
            </w:r>
          </w:p>
        </w:tc>
        <w:tc>
          <w:tcPr>
            <w:tcW w:type="dxa" w:w="4896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Complex-case context and handoff, duplicate work, approval delay and least-privilege pilot design</w:t>
            </w:r>
          </w:p>
        </w:tc>
        <w:tc>
          <w:tcPr>
            <w:tcW w:type="dxa" w:w="3024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2 mid-market + 2 enterprise; 3 frontline + 1 approval stakeholder; no manager or economic buyer</w:t>
            </w:r>
          </w:p>
        </w:tc>
      </w:tr>
      <w:tr>
        <w:trPr>
          <w:cantSplit/>
        </w:trPr>
        <w:tc>
          <w:tcPr>
            <w:tcW w:type="dxa" w:w="2304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4 incumbent audits</w:t>
            </w:r>
          </w:p>
        </w:tc>
        <w:tc>
          <w:tcPr>
            <w:tcW w:type="dxa" w:w="4896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Intercom, Zendesk, Freshdesk and Salesforce already cover AI, integrations and governance</w:t>
            </w:r>
          </w:p>
        </w:tc>
        <w:tc>
          <w:tcPr>
            <w:tcW w:type="dxa" w:w="3024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Generic integration is not differentiation</w:t>
            </w:r>
          </w:p>
        </w:tc>
      </w:tr>
    </w:tbl>
    <w:p>
      <w:pPr>
        <w:spacing w:after="0"/>
      </w:pPr>
    </w:p>
    <w:p/>
    <w:p>
      <w:pPr>
        <w:keepNext w:val="0"/>
        <w:spacing w:after="80"/>
      </w:pPr>
      <w:r>
        <w:rPr>
          <w:rFonts w:ascii="Aptos" w:hAnsi="Aptos"/>
          <w:color w:val="5B6573"/>
          <w:sz w:val="17"/>
        </w:rPr>
        <w:t>Submission date: 12 September 2026</w:t>
      </w:r>
    </w:p>
    <w:p>
      <w:pPr>
        <w:keepNext w:val="0"/>
        <w:spacing w:after="80"/>
      </w:pPr>
      <w:r>
        <w:rPr>
          <w:rFonts w:ascii="Aptos" w:hAnsi="Aptos"/>
          <w:color w:val="A33A2B"/>
          <w:sz w:val="17"/>
        </w:rPr>
        <w:t>Research status: evidence-limited recommendation; interview saturation and buyer validation not achieved.</w:t>
      </w:r>
    </w:p>
    <w:p>
      <w:pPr>
        <w:spacing w:after="0"/>
      </w:pPr>
      <w:r>
        <w:br w:type="page"/>
      </w:r>
    </w:p>
    <w:p>
      <w:pPr>
        <w:spacing w:after="20"/>
      </w:pPr>
      <w:r>
        <w:rPr>
          <w:rFonts w:ascii="Aptos" w:hAnsi="Aptos"/>
          <w:b/>
          <w:color w:val="D99A2B"/>
          <w:sz w:val="15"/>
        </w:rPr>
        <w:t>OUTCOME</w:t>
      </w:r>
    </w:p>
    <w:p>
      <w:pPr>
        <w:pStyle w:val="Heading1"/>
      </w:pPr>
      <w:r>
        <w:t>01  Executive decision</w:t>
      </w:r>
    </w:p>
    <w:p>
      <w:pPr>
        <w:spacing w:after="140"/>
        <w:pBdr>
          <w:bottom w:val="single" w:sz="8" w:space="2" w:color="2D6A9F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10080"/>
      </w:tblGrid>
      <w:tr>
        <w:trPr>
          <w:cantSplit/>
        </w:trPr>
        <w:tc>
          <w:tcPr>
            <w:tcW w:type="dxa" w:w="5141"/>
            <w:shd w:fill="2D6A9F"/>
          </w:tcPr>
          <w:p/>
        </w:tc>
        <w:tc>
          <w:tcPr>
            <w:tcW w:type="dxa" w:w="5141"/>
            <w:shd w:fill="EAF2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2D6A9F"/>
                <w:sz w:val="16"/>
              </w:rPr>
              <w:t>RECOMMENDATION</w:t>
            </w:r>
          </w:p>
          <w:p>
            <w:pPr>
              <w:spacing w:after="0"/>
            </w:pPr>
            <w:r>
              <w:rPr>
                <w:rFonts w:ascii="Aptos" w:hAnsi="Aptos"/>
                <w:color w:val="17202A"/>
                <w:sz w:val="18"/>
              </w:rPr>
              <w:t>Target support-led B2B SaaS and technology-enabled services companies with an established helpdesk plus one operational system. This is the first sampling segment—not a validated ICP. Start with difficult cases where context and handoffs cross systems.</w:t>
            </w:r>
          </w:p>
        </w:tc>
      </w:tr>
    </w:tbl>
    <w:p>
      <w:pPr>
        <w:spacing w:after="0"/>
      </w:pPr>
    </w:p>
    <w:p>
      <w:pPr>
        <w:pStyle w:val="Heading2"/>
      </w:pPr>
      <w:r>
        <w:t>What the evidence says</w:t>
      </w:r>
    </w:p>
    <w:p>
      <w:pPr>
        <w:pStyle w:val="ListBullet"/>
        <w:spacing w:after="40"/>
        <w:ind w:left="317" w:hanging="173"/>
      </w:pPr>
      <w:r>
        <w:rPr>
          <w:rFonts w:ascii="Aptos" w:hAnsi="Aptos"/>
          <w:color w:val="17202A"/>
          <w:sz w:val="18"/>
        </w:rPr>
        <w:t>Support is a frequent, measurable workflow; vendor datasets span millions to billions of tickets and conversations [4].</w:t>
      </w:r>
    </w:p>
    <w:p>
      <w:pPr>
        <w:pStyle w:val="ListBullet"/>
        <w:spacing w:after="40"/>
        <w:ind w:left="317" w:hanging="173"/>
      </w:pPr>
      <w:r>
        <w:rPr>
          <w:rFonts w:ascii="Aptos" w:hAnsi="Aptos"/>
          <w:color w:val="17202A"/>
          <w:sz w:val="18"/>
        </w:rPr>
        <w:t>AI investment is rising, while mature deployment, data readiness and governance remain uneven [3][5][6].</w:t>
      </w:r>
    </w:p>
    <w:p>
      <w:pPr>
        <w:pStyle w:val="ListBullet"/>
        <w:spacing w:after="40"/>
        <w:ind w:left="317" w:hanging="173"/>
      </w:pPr>
      <w:r>
        <w:rPr>
          <w:rFonts w:ascii="Aptos" w:hAnsi="Aptos"/>
          <w:color w:val="17202A"/>
          <w:sz w:val="18"/>
        </w:rPr>
        <w:t>Two frontline cases showed manual cross-system context transfer during complex escalation; a banking case exposed audit and approval delay; an application stakeholder showed permission and write-back barriers.</w:t>
      </w:r>
    </w:p>
    <w:p>
      <w:pPr>
        <w:pStyle w:val="ListBullet"/>
        <w:spacing w:after="40"/>
        <w:ind w:left="317" w:hanging="173"/>
      </w:pPr>
      <w:r>
        <w:rPr>
          <w:rFonts w:ascii="Aptos" w:hAnsi="Aptos"/>
          <w:color w:val="17202A"/>
          <w:sz w:val="18"/>
        </w:rPr>
        <w:t>Intercom, Zendesk, Freshdesk and Salesforce already provide AI agents, assistance, integrations, actions and governance [7–10].</w:t>
      </w:r>
    </w:p>
    <w:p>
      <w:pPr>
        <w:pStyle w:val="Heading2"/>
      </w:pPr>
      <w:r>
        <w:t>What remains unknown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304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1800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Current answer</w:t>
            </w:r>
          </w:p>
        </w:tc>
        <w:tc>
          <w:tcPr>
            <w:tcW w:type="dxa" w:w="6120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Consequence</w:t>
            </w:r>
          </w:p>
        </w:tc>
      </w:tr>
      <w:tr>
        <w:trPr>
          <w:cantSplit/>
        </w:trPr>
        <w:tc>
          <w:tcPr>
            <w:tcW w:type="dxa" w:w="2304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Best first customer</w:t>
            </w:r>
          </w:p>
        </w:tc>
        <w:tc>
          <w:tcPr>
            <w:tcW w:type="dxa" w:w="180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Unproven</w:t>
            </w:r>
          </w:p>
        </w:tc>
        <w:tc>
          <w:tcPr>
            <w:tcW w:type="dxa" w:w="612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Treat 51–1,000 employee B2B technology/services as a sampling hypothesis</w:t>
            </w:r>
          </w:p>
        </w:tc>
      </w:tr>
      <w:tr>
        <w:trPr>
          <w:cantSplit/>
        </w:trPr>
        <w:tc>
          <w:tcPr>
            <w:tcW w:type="dxa" w:w="2304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First workflow</w:t>
            </w:r>
          </w:p>
        </w:tc>
        <w:tc>
          <w:tcPr>
            <w:tcW w:type="dxa" w:w="1800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Not validated</w:t>
            </w:r>
          </w:p>
        </w:tc>
        <w:tc>
          <w:tcPr>
            <w:tcW w:type="dxa" w:w="6120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Pilot a bounded context-and-handoff workflow; do not promise broad automation</w:t>
            </w:r>
          </w:p>
        </w:tc>
      </w:tr>
      <w:tr>
        <w:trPr>
          <w:cantSplit/>
        </w:trPr>
        <w:tc>
          <w:tcPr>
            <w:tcW w:type="dxa" w:w="2304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Economic buyer</w:t>
            </w:r>
          </w:p>
        </w:tc>
        <w:tc>
          <w:tcPr>
            <w:tcW w:type="dxa" w:w="180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Not interviewed</w:t>
            </w:r>
          </w:p>
        </w:tc>
        <w:tc>
          <w:tcPr>
            <w:tcW w:type="dxa" w:w="612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Head/VP Support or Customer Operations remains a hypothesis</w:t>
            </w:r>
          </w:p>
        </w:tc>
      </w:tr>
      <w:tr>
        <w:trPr>
          <w:cantSplit/>
        </w:trPr>
        <w:tc>
          <w:tcPr>
            <w:tcW w:type="dxa" w:w="2304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Separate-layer demand</w:t>
            </w:r>
          </w:p>
        </w:tc>
        <w:tc>
          <w:tcPr>
            <w:tcW w:type="dxa" w:w="1800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Unknown</w:t>
            </w:r>
          </w:p>
        </w:tc>
        <w:tc>
          <w:tcPr>
            <w:tcW w:type="dxa" w:w="6120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Compare explicitly with the incumbent’s native AI during discovery</w:t>
            </w:r>
          </w:p>
        </w:tc>
      </w:tr>
      <w:tr>
        <w:trPr>
          <w:cantSplit/>
        </w:trPr>
        <w:tc>
          <w:tcPr>
            <w:tcW w:type="dxa" w:w="2304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Willingness to pay</w:t>
            </w:r>
          </w:p>
        </w:tc>
        <w:tc>
          <w:tcPr>
            <w:tcW w:type="dxa" w:w="180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Unknown</w:t>
            </w:r>
          </w:p>
        </w:tc>
        <w:tc>
          <w:tcPr>
            <w:tcW w:type="dxa" w:w="612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Measure operational cost and budget threshold before setting price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10080"/>
      </w:tblGrid>
      <w:tr>
        <w:trPr>
          <w:cantSplit/>
        </w:trPr>
        <w:tc>
          <w:tcPr>
            <w:tcW w:type="dxa" w:w="5141"/>
            <w:shd w:fill="D99A2B"/>
          </w:tcPr>
          <w:p/>
        </w:tc>
        <w:tc>
          <w:tcPr>
            <w:tcW w:type="dxa" w:w="5141"/>
            <w:shd w:fill="FFF4D6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D99A2B"/>
                <w:sz w:val="16"/>
              </w:rPr>
              <w:t>DECISION RULE</w:t>
            </w:r>
          </w:p>
          <w:p>
            <w:pPr>
              <w:spacing w:after="0"/>
            </w:pPr>
            <w:r>
              <w:rPr>
                <w:rFonts w:ascii="Aptos" w:hAnsi="Aptos"/>
                <w:color w:val="17202A"/>
                <w:sz w:val="18"/>
              </w:rPr>
              <w:t>Proceed only if a controlled pilot reduces context-collection time without increasing reopens, incorrect actions, customer harm or audit gaps.</w:t>
            </w:r>
          </w:p>
        </w:tc>
      </w:tr>
    </w:tbl>
    <w:p>
      <w:pPr>
        <w:spacing w:after="0"/>
      </w:pPr>
    </w:p>
    <w:p>
      <w:pPr>
        <w:spacing w:after="0"/>
      </w:pPr>
      <w:r>
        <w:br w:type="page"/>
      </w:r>
    </w:p>
    <w:p>
      <w:pPr>
        <w:spacing w:after="20"/>
      </w:pPr>
      <w:r>
        <w:rPr>
          <w:rFonts w:ascii="Aptos" w:hAnsi="Aptos"/>
          <w:b/>
          <w:color w:val="D99A2B"/>
          <w:sz w:val="15"/>
        </w:rPr>
        <w:t>EVIDENCE</w:t>
      </w:r>
    </w:p>
    <w:p>
      <w:pPr>
        <w:pStyle w:val="Heading1"/>
      </w:pPr>
      <w:r>
        <w:t>02  Research method and traceability</w:t>
      </w:r>
    </w:p>
    <w:p>
      <w:pPr>
        <w:spacing w:after="140"/>
        <w:pBdr>
          <w:bottom w:val="single" w:sz="8" w:space="2" w:color="2D6A9F"/>
        </w:pBdr>
      </w:pPr>
    </w:p>
    <w:p>
      <w:pPr>
        <w:keepNext w:val="0"/>
        <w:spacing w:after="80"/>
      </w:pPr>
      <w:r>
        <w:rPr>
          <w:rFonts w:ascii="Aptos" w:hAnsi="Aptos"/>
        </w:rPr>
        <w:t>The research deliberately separates market evidence, product facts, public user signals and interview observations. One layer cannot substitute for another.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1584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2736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Coverage</w:t>
            </w:r>
          </w:p>
        </w:tc>
        <w:tc>
          <w:tcPr>
            <w:tcW w:type="dxa" w:w="3240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What it can answer</w:t>
            </w:r>
          </w:p>
        </w:tc>
        <w:tc>
          <w:tcPr>
            <w:tcW w:type="dxa" w:w="2664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Limitation</w:t>
            </w:r>
          </w:p>
        </w:tc>
      </w:tr>
      <w:tr>
        <w:trPr>
          <w:cantSplit/>
        </w:trPr>
        <w:tc>
          <w:tcPr>
            <w:tcW w:type="dxa" w:w="1584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Market / reports</w:t>
            </w:r>
          </w:p>
        </w:tc>
        <w:tc>
          <w:tcPr>
            <w:tcW w:type="dxa" w:w="2736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Independent, consulting and vendor studies</w:t>
            </w:r>
          </w:p>
        </w:tc>
        <w:tc>
          <w:tcPr>
            <w:tcW w:type="dxa" w:w="324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Category activity, adoption direction, operational scale</w:t>
            </w:r>
          </w:p>
        </w:tc>
        <w:tc>
          <w:tcPr>
            <w:tcW w:type="dxa" w:w="2664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Definitions vary; many studies are vendor-sponsored</w:t>
            </w:r>
          </w:p>
        </w:tc>
      </w:tr>
      <w:tr>
        <w:trPr>
          <w:cantSplit/>
        </w:trPr>
        <w:tc>
          <w:tcPr>
            <w:tcW w:type="dxa" w:w="1584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Product pages</w:t>
            </w:r>
          </w:p>
        </w:tc>
        <w:tc>
          <w:tcPr>
            <w:tcW w:type="dxa" w:w="2736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Pricing, features, integrations and governance for four incumbents</w:t>
            </w:r>
          </w:p>
        </w:tc>
        <w:tc>
          <w:tcPr>
            <w:tcW w:type="dxa" w:w="3240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What competitors publicly offer</w:t>
            </w:r>
          </w:p>
        </w:tc>
        <w:tc>
          <w:tcPr>
            <w:tcW w:type="dxa" w:w="2664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Claims do not prove customer outcomes</w:t>
            </w:r>
          </w:p>
        </w:tc>
      </w:tr>
      <w:tr>
        <w:trPr>
          <w:cantSplit/>
        </w:trPr>
        <w:tc>
          <w:tcPr>
            <w:tcW w:type="dxa" w:w="1584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Review platforms</w:t>
            </w:r>
          </w:p>
        </w:tc>
        <w:tc>
          <w:tcPr>
            <w:tcW w:type="dxa" w:w="2736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G2, TrustRadius and Capterra</w:t>
            </w:r>
          </w:p>
        </w:tc>
        <w:tc>
          <w:tcPr>
            <w:tcW w:type="dxa" w:w="324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Concrete usability, cost and integration themes</w:t>
            </w:r>
          </w:p>
        </w:tc>
        <w:tc>
          <w:tcPr>
            <w:tcW w:type="dxa" w:w="2664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Selection bias; context is incomplete</w:t>
            </w:r>
          </w:p>
        </w:tc>
      </w:tr>
      <w:tr>
        <w:trPr>
          <w:cantSplit/>
        </w:trPr>
        <w:tc>
          <w:tcPr>
            <w:tcW w:type="dxa" w:w="1584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Communities</w:t>
            </w:r>
          </w:p>
        </w:tc>
        <w:tc>
          <w:tcPr>
            <w:tcW w:type="dxa" w:w="2736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Reddit, Hacker News and product communities</w:t>
            </w:r>
          </w:p>
        </w:tc>
        <w:tc>
          <w:tcPr>
            <w:tcW w:type="dxa" w:w="3240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Workflow details and failure modes</w:t>
            </w:r>
          </w:p>
        </w:tc>
        <w:tc>
          <w:tcPr>
            <w:tcW w:type="dxa" w:w="2664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Anonymous; no prevalence inference</w:t>
            </w:r>
          </w:p>
        </w:tc>
      </w:tr>
      <w:tr>
        <w:trPr>
          <w:cantSplit/>
        </w:trPr>
        <w:tc>
          <w:tcPr>
            <w:tcW w:type="dxa" w:w="1584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Interviews</w:t>
            </w:r>
          </w:p>
        </w:tc>
        <w:tc>
          <w:tcPr>
            <w:tcW w:type="dxa" w:w="2736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4 anonymized recent-case interviews</w:t>
            </w:r>
          </w:p>
        </w:tc>
        <w:tc>
          <w:tcPr>
            <w:tcW w:type="dxa" w:w="324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Observed workflow, systems, delay, workaround and pilot controls</w:t>
            </w:r>
          </w:p>
        </w:tc>
        <w:tc>
          <w:tcPr>
            <w:tcW w:type="dxa" w:w="2664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2 mid-market + 2 enterprise; no manager or economic buyer</w:t>
            </w:r>
          </w:p>
        </w:tc>
      </w:tr>
    </w:tbl>
    <w:p>
      <w:pPr>
        <w:spacing w:after="0"/>
      </w:pPr>
    </w:p>
    <w:p>
      <w:pPr>
        <w:pStyle w:val="Heading2"/>
      </w:pPr>
      <w:r>
        <w:t>Traceability counts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1296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Count</w:t>
            </w:r>
          </w:p>
        </w:tc>
        <w:tc>
          <w:tcPr>
            <w:tcW w:type="dxa" w:w="8928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Meaning</w:t>
            </w:r>
          </w:p>
        </w:tc>
      </w:tr>
      <w:tr>
        <w:trPr>
          <w:cantSplit/>
        </w:trPr>
        <w:tc>
          <w:tcPr>
            <w:tcW w:type="dxa" w:w="1296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65</w:t>
            </w:r>
          </w:p>
        </w:tc>
        <w:tc>
          <w:tcPr>
            <w:tcW w:type="dxa" w:w="8928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Source register entries: 64 external sources plus the assignment brief</w:t>
            </w:r>
          </w:p>
        </w:tc>
      </w:tr>
      <w:tr>
        <w:trPr>
          <w:cantSplit/>
        </w:trPr>
        <w:tc>
          <w:tcPr>
            <w:tcW w:type="dxa" w:w="1296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56</w:t>
            </w:r>
          </w:p>
        </w:tc>
        <w:tc>
          <w:tcPr>
            <w:tcW w:type="dxa" w:w="8928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Unique source IDs referenced by the 91 evidence records</w:t>
            </w:r>
          </w:p>
        </w:tc>
      </w:tr>
      <w:tr>
        <w:trPr>
          <w:cantSplit/>
        </w:trPr>
        <w:tc>
          <w:tcPr>
            <w:tcW w:type="dxa" w:w="1296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9</w:t>
            </w:r>
          </w:p>
        </w:tc>
        <w:tc>
          <w:tcPr>
            <w:tcW w:type="dxa" w:w="8928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Registered sources not linked to an evidence row</w:t>
            </w:r>
          </w:p>
        </w:tc>
      </w:tr>
      <w:tr>
        <w:trPr>
          <w:cantSplit/>
        </w:trPr>
        <w:tc>
          <w:tcPr>
            <w:tcW w:type="dxa" w:w="1296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91</w:t>
            </w:r>
          </w:p>
        </w:tc>
        <w:tc>
          <w:tcPr>
            <w:tcW w:type="dxa" w:w="8928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Claim-level public evidence records with source URL, confidence and limitation</w:t>
            </w:r>
          </w:p>
        </w:tc>
      </w:tr>
      <w:tr>
        <w:trPr>
          <w:cantSplit/>
        </w:trPr>
        <w:tc>
          <w:tcPr>
            <w:tcW w:type="dxa" w:w="1296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4</w:t>
            </w:r>
          </w:p>
        </w:tc>
        <w:tc>
          <w:tcPr>
            <w:tcW w:type="dxa" w:w="8928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Interview records maintained separately from public evidence</w:t>
            </w:r>
          </w:p>
        </w:tc>
      </w:tr>
    </w:tbl>
    <w:p>
      <w:pPr>
        <w:spacing w:after="0"/>
      </w:pPr>
    </w:p>
    <w:p>
      <w:pPr>
        <w:pStyle w:val="Heading2"/>
      </w:pPr>
      <w:r>
        <w:t>Policy-document coverage</w:t>
      </w:r>
    </w:p>
    <w:p>
      <w:pPr>
        <w:keepNext w:val="0"/>
        <w:spacing w:after="80"/>
      </w:pPr>
      <w:r>
        <w:rPr>
          <w:rFonts w:ascii="Aptos" w:hAnsi="Aptos"/>
        </w:rPr>
        <w:t>The brief lists policy documents as an example of real sources, not as a mandatory category. This strategy makes no legal or regulatory compliance claim, so no government policy is used as proof. Product governance documentation is included. If banking becomes the ICP, a jurisdiction-specific policy review must precede product requirements and pilot approval.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10080"/>
      </w:tblGrid>
      <w:tr>
        <w:trPr>
          <w:cantSplit/>
        </w:trPr>
        <w:tc>
          <w:tcPr>
            <w:tcW w:type="dxa" w:w="5141"/>
            <w:shd w:fill="2E7D5B"/>
          </w:tcPr>
          <w:p/>
        </w:tc>
        <w:tc>
          <w:tcPr>
            <w:tcW w:type="dxa" w:w="5141"/>
            <w:shd w:fill="EAF6F0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2E7D5B"/>
                <w:sz w:val="16"/>
              </w:rPr>
              <w:t>INTEGRITY RULE</w:t>
            </w:r>
          </w:p>
          <w:p>
            <w:pPr>
              <w:spacing w:after="0"/>
            </w:pPr>
            <w:r>
              <w:rPr>
                <w:rFonts w:ascii="Aptos" w:hAnsi="Aptos"/>
                <w:color w:val="17202A"/>
                <w:sz w:val="18"/>
              </w:rPr>
              <w:t>No review post is treated as an interview; no vendor statistic is treated as universal market fact; no paraphrased interview note is presented as a verbatim quote.</w:t>
            </w:r>
          </w:p>
        </w:tc>
      </w:tr>
    </w:tbl>
    <w:p>
      <w:pPr>
        <w:spacing w:after="0"/>
      </w:pPr>
    </w:p>
    <w:p>
      <w:pPr>
        <w:spacing w:after="0"/>
      </w:pPr>
      <w:r>
        <w:br w:type="page"/>
      </w:r>
    </w:p>
    <w:p>
      <w:pPr>
        <w:spacing w:after="20"/>
      </w:pPr>
      <w:r>
        <w:rPr>
          <w:rFonts w:ascii="Aptos" w:hAnsi="Aptos"/>
          <w:b/>
          <w:color w:val="D99A2B"/>
          <w:sz w:val="15"/>
        </w:rPr>
        <w:t>PROBLEM FIRST</w:t>
      </w:r>
    </w:p>
    <w:p>
      <w:pPr>
        <w:pStyle w:val="Heading1"/>
      </w:pPr>
      <w:r>
        <w:t>03  Customer, user and core problem</w:t>
      </w:r>
    </w:p>
    <w:p>
      <w:pPr>
        <w:spacing w:after="140"/>
        <w:pBdr>
          <w:bottom w:val="single" w:sz="8" w:space="2" w:color="2D6A9F"/>
        </w:pBdr>
      </w:pPr>
    </w:p>
    <w:p>
      <w:pPr>
        <w:pStyle w:val="Heading2"/>
      </w:pPr>
      <w:r>
        <w:t>Working customer segment</w:t>
      </w:r>
    </w:p>
    <w:p>
      <w:pPr>
        <w:keepNext w:val="0"/>
        <w:spacing w:after="80"/>
      </w:pPr>
      <w:r>
        <w:rPr>
          <w:rFonts w:ascii="Aptos" w:hAnsi="Aptos"/>
        </w:rPr>
        <w:t>Support-led B2B SaaS and technology-enabled services companies with approximately 51–1,000 employees, an established helpdesk and CRM or system of record, growing request volume, and limited support-operations capacity.</w:t>
      </w:r>
    </w:p>
    <w:p>
      <w:pPr>
        <w:keepNext w:val="0"/>
        <w:spacing w:after="80"/>
      </w:pPr>
      <w:r>
        <w:rPr>
          <w:rFonts w:ascii="Aptos" w:hAnsi="Aptos"/>
          <w:color w:val="5B6573"/>
        </w:rPr>
        <w:t>Why this segment: it may have enough workflow complexity to feel cross-system pain, but less capacity than an enterprise to build and operate custom AI. Two mid-market interviews partially support the sampling segment, but do not validate an ICP.</w:t>
      </w:r>
    </w:p>
    <w:p>
      <w:pPr>
        <w:pStyle w:val="Heading2"/>
      </w:pPr>
      <w:r>
        <w:t>Primary user persona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232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Persona</w:t>
            </w:r>
          </w:p>
        </w:tc>
        <w:tc>
          <w:tcPr>
            <w:tcW w:type="dxa" w:w="2664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Situation</w:t>
            </w:r>
          </w:p>
        </w:tc>
        <w:tc>
          <w:tcPr>
            <w:tcW w:type="dxa" w:w="2520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Goal</w:t>
            </w:r>
          </w:p>
        </w:tc>
        <w:tc>
          <w:tcPr>
            <w:tcW w:type="dxa" w:w="2808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Current friction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Frontline support / operations practitioner handling difficult cases</w:t>
            </w:r>
          </w:p>
        </w:tc>
        <w:tc>
          <w:tcPr>
            <w:tcW w:type="dxa" w:w="2664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Owns L1.5, escalation or exception work across several systems</w:t>
            </w:r>
          </w:p>
        </w:tc>
        <w:tc>
          <w:tcPr>
            <w:tcW w:type="dxa" w:w="252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Give a correct update and move the case to resolution</w:t>
            </w:r>
          </w:p>
        </w:tc>
        <w:tc>
          <w:tcPr>
            <w:tcW w:type="dxa" w:w="2808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Searches, copies, waits and reconstructs history; handoff context is not durable</w:t>
            </w:r>
          </w:p>
        </w:tc>
      </w:tr>
    </w:tbl>
    <w:p>
      <w:pPr>
        <w:spacing w:after="0"/>
      </w:pPr>
    </w:p>
    <w:p>
      <w:pPr>
        <w:pStyle w:val="Heading2"/>
      </w:pPr>
      <w:r>
        <w:t>How the problem statement was derived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3312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Observed evidence</w:t>
            </w:r>
          </w:p>
        </w:tc>
        <w:tc>
          <w:tcPr>
            <w:tcW w:type="dxa" w:w="3672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Pattern</w:t>
            </w:r>
          </w:p>
        </w:tc>
        <w:tc>
          <w:tcPr>
            <w:tcW w:type="dxa" w:w="3240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Safe conclusion</w:t>
            </w:r>
          </w:p>
        </w:tc>
      </w:tr>
      <w:tr>
        <w:trPr>
          <w:cantSplit/>
        </w:trPr>
        <w:tc>
          <w:tcPr>
            <w:tcW w:type="dxa" w:w="3312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P01 + P04: complex frontline escalations</w:t>
            </w:r>
          </w:p>
        </w:tc>
        <w:tc>
          <w:tcPr>
            <w:tcW w:type="dxa" w:w="3672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Context is reconstructed across helpdesk, CRM, communication and engineering systems</w:t>
            </w:r>
          </w:p>
        </w:tc>
        <w:tc>
          <w:tcPr>
            <w:tcW w:type="dxa" w:w="324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Context retrieval and durable handoff lead the workflow hypothesis (2 of 4)</w:t>
            </w:r>
          </w:p>
        </w:tc>
      </w:tr>
      <w:tr>
        <w:trPr>
          <w:cantSplit/>
        </w:trPr>
        <w:tc>
          <w:tcPr>
            <w:tcW w:type="dxa" w:w="3312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P02: regulated banking complaints</w:t>
            </w:r>
          </w:p>
        </w:tc>
        <w:tc>
          <w:tcPr>
            <w:tcW w:type="dxa" w:w="3672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15 minutes duplicate logging; 4–6 hour approval wait; audit evidence split across systems</w:t>
            </w:r>
          </w:p>
        </w:tc>
        <w:tc>
          <w:tcPr>
            <w:tcW w:type="dxa" w:w="3240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Audit-safe coordination and approval visibility matter in this case</w:t>
            </w:r>
          </w:p>
        </w:tc>
      </w:tr>
      <w:tr>
        <w:trPr>
          <w:cantSplit/>
        </w:trPr>
        <w:tc>
          <w:tcPr>
            <w:tcW w:type="dxa" w:w="3312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P03: application-approval stakeholder</w:t>
            </w:r>
          </w:p>
        </w:tc>
        <w:tc>
          <w:tcPr>
            <w:tcW w:type="dxa" w:w="3672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Pilot limited to two queues; write-back disabled; least-privilege review</w:t>
            </w:r>
          </w:p>
        </w:tc>
        <w:tc>
          <w:tcPr>
            <w:tcW w:type="dxa" w:w="324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A narrow, read-only, reversible pilot is more credible than broad access</w:t>
            </w:r>
          </w:p>
        </w:tc>
      </w:tr>
      <w:tr>
        <w:trPr>
          <w:cantSplit/>
        </w:trPr>
        <w:tc>
          <w:tcPr>
            <w:tcW w:type="dxa" w:w="3312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Public reviews and communities</w:t>
            </w:r>
          </w:p>
        </w:tc>
        <w:tc>
          <w:tcPr>
            <w:tcW w:type="dxa" w:w="3672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Integration maintenance, stale data, handoff and pricing complaints recur</w:t>
            </w:r>
          </w:p>
        </w:tc>
        <w:tc>
          <w:tcPr>
            <w:tcW w:type="dxa" w:w="3240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Directionally corroborated; prevalence in the target segment is not quantified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10080"/>
      </w:tblGrid>
      <w:tr>
        <w:trPr>
          <w:cantSplit/>
        </w:trPr>
        <w:tc>
          <w:tcPr>
            <w:tcW w:type="dxa" w:w="5141"/>
            <w:shd w:fill="2D6A9F"/>
          </w:tcPr>
          <w:p/>
        </w:tc>
        <w:tc>
          <w:tcPr>
            <w:tcW w:type="dxa" w:w="5141"/>
            <w:shd w:fill="EAF2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2D6A9F"/>
                <w:sz w:val="16"/>
              </w:rPr>
              <w:t>PROBLEM STATEMENT</w:t>
            </w:r>
          </w:p>
          <w:p>
            <w:pPr>
              <w:spacing w:after="0"/>
            </w:pPr>
            <w:r>
              <w:rPr>
                <w:rFonts w:ascii="Aptos" w:hAnsi="Aptos"/>
                <w:color w:val="17202A"/>
                <w:sz w:val="18"/>
              </w:rPr>
              <w:t>Across four interviews, two frontline cases showed manual context transfer during complex escalation; a banking case showed duplicate audit work and approval delay; and an application stakeholder showed permission and write-back barriers. The evidence supports a leading assist-first context-and-handoff hypothesis, not market prevalence.</w:t>
            </w:r>
          </w:p>
        </w:tc>
      </w:tr>
    </w:tbl>
    <w:p>
      <w:pPr>
        <w:spacing w:after="0"/>
      </w:pPr>
    </w:p>
    <w:p>
      <w:pPr>
        <w:spacing w:after="0"/>
      </w:pPr>
      <w:r>
        <w:br w:type="page"/>
      </w:r>
    </w:p>
    <w:p>
      <w:pPr>
        <w:spacing w:after="20"/>
      </w:pPr>
      <w:r>
        <w:rPr>
          <w:rFonts w:ascii="Aptos" w:hAnsi="Aptos"/>
          <w:b/>
          <w:color w:val="D99A2B"/>
          <w:sz w:val="15"/>
        </w:rPr>
        <w:t>CUSTOMER EVIDENCE</w:t>
      </w:r>
    </w:p>
    <w:p>
      <w:pPr>
        <w:pStyle w:val="Heading1"/>
      </w:pPr>
      <w:r>
        <w:t>04  Primary research: four perspectives</w:t>
      </w:r>
    </w:p>
    <w:p>
      <w:pPr>
        <w:spacing w:after="140"/>
        <w:pBdr>
          <w:bottom w:val="single" w:sz="8" w:space="2" w:color="2D6A9F"/>
        </w:pBdr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1008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Participant</w:t>
            </w:r>
          </w:p>
        </w:tc>
        <w:tc>
          <w:tcPr>
            <w:tcW w:type="dxa" w:w="2520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Segment and role</w:t>
            </w:r>
          </w:p>
        </w:tc>
        <w:tc>
          <w:tcPr>
            <w:tcW w:type="dxa" w:w="4104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Direct evidence</w:t>
            </w:r>
          </w:p>
        </w:tc>
        <w:tc>
          <w:tcPr>
            <w:tcW w:type="dxa" w:w="2664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Strategic use</w:t>
            </w:r>
          </w:p>
        </w:tc>
      </w:tr>
      <w:tr>
        <w:trPr>
          <w:cantSplit/>
        </w:trPr>
        <w:tc>
          <w:tcPr>
            <w:tcW w:type="dxa" w:w="1008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P01</w:t>
            </w:r>
          </w:p>
        </w:tc>
        <w:tc>
          <w:tcPr>
            <w:tcW w:type="dxa" w:w="252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Enterprise outsourced B2B support; frontline</w:t>
            </w:r>
          </w:p>
        </w:tc>
        <w:tc>
          <w:tcPr>
            <w:tcW w:type="dxa" w:w="4104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5–6 difficult cases/day; 20–25 min context work per case; Teams answer not durable</w:t>
            </w:r>
          </w:p>
        </w:tc>
        <w:tc>
          <w:tcPr>
            <w:tcW w:type="dxa" w:w="2664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Quantified context and handoff cost</w:t>
            </w:r>
          </w:p>
        </w:tc>
      </w:tr>
      <w:tr>
        <w:trPr>
          <w:cantSplit/>
        </w:trPr>
        <w:tc>
          <w:tcPr>
            <w:tcW w:type="dxa" w:w="1008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P02</w:t>
            </w:r>
          </w:p>
        </w:tc>
        <w:tc>
          <w:tcPr>
            <w:tcW w:type="dxa" w:w="2520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Enterprise banking complaints; frontline</w:t>
            </w:r>
          </w:p>
        </w:tc>
        <w:tc>
          <w:tcPr>
            <w:tcW w:type="dxa" w:w="4104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15 min duplicate logging; 4–6 hour formal approval wait; manual audit attachment</w:t>
            </w:r>
          </w:p>
        </w:tc>
        <w:tc>
          <w:tcPr>
            <w:tcW w:type="dxa" w:w="2664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Audit, approval and read-only constraints</w:t>
            </w:r>
          </w:p>
        </w:tc>
      </w:tr>
      <w:tr>
        <w:trPr>
          <w:cantSplit/>
        </w:trPr>
        <w:tc>
          <w:tcPr>
            <w:tcW w:type="dxa" w:w="1008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P03</w:t>
            </w:r>
          </w:p>
        </w:tc>
        <w:tc>
          <w:tcPr>
            <w:tcW w:type="dxa" w:w="252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Mid-market (~400); application approval</w:t>
            </w:r>
          </w:p>
        </w:tc>
        <w:tc>
          <w:tcPr>
            <w:tcW w:type="dxa" w:w="4104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One-month pilot, two queues, write-back disabled; permissions and retention reviewed</w:t>
            </w:r>
          </w:p>
        </w:tc>
        <w:tc>
          <w:tcPr>
            <w:tcW w:type="dxa" w:w="2664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Least-privilege, reversible pilot design</w:t>
            </w:r>
          </w:p>
        </w:tc>
      </w:tr>
      <w:tr>
        <w:trPr>
          <w:cantSplit/>
        </w:trPr>
        <w:tc>
          <w:tcPr>
            <w:tcW w:type="dxa" w:w="1008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P04</w:t>
            </w:r>
          </w:p>
        </w:tc>
        <w:tc>
          <w:tcPr>
            <w:tcW w:type="dxa" w:w="2520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Mid-market B2B SaaS/services; frontline</w:t>
            </w:r>
          </w:p>
        </w:tc>
        <w:tc>
          <w:tcPr>
            <w:tcW w:type="dxa" w:w="4104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Manual Zendesk-to-Jira summary; repeated status work; warns against a duplicate system</w:t>
            </w:r>
          </w:p>
        </w:tc>
        <w:tc>
          <w:tcPr>
            <w:tcW w:type="dxa" w:w="2664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Second context/handoff case plus counter-evidence</w:t>
            </w:r>
          </w:p>
        </w:tc>
      </w:tr>
    </w:tbl>
    <w:p>
      <w:pPr>
        <w:spacing w:after="0"/>
      </w:pPr>
    </w:p>
    <w:p>
      <w:pPr>
        <w:pStyle w:val="Heading2"/>
      </w:pPr>
      <w:r>
        <w:t>Calculated, not directly measured</w:t>
      </w:r>
    </w:p>
    <w:p>
      <w:pPr>
        <w:keepNext w:val="0"/>
        <w:spacing w:after="80"/>
      </w:pPr>
      <w:r>
        <w:rPr>
          <w:rFonts w:ascii="Aptos" w:hAnsi="Aptos"/>
        </w:rPr>
        <w:t>P01’s 5–6 difficult cases × 20–25 minutes implies approximately 100–150 minutes of context work on a typical day. This is a calculation from recalled interview inputs, not a time-and-motion measurement.</w:t>
      </w:r>
    </w:p>
    <w:p>
      <w:pPr>
        <w:pStyle w:val="Heading2"/>
      </w:pPr>
      <w:r>
        <w:t>Diversity audit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872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4608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Coverage</w:t>
            </w:r>
          </w:p>
        </w:tc>
        <w:tc>
          <w:tcPr>
            <w:tcW w:type="dxa" w:w="3816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Assessment</w:t>
            </w:r>
          </w:p>
        </w:tc>
      </w:tr>
      <w:tr>
        <w:trPr>
          <w:cantSplit/>
        </w:trPr>
        <w:tc>
          <w:tcPr>
            <w:tcW w:type="dxa" w:w="1872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Industry</w:t>
            </w:r>
          </w:p>
        </w:tc>
        <w:tc>
          <w:tcPr>
            <w:tcW w:type="dxa" w:w="4608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Outsourced B2B support, banking, B2B SaaS / tech-enabled services</w:t>
            </w:r>
          </w:p>
        </w:tc>
        <w:tc>
          <w:tcPr>
            <w:tcW w:type="dxa" w:w="3816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Improved, still a small sample</w:t>
            </w:r>
          </w:p>
        </w:tc>
      </w:tr>
      <w:tr>
        <w:trPr>
          <w:cantSplit/>
        </w:trPr>
        <w:tc>
          <w:tcPr>
            <w:tcW w:type="dxa" w:w="1872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Company size</w:t>
            </w:r>
          </w:p>
        </w:tc>
        <w:tc>
          <w:tcPr>
            <w:tcW w:type="dxa" w:w="4608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2 enterprise + 2 mid-market</w:t>
            </w:r>
          </w:p>
        </w:tc>
        <w:tc>
          <w:tcPr>
            <w:tcW w:type="dxa" w:w="3816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Size diversity achieved directionally</w:t>
            </w:r>
          </w:p>
        </w:tc>
      </w:tr>
      <w:tr>
        <w:trPr>
          <w:cantSplit/>
        </w:trPr>
        <w:tc>
          <w:tcPr>
            <w:tcW w:type="dxa" w:w="1872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Support maturity</w:t>
            </w:r>
          </w:p>
        </w:tc>
        <w:tc>
          <w:tcPr>
            <w:tcW w:type="dxa" w:w="4608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All use established multi-system processes</w:t>
            </w:r>
          </w:p>
        </w:tc>
        <w:tc>
          <w:tcPr>
            <w:tcW w:type="dxa" w:w="3816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Lower-maturity teams missing</w:t>
            </w:r>
          </w:p>
        </w:tc>
      </w:tr>
      <w:tr>
        <w:trPr>
          <w:cantSplit/>
        </w:trPr>
        <w:tc>
          <w:tcPr>
            <w:tcW w:type="dxa" w:w="1872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Role</w:t>
            </w:r>
          </w:p>
        </w:tc>
        <w:tc>
          <w:tcPr>
            <w:tcW w:type="dxa" w:w="4608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3 frontline + 1 application-approval stakeholder</w:t>
            </w:r>
          </w:p>
        </w:tc>
        <w:tc>
          <w:tcPr>
            <w:tcW w:type="dxa" w:w="3816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No support manager or economic buyer</w:t>
            </w:r>
          </w:p>
        </w:tc>
      </w:tr>
      <w:tr>
        <w:trPr>
          <w:cantSplit/>
        </w:trPr>
        <w:tc>
          <w:tcPr>
            <w:tcW w:type="dxa" w:w="1872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Buying / pilot</w:t>
            </w:r>
          </w:p>
        </w:tc>
        <w:tc>
          <w:tcPr>
            <w:tcW w:type="dxa" w:w="4608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One past pilot process; no commitment to this product</w:t>
            </w:r>
          </w:p>
        </w:tc>
        <w:tc>
          <w:tcPr>
            <w:tcW w:type="dxa" w:w="3816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No willingness-to-pay or purchase-intent evidence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10080"/>
      </w:tblGrid>
      <w:tr>
        <w:trPr>
          <w:cantSplit/>
        </w:trPr>
        <w:tc>
          <w:tcPr>
            <w:tcW w:type="dxa" w:w="5141"/>
            <w:shd w:fill="A33A2B"/>
          </w:tcPr>
          <w:p/>
        </w:tc>
        <w:tc>
          <w:tcPr>
            <w:tcW w:type="dxa" w:w="5141"/>
            <w:shd w:fill="FCEDE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A33A2B"/>
                <w:sz w:val="16"/>
              </w:rPr>
              <w:t>LIMITATION</w:t>
            </w:r>
          </w:p>
          <w:p>
            <w:pPr>
              <w:spacing w:after="0"/>
            </w:pPr>
            <w:r>
              <w:rPr>
                <w:rFonts w:ascii="Aptos" w:hAnsi="Aptos"/>
                <w:color w:val="17202A"/>
                <w:sz w:val="18"/>
              </w:rPr>
              <w:t>The sample is 4 of the requested 8–12. It spans company size, industry and two role types, but lacks support managers, economic buyers and lower-maturity teams. Segment, buyer and adoption conclusions therefore remain hypotheses.</w:t>
            </w:r>
          </w:p>
        </w:tc>
      </w:tr>
    </w:tbl>
    <w:p>
      <w:pPr>
        <w:spacing w:after="0"/>
      </w:pPr>
    </w:p>
    <w:p>
      <w:pPr>
        <w:spacing w:after="0"/>
      </w:pPr>
      <w:r>
        <w:br w:type="page"/>
      </w:r>
    </w:p>
    <w:p>
      <w:pPr>
        <w:spacing w:after="20"/>
      </w:pPr>
      <w:r>
        <w:rPr>
          <w:rFonts w:ascii="Aptos" w:hAnsi="Aptos"/>
          <w:b/>
          <w:color w:val="D99A2B"/>
          <w:sz w:val="15"/>
        </w:rPr>
        <w:t>WHY NOW</w:t>
      </w:r>
    </w:p>
    <w:p>
      <w:pPr>
        <w:pStyle w:val="Heading1"/>
      </w:pPr>
      <w:r>
        <w:t>05  Market opportunity</w:t>
      </w:r>
    </w:p>
    <w:p>
      <w:pPr>
        <w:spacing w:after="140"/>
        <w:pBdr>
          <w:bottom w:val="single" w:sz="8" w:space="2" w:color="2D6A9F"/>
        </w:pBdr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872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Signal</w:t>
            </w:r>
          </w:p>
        </w:tc>
        <w:tc>
          <w:tcPr>
            <w:tcW w:type="dxa" w:w="4680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3744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Interpretation</w:t>
            </w:r>
          </w:p>
        </w:tc>
      </w:tr>
      <w:tr>
        <w:trPr>
          <w:cantSplit/>
        </w:trPr>
        <w:tc>
          <w:tcPr>
            <w:tcW w:type="dxa" w:w="1872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Large adjacent category</w:t>
            </w:r>
          </w:p>
        </w:tc>
        <w:tc>
          <w:tcPr>
            <w:tcW w:type="dxa" w:w="468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2025 estimates: contact-center software USD 47.71B–63.88B; help-desk software USD 14.3B [1][2]</w:t>
            </w:r>
          </w:p>
        </w:tc>
        <w:tc>
          <w:tcPr>
            <w:tcW w:type="dxa" w:w="3744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Category is material, but definitions cannot be combined into one precise TAM</w:t>
            </w:r>
          </w:p>
        </w:tc>
      </w:tr>
      <w:tr>
        <w:trPr>
          <w:cantSplit/>
        </w:trPr>
        <w:tc>
          <w:tcPr>
            <w:tcW w:type="dxa" w:w="1872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High workflow frequency</w:t>
            </w:r>
          </w:p>
        </w:tc>
        <w:tc>
          <w:tcPr>
            <w:tcW w:type="dxa" w:w="4680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Freshworks datasets span 19M tickets / 37M conversations and later 1.2B tickets / 138M conversations [4]</w:t>
            </w:r>
          </w:p>
        </w:tc>
        <w:tc>
          <w:tcPr>
            <w:tcW w:type="dxa" w:w="3744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A pilot can observe repeated outcomes within weeks</w:t>
            </w:r>
          </w:p>
        </w:tc>
      </w:tr>
      <w:tr>
        <w:trPr>
          <w:cantSplit/>
        </w:trPr>
        <w:tc>
          <w:tcPr>
            <w:tcW w:type="dxa" w:w="1872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Adoption–maturity gap</w:t>
            </w:r>
          </w:p>
        </w:tc>
        <w:tc>
          <w:tcPr>
            <w:tcW w:type="dxa" w:w="468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Intercom: 82% of senior leaders invested in AI; 10% reported mature deployment [3]</w:t>
            </w:r>
          </w:p>
        </w:tc>
        <w:tc>
          <w:tcPr>
            <w:tcW w:type="dxa" w:w="3744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Operational reliability may matter more than basic AI access</w:t>
            </w:r>
          </w:p>
        </w:tc>
      </w:tr>
      <w:tr>
        <w:trPr>
          <w:cantSplit/>
        </w:trPr>
        <w:tc>
          <w:tcPr>
            <w:tcW w:type="dxa" w:w="1872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Assist-first timing</w:t>
            </w:r>
          </w:p>
        </w:tc>
        <w:tc>
          <w:tcPr>
            <w:tcW w:type="dxa" w:w="4680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Gartner forecast 73% implementation of agent assist by end-2025; autonomous agents ranked below established priorities [5]</w:t>
            </w:r>
          </w:p>
        </w:tc>
        <w:tc>
          <w:tcPr>
            <w:tcW w:type="dxa" w:w="3744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Assist or shadow mode is a lower-risk landing motion</w:t>
            </w:r>
          </w:p>
        </w:tc>
      </w:tr>
      <w:tr>
        <w:trPr>
          <w:cantSplit/>
        </w:trPr>
        <w:tc>
          <w:tcPr>
            <w:tcW w:type="dxa" w:w="1872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Security / readiness</w:t>
            </w:r>
          </w:p>
        </w:tc>
        <w:tc>
          <w:tcPr>
            <w:tcW w:type="dxa" w:w="468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Salesforce: 51% said security delayed or limited AI initiatives [6]</w:t>
            </w:r>
          </w:p>
        </w:tc>
        <w:tc>
          <w:tcPr>
            <w:tcW w:type="dxa" w:w="3744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Permissions, audit and data boundaries are adoption requirements</w:t>
            </w:r>
          </w:p>
        </w:tc>
      </w:tr>
    </w:tbl>
    <w:p>
      <w:pPr>
        <w:spacing w:after="0"/>
      </w:pPr>
    </w:p>
    <w:p>
      <w:pPr>
        <w:pStyle w:val="Heading2"/>
      </w:pPr>
      <w:r>
        <w:t>Bottom-up serviceable-market model</w:t>
      </w:r>
    </w:p>
    <w:p>
      <w:pPr>
        <w:keepNext w:val="0"/>
        <w:spacing w:after="80"/>
      </w:pPr>
      <w:r>
        <w:rPr>
          <w:rFonts w:ascii="Aptos" w:hAnsi="Aptos"/>
        </w:rPr>
        <w:t>A defensible SOM cannot be calculated from the current evidence. Before using a revenue number, collect:</w:t>
      </w:r>
    </w:p>
    <w:p>
      <w:pPr>
        <w:pStyle w:val="ListBullet"/>
        <w:spacing w:after="40"/>
        <w:ind w:left="317" w:hanging="173"/>
      </w:pPr>
      <w:r>
        <w:rPr>
          <w:rFonts w:ascii="Aptos" w:hAnsi="Aptos"/>
          <w:color w:val="17202A"/>
          <w:sz w:val="17"/>
        </w:rPr>
        <w:t>target companies by region and size with a supported helpdesk + CRM stack;</w:t>
      </w:r>
    </w:p>
    <w:p>
      <w:pPr>
        <w:pStyle w:val="ListBullet"/>
        <w:spacing w:after="40"/>
        <w:ind w:left="317" w:hanging="173"/>
      </w:pPr>
      <w:r>
        <w:rPr>
          <w:rFonts w:ascii="Aptos" w:hAnsi="Aptos"/>
          <w:color w:val="17202A"/>
          <w:sz w:val="17"/>
        </w:rPr>
        <w:t>monthly difficult-case volume and percentage requiring cross-system work;</w:t>
      </w:r>
    </w:p>
    <w:p>
      <w:pPr>
        <w:pStyle w:val="ListBullet"/>
        <w:spacing w:after="40"/>
        <w:ind w:left="317" w:hanging="173"/>
      </w:pPr>
      <w:r>
        <w:rPr>
          <w:rFonts w:ascii="Aptos" w:hAnsi="Aptos"/>
          <w:color w:val="17202A"/>
          <w:sz w:val="17"/>
        </w:rPr>
        <w:t>annual contract value or verified-resolution price customers will accept;</w:t>
      </w:r>
    </w:p>
    <w:p>
      <w:pPr>
        <w:pStyle w:val="ListBullet"/>
        <w:spacing w:after="40"/>
        <w:ind w:left="317" w:hanging="173"/>
      </w:pPr>
      <w:r>
        <w:rPr>
          <w:rFonts w:ascii="Aptos" w:hAnsi="Aptos"/>
          <w:color w:val="17202A"/>
          <w:sz w:val="17"/>
        </w:rPr>
        <w:t>deployment capacity, connector reuse and realistic adoption rate.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10080"/>
      </w:tblGrid>
      <w:tr>
        <w:trPr>
          <w:cantSplit/>
        </w:trPr>
        <w:tc>
          <w:tcPr>
            <w:tcW w:type="dxa" w:w="5141"/>
            <w:shd w:fill="D99A2B"/>
          </w:tcPr>
          <w:p/>
        </w:tc>
        <w:tc>
          <w:tcPr>
            <w:tcW w:type="dxa" w:w="5141"/>
            <w:shd w:fill="FFF4D6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D99A2B"/>
                <w:sz w:val="16"/>
              </w:rPr>
              <w:t>WILLINGNESS-TO-PAY LOGIC</w:t>
            </w:r>
          </w:p>
          <w:p>
            <w:pPr>
              <w:spacing w:after="0"/>
            </w:pPr>
            <w:r>
              <w:rPr>
                <w:rFonts w:ascii="Aptos" w:hAnsi="Aptos"/>
                <w:color w:val="17202A"/>
                <w:sz w:val="18"/>
              </w:rPr>
              <w:t>Customers may pay if the product removes measurable coordination work, improves SLA and avoids reopens at a predictable total cost. The four interviews did not establish an economic buyer, budget threshold or purchase intent.</w:t>
            </w:r>
          </w:p>
        </w:tc>
      </w:tr>
    </w:tbl>
    <w:p>
      <w:pPr>
        <w:spacing w:after="0"/>
      </w:pPr>
    </w:p>
    <w:p>
      <w:pPr>
        <w:spacing w:after="0"/>
      </w:pPr>
      <w:r>
        <w:br w:type="page"/>
      </w:r>
    </w:p>
    <w:p>
      <w:pPr>
        <w:spacing w:after="20"/>
      </w:pPr>
      <w:r>
        <w:rPr>
          <w:rFonts w:ascii="Aptos" w:hAnsi="Aptos"/>
          <w:b/>
          <w:color w:val="D99A2B"/>
          <w:sz w:val="15"/>
        </w:rPr>
        <w:t>INCUMBENTS</w:t>
      </w:r>
    </w:p>
    <w:p>
      <w:pPr>
        <w:pStyle w:val="Heading1"/>
      </w:pPr>
      <w:r>
        <w:t>06  Competitive position</w:t>
      </w:r>
    </w:p>
    <w:p>
      <w:pPr>
        <w:spacing w:after="140"/>
        <w:pBdr>
          <w:bottom w:val="single" w:sz="8" w:space="2" w:color="2D6A9F"/>
        </w:pBdr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232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Product</w:t>
            </w:r>
          </w:p>
        </w:tc>
        <w:tc>
          <w:tcPr>
            <w:tcW w:type="dxa" w:w="4680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Already offers</w:t>
            </w:r>
          </w:p>
        </w:tc>
        <w:tc>
          <w:tcPr>
            <w:tcW w:type="dxa" w:w="3384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Implication for this strategy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Intercom / Fin</w:t>
            </w:r>
          </w:p>
        </w:tc>
        <w:tc>
          <w:tcPr>
            <w:tcW w:type="dxa" w:w="468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AI agent, Procedures, external actions, simulation, human handoff, outcome pricing [7]</w:t>
            </w:r>
          </w:p>
        </w:tc>
        <w:tc>
          <w:tcPr>
            <w:tcW w:type="dxa" w:w="3384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Cross-helpdesk availability and workflow actions weaken a generic vendor-neutral claim</w:t>
            </w:r>
          </w:p>
        </w:tc>
      </w:tr>
      <w:tr>
        <w:trPr>
          <w:cantSplit/>
        </w:trPr>
        <w:tc>
          <w:tcPr>
            <w:tcW w:type="dxa" w:w="2232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Zendesk AI</w:t>
            </w:r>
          </w:p>
        </w:tc>
        <w:tc>
          <w:tcPr>
            <w:tcW w:type="dxa" w:w="4680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AI agents, Copilot, multi-step actions, policy controls, QA and consumption pricing [8]</w:t>
            </w:r>
          </w:p>
        </w:tc>
        <w:tc>
          <w:tcPr>
            <w:tcW w:type="dxa" w:w="3384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Existing-platform reach and installed base are strong alternatives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Freshdesk / Freddy AI</w:t>
            </w:r>
          </w:p>
        </w:tc>
        <w:tc>
          <w:tcPr>
            <w:tcW w:type="dxa" w:w="468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Helpdesk, AI assistance/agents, routing, analytics and 1,000+ integrations [9]</w:t>
            </w:r>
          </w:p>
        </w:tc>
        <w:tc>
          <w:tcPr>
            <w:tcW w:type="dxa" w:w="3384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Value cannot be basic ticketing, AI or connector breadth</w:t>
            </w:r>
          </w:p>
        </w:tc>
      </w:tr>
      <w:tr>
        <w:trPr>
          <w:cantSplit/>
        </w:trPr>
        <w:tc>
          <w:tcPr>
            <w:tcW w:type="dxa" w:w="2232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Salesforce Service Cloud / Agentforce</w:t>
            </w:r>
          </w:p>
        </w:tc>
        <w:tc>
          <w:tcPr>
            <w:tcW w:type="dxa" w:w="4680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CRM-native context, Data 360 grounding, guardrails, audit and action/conversation pricing [10]</w:t>
            </w:r>
          </w:p>
        </w:tc>
        <w:tc>
          <w:tcPr>
            <w:tcW w:type="dxa" w:w="3384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Salesforce accounts have a strong system-of-record advantage</w:t>
            </w:r>
          </w:p>
        </w:tc>
      </w:tr>
    </w:tbl>
    <w:p>
      <w:pPr>
        <w:spacing w:after="0"/>
      </w:pPr>
    </w:p>
    <w:p>
      <w:pPr>
        <w:pStyle w:val="Heading2"/>
      </w:pPr>
      <w:r>
        <w:t>Rejected differentiators</w:t>
      </w:r>
    </w:p>
    <w:p>
      <w:pPr>
        <w:pStyle w:val="ListBullet"/>
        <w:spacing w:after="40"/>
        <w:ind w:left="317" w:hanging="173"/>
      </w:pPr>
      <w:r>
        <w:rPr>
          <w:rFonts w:ascii="Aptos" w:hAnsi="Aptos"/>
          <w:color w:val="17202A"/>
          <w:sz w:val="17"/>
        </w:rPr>
        <w:t>“Uses AI” — table stakes.</w:t>
      </w:r>
    </w:p>
    <w:p>
      <w:pPr>
        <w:pStyle w:val="ListBullet"/>
        <w:spacing w:after="40"/>
        <w:ind w:left="317" w:hanging="173"/>
      </w:pPr>
      <w:r>
        <w:rPr>
          <w:rFonts w:ascii="Aptos" w:hAnsi="Aptos"/>
          <w:color w:val="17202A"/>
          <w:sz w:val="17"/>
        </w:rPr>
        <w:t>“Unifies customer context” — every incumbent claims some form of it.</w:t>
      </w:r>
    </w:p>
    <w:p>
      <w:pPr>
        <w:pStyle w:val="ListBullet"/>
        <w:spacing w:after="40"/>
        <w:ind w:left="317" w:hanging="173"/>
      </w:pPr>
      <w:r>
        <w:rPr>
          <w:rFonts w:ascii="Aptos" w:hAnsi="Aptos"/>
          <w:color w:val="17202A"/>
          <w:sz w:val="17"/>
        </w:rPr>
        <w:t>“Integrates with existing tools” — necessary, not sufficient.</w:t>
      </w:r>
    </w:p>
    <w:p>
      <w:pPr>
        <w:pStyle w:val="ListBullet"/>
        <w:spacing w:after="40"/>
        <w:ind w:left="317" w:hanging="173"/>
      </w:pPr>
      <w:r>
        <w:rPr>
          <w:rFonts w:ascii="Aptos" w:hAnsi="Aptos"/>
          <w:color w:val="17202A"/>
          <w:sz w:val="17"/>
        </w:rPr>
        <w:t>“Governed and secure” — a purchase requirement, not a moat by itself.</w:t>
      </w:r>
    </w:p>
    <w:p>
      <w:pPr>
        <w:pStyle w:val="ListBullet"/>
        <w:spacing w:after="40"/>
        <w:ind w:left="317" w:hanging="173"/>
      </w:pPr>
      <w:r>
        <w:rPr>
          <w:rFonts w:ascii="Aptos" w:hAnsi="Aptos"/>
          <w:color w:val="17202A"/>
          <w:sz w:val="17"/>
        </w:rPr>
        <w:t>“Vendor neutral” — weak unless deployment, reliability or economics are materially better.</w:t>
      </w:r>
    </w:p>
    <w:p>
      <w:pPr>
        <w:pStyle w:val="Heading2"/>
      </w:pPr>
      <w:r>
        <w:t>Differentiation to test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10080"/>
      </w:tblGrid>
      <w:tr>
        <w:trPr>
          <w:cantSplit/>
        </w:trPr>
        <w:tc>
          <w:tcPr>
            <w:tcW w:type="dxa" w:w="5141"/>
            <w:shd w:fill="2D6A9F"/>
          </w:tcPr>
          <w:p/>
        </w:tc>
        <w:tc>
          <w:tcPr>
            <w:tcW w:type="dxa" w:w="5141"/>
            <w:shd w:fill="EAF2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2D6A9F"/>
                <w:sz w:val="16"/>
              </w:rPr>
              <w:t>CATEGORY WEDGE</w:t>
            </w:r>
          </w:p>
          <w:p>
            <w:pPr>
              <w:spacing w:after="0"/>
            </w:pPr>
            <w:r>
              <w:rPr>
                <w:rFonts w:ascii="Aptos" w:hAnsi="Aptos"/>
                <w:color w:val="17202A"/>
                <w:sz w:val="18"/>
              </w:rPr>
              <w:t>Workflow-specific completeness: assemble permissioned context, show the evidence used, route approval, preserve the full handoff and write the result back to the customer’s system of record—across a small set of common stacks—with faster deployment and predictable operating cost.</w:t>
            </w:r>
          </w:p>
        </w:tc>
      </w:tr>
    </w:tbl>
    <w:p>
      <w:pPr>
        <w:spacing w:after="0"/>
      </w:pPr>
    </w:p>
    <w:p>
      <w:pPr>
        <w:spacing w:after="0"/>
      </w:pPr>
      <w:r>
        <w:br w:type="page"/>
      </w:r>
    </w:p>
    <w:p>
      <w:pPr>
        <w:spacing w:after="20"/>
      </w:pPr>
      <w:r>
        <w:rPr>
          <w:rFonts w:ascii="Aptos" w:hAnsi="Aptos"/>
          <w:b/>
          <w:color w:val="D99A2B"/>
          <w:sz w:val="15"/>
        </w:rPr>
        <w:t>CHOICE</w:t>
      </w:r>
    </w:p>
    <w:p>
      <w:pPr>
        <w:pStyle w:val="Heading1"/>
      </w:pPr>
      <w:r>
        <w:t>07  Product strategy and first workflow</w:t>
      </w:r>
    </w:p>
    <w:p>
      <w:pPr>
        <w:spacing w:after="140"/>
        <w:pBdr>
          <w:bottom w:val="single" w:sz="8" w:space="2" w:color="2D6A9F"/>
        </w:pBdr>
      </w:pPr>
    </w:p>
    <w:p>
      <w:pPr>
        <w:keepNext w:val="0"/>
        <w:spacing w:after="80"/>
      </w:pPr>
      <w:r>
        <w:rPr>
          <w:rFonts w:ascii="Aptos" w:hAnsi="Aptos"/>
        </w:rPr>
        <w:t>The exact workflow is not validated. The safest first product is a reusable pattern for difficult-case context and handoff, configured to one workflow during a 30–60 day pilot.</w:t>
      </w:r>
    </w:p>
    <w:p>
      <w:pPr>
        <w:pStyle w:val="Heading2"/>
      </w:pPr>
      <w:r>
        <w:t>Initial workflow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656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5472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Product responsibility</w:t>
            </w:r>
          </w:p>
        </w:tc>
        <w:tc>
          <w:tcPr>
            <w:tcW w:type="dxa" w:w="3168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Control</w:t>
            </w:r>
          </w:p>
        </w:tc>
      </w:tr>
      <w:tr>
        <w:trPr>
          <w:cantSplit/>
        </w:trPr>
        <w:tc>
          <w:tcPr>
            <w:tcW w:type="dxa" w:w="1656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1. Detect</w:t>
            </w:r>
          </w:p>
        </w:tc>
        <w:tc>
          <w:tcPr>
            <w:tcW w:type="dxa" w:w="5472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Identify a difficult or escalated case in the existing helpdesk</w:t>
            </w:r>
          </w:p>
        </w:tc>
        <w:tc>
          <w:tcPr>
            <w:tcW w:type="dxa" w:w="3168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Rules + human override</w:t>
            </w:r>
          </w:p>
        </w:tc>
      </w:tr>
      <w:tr>
        <w:trPr>
          <w:cantSplit/>
        </w:trPr>
        <w:tc>
          <w:tcPr>
            <w:tcW w:type="dxa" w:w="1656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2. Resolve identity</w:t>
            </w:r>
          </w:p>
        </w:tc>
        <w:tc>
          <w:tcPr>
            <w:tcW w:type="dxa" w:w="5472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Link customer/account across helpdesk and one system of record</w:t>
            </w:r>
          </w:p>
        </w:tc>
        <w:tc>
          <w:tcPr>
            <w:tcW w:type="dxa" w:w="3168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Permission-aware identifiers</w:t>
            </w:r>
          </w:p>
        </w:tc>
      </w:tr>
      <w:tr>
        <w:trPr>
          <w:cantSplit/>
        </w:trPr>
        <w:tc>
          <w:tcPr>
            <w:tcW w:type="dxa" w:w="1656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3. Assemble context</w:t>
            </w:r>
          </w:p>
        </w:tc>
        <w:tc>
          <w:tcPr>
            <w:tcW w:type="dxa" w:w="5472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Retrieve recent ticket, account, email and approval state with sources</w:t>
            </w:r>
          </w:p>
        </w:tc>
        <w:tc>
          <w:tcPr>
            <w:tcW w:type="dxa" w:w="3168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Read-only first; field-level access</w:t>
            </w:r>
          </w:p>
        </w:tc>
      </w:tr>
      <w:tr>
        <w:trPr>
          <w:cantSplit/>
        </w:trPr>
        <w:tc>
          <w:tcPr>
            <w:tcW w:type="dxa" w:w="1656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4. Recommend</w:t>
            </w:r>
          </w:p>
        </w:tc>
        <w:tc>
          <w:tcPr>
            <w:tcW w:type="dxa" w:w="5472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Summarize history, gap, owner and next action; draft customer update</w:t>
            </w:r>
          </w:p>
        </w:tc>
        <w:tc>
          <w:tcPr>
            <w:tcW w:type="dxa" w:w="3168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Visible evidence; no invented data</w:t>
            </w:r>
          </w:p>
        </w:tc>
      </w:tr>
      <w:tr>
        <w:trPr>
          <w:cantSplit/>
        </w:trPr>
        <w:tc>
          <w:tcPr>
            <w:tcW w:type="dxa" w:w="1656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5. Approve / hand off</w:t>
            </w:r>
          </w:p>
        </w:tc>
        <w:tc>
          <w:tcPr>
            <w:tcW w:type="dxa" w:w="5472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Route high-risk steps to the right person with complete context</w:t>
            </w:r>
          </w:p>
        </w:tc>
        <w:tc>
          <w:tcPr>
            <w:tcW w:type="dxa" w:w="3168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Human approval and safe stop</w:t>
            </w:r>
          </w:p>
        </w:tc>
      </w:tr>
      <w:tr>
        <w:trPr>
          <w:cantSplit/>
        </w:trPr>
        <w:tc>
          <w:tcPr>
            <w:tcW w:type="dxa" w:w="1656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6. Write back</w:t>
            </w:r>
          </w:p>
        </w:tc>
        <w:tc>
          <w:tcPr>
            <w:tcW w:type="dxa" w:w="5472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Record outcome, source, owner and next step in the system of record</w:t>
            </w:r>
          </w:p>
        </w:tc>
        <w:tc>
          <w:tcPr>
            <w:tcW w:type="dxa" w:w="3168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Idempotency, audit and retry</w:t>
            </w:r>
          </w:p>
        </w:tc>
      </w:tr>
    </w:tbl>
    <w:p>
      <w:pPr>
        <w:spacing w:after="0"/>
      </w:pPr>
    </w:p>
    <w:p>
      <w:pPr>
        <w:pStyle w:val="Heading2"/>
      </w:pPr>
      <w:r>
        <w:t>MVP boundary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5112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 scope</w:t>
            </w:r>
          </w:p>
        </w:tc>
        <w:tc>
          <w:tcPr>
            <w:tcW w:type="dxa" w:w="5112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Not in scope</w:t>
            </w:r>
          </w:p>
        </w:tc>
      </w:tr>
      <w:tr>
        <w:trPr>
          <w:cantSplit/>
        </w:trPr>
        <w:tc>
          <w:tcPr>
            <w:tcW w:type="dxa" w:w="5112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One helpdesk, one system of record, one workflow; agent-assist/shadow mode; citations; approval; durable write-back; audit</w:t>
            </w:r>
          </w:p>
        </w:tc>
        <w:tc>
          <w:tcPr>
            <w:tcW w:type="dxa" w:w="5112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Helpdesk replacement; open-ended autonomous actions; every connector; general-purpose chatbot; banking approval decisions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10080"/>
      </w:tblGrid>
      <w:tr>
        <w:trPr>
          <w:cantSplit/>
        </w:trPr>
        <w:tc>
          <w:tcPr>
            <w:tcW w:type="dxa" w:w="5141"/>
            <w:shd w:fill="2E7D5B"/>
          </w:tcPr>
          <w:p/>
        </w:tc>
        <w:tc>
          <w:tcPr>
            <w:tcW w:type="dxa" w:w="5141"/>
            <w:shd w:fill="EAF6F0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2E7D5B"/>
                <w:sz w:val="16"/>
              </w:rPr>
              <w:t>PILOT METRIC</w:t>
            </w:r>
          </w:p>
          <w:p>
            <w:pPr>
              <w:spacing w:after="0"/>
            </w:pPr>
            <w:r>
              <w:rPr>
                <w:rFonts w:ascii="Aptos" w:hAnsi="Aptos"/>
                <w:color w:val="17202A"/>
                <w:sz w:val="18"/>
              </w:rPr>
              <w:t>Primary: median minutes spent collecting context per difficult case. Guardrails: reopen rate, incorrect/unauthorized action rate, customer harm, audit completeness, connector failures and customer satisfaction.</w:t>
            </w:r>
          </w:p>
        </w:tc>
      </w:tr>
    </w:tbl>
    <w:p>
      <w:pPr>
        <w:spacing w:after="0"/>
      </w:pPr>
    </w:p>
    <w:p>
      <w:pPr>
        <w:spacing w:after="0"/>
      </w:pPr>
      <w:r>
        <w:br w:type="page"/>
      </w:r>
    </w:p>
    <w:p>
      <w:pPr>
        <w:spacing w:after="20"/>
      </w:pPr>
      <w:r>
        <w:rPr>
          <w:rFonts w:ascii="Aptos" w:hAnsi="Aptos"/>
          <w:b/>
          <w:color w:val="D99A2B"/>
          <w:sz w:val="15"/>
        </w:rPr>
        <w:t>2–3 YEARS</w:t>
      </w:r>
    </w:p>
    <w:p>
      <w:pPr>
        <w:pStyle w:val="Heading1"/>
      </w:pPr>
      <w:r>
        <w:t>08  Roadmap: earn the platform</w:t>
      </w:r>
    </w:p>
    <w:p>
      <w:pPr>
        <w:spacing w:after="140"/>
        <w:pBdr>
          <w:bottom w:val="single" w:sz="8" w:space="2" w:color="2D6A9F"/>
        </w:pBdr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1656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Horizon</w:t>
            </w:r>
          </w:p>
        </w:tc>
        <w:tc>
          <w:tcPr>
            <w:tcW w:type="dxa" w:w="2304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Goal</w:t>
            </w:r>
          </w:p>
        </w:tc>
        <w:tc>
          <w:tcPr>
            <w:tcW w:type="dxa" w:w="3816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Capabilities</w:t>
            </w:r>
          </w:p>
        </w:tc>
        <w:tc>
          <w:tcPr>
            <w:tcW w:type="dxa" w:w="2520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Evidence gate</w:t>
            </w:r>
          </w:p>
        </w:tc>
      </w:tr>
      <w:tr>
        <w:trPr>
          <w:cantSplit/>
        </w:trPr>
        <w:tc>
          <w:tcPr>
            <w:tcW w:type="dxa" w:w="1656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0–6 months</w:t>
              <w:br/>
              <w:t>Prove</w:t>
            </w:r>
          </w:p>
        </w:tc>
        <w:tc>
          <w:tcPr>
            <w:tcW w:type="dxa" w:w="2304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One workflow in one segment</w:t>
            </w:r>
          </w:p>
        </w:tc>
        <w:tc>
          <w:tcPr>
            <w:tcW w:type="dxa" w:w="3816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Read-only context; draft; approval; handoff packet; write-back; baseline dashboard</w:t>
            </w:r>
          </w:p>
        </w:tc>
        <w:tc>
          <w:tcPr>
            <w:tcW w:type="dxa" w:w="252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≥4 customers show the same workflow; measurable time saved; no guardrail regression; ≥2 paid/committed pilots</w:t>
            </w:r>
          </w:p>
        </w:tc>
      </w:tr>
      <w:tr>
        <w:trPr>
          <w:cantSplit/>
        </w:trPr>
        <w:tc>
          <w:tcPr>
            <w:tcW w:type="dxa" w:w="1656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6–12 months</w:t>
              <w:br/>
              <w:t>Repeat</w:t>
            </w:r>
          </w:p>
        </w:tc>
        <w:tc>
          <w:tcPr>
            <w:tcW w:type="dxa" w:w="2304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Deploy the same workflow faster</w:t>
            </w:r>
          </w:p>
        </w:tc>
        <w:tc>
          <w:tcPr>
            <w:tcW w:type="dxa" w:w="3816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Reusable connector contracts; permissions; simulations; failure taxonomy; implementation toolkit</w:t>
            </w:r>
          </w:p>
        </w:tc>
        <w:tc>
          <w:tcPr>
            <w:tcW w:type="dxa" w:w="2520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Second/third stack deploy faster; retention; acceptable support cost and gross margin</w:t>
            </w:r>
          </w:p>
        </w:tc>
      </w:tr>
      <w:tr>
        <w:trPr>
          <w:cantSplit/>
        </w:trPr>
        <w:tc>
          <w:tcPr>
            <w:tcW w:type="dxa" w:w="1656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12–24 months</w:t>
              <w:br/>
              <w:t>Expand</w:t>
            </w:r>
          </w:p>
        </w:tc>
        <w:tc>
          <w:tcPr>
            <w:tcW w:type="dxa" w:w="2304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Adjacent workflows for the same team</w:t>
            </w:r>
          </w:p>
        </w:tc>
        <w:tc>
          <w:tcPr>
            <w:tcW w:type="dxa" w:w="3816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Bounded low-risk actions; knowledge-gap loop; workflow analytics; role-based governance</w:t>
            </w:r>
          </w:p>
        </w:tc>
        <w:tc>
          <w:tcPr>
            <w:tcW w:type="dxa" w:w="252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Usage and renewal pull; repeatable cross-workflow expansion; buyer-backed ROI</w:t>
            </w:r>
          </w:p>
        </w:tc>
      </w:tr>
      <w:tr>
        <w:trPr>
          <w:cantSplit/>
        </w:trPr>
        <w:tc>
          <w:tcPr>
            <w:tcW w:type="dxa" w:w="1656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24–36 months</w:t>
              <w:br/>
              <w:t>Platform</w:t>
            </w:r>
          </w:p>
        </w:tc>
        <w:tc>
          <w:tcPr>
            <w:tcW w:type="dxa" w:w="2304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Selected Customer Operations workflows</w:t>
            </w:r>
          </w:p>
        </w:tc>
        <w:tc>
          <w:tcPr>
            <w:tcW w:type="dxa" w:w="3816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Shared identity/context graph; workflow templates; partner extensions; enterprise controls</w:t>
            </w:r>
          </w:p>
        </w:tc>
        <w:tc>
          <w:tcPr>
            <w:tcW w:type="dxa" w:w="2520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Expansion across teams without custom-project economics or trust erosion</w:t>
            </w:r>
          </w:p>
        </w:tc>
      </w:tr>
    </w:tbl>
    <w:p>
      <w:pPr>
        <w:spacing w:after="0"/>
      </w:pPr>
    </w:p>
    <w:p>
      <w:pPr>
        <w:pStyle w:val="Heading2"/>
      </w:pPr>
      <w:r>
        <w:t>Quarterly stop rules</w:t>
      </w:r>
    </w:p>
    <w:p>
      <w:pPr>
        <w:pStyle w:val="ListBullet"/>
        <w:spacing w:after="40"/>
        <w:ind w:left="317" w:hanging="173"/>
      </w:pPr>
      <w:r>
        <w:rPr>
          <w:rFonts w:ascii="Aptos" w:hAnsi="Aptos"/>
          <w:color w:val="17202A"/>
          <w:sz w:val="17"/>
        </w:rPr>
        <w:t>Narrow or stop if customers prefer incumbent-native AI at acceptable cost.</w:t>
      </w:r>
    </w:p>
    <w:p>
      <w:pPr>
        <w:pStyle w:val="ListBullet"/>
        <w:spacing w:after="40"/>
        <w:ind w:left="317" w:hanging="173"/>
      </w:pPr>
      <w:r>
        <w:rPr>
          <w:rFonts w:ascii="Aptos" w:hAnsi="Aptos"/>
          <w:color w:val="17202A"/>
          <w:sz w:val="17"/>
        </w:rPr>
        <w:t>Do not automate a step whose data, permission or failure recovery cannot be verified.</w:t>
      </w:r>
    </w:p>
    <w:p>
      <w:pPr>
        <w:pStyle w:val="ListBullet"/>
        <w:spacing w:after="40"/>
        <w:ind w:left="317" w:hanging="173"/>
      </w:pPr>
      <w:r>
        <w:rPr>
          <w:rFonts w:ascii="Aptos" w:hAnsi="Aptos"/>
          <w:color w:val="17202A"/>
          <w:sz w:val="17"/>
        </w:rPr>
        <w:t>Do not add a new segment until the first workflow is repeatable and profitable.</w:t>
      </w:r>
    </w:p>
    <w:p>
      <w:pPr>
        <w:pStyle w:val="ListBullet"/>
        <w:spacing w:after="40"/>
        <w:ind w:left="317" w:hanging="173"/>
      </w:pPr>
      <w:r>
        <w:rPr>
          <w:rFonts w:ascii="Aptos" w:hAnsi="Aptos"/>
          <w:color w:val="17202A"/>
          <w:sz w:val="17"/>
        </w:rPr>
        <w:t>Do not call the product a platform until expansion occurs without services-heavy customization.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10080"/>
      </w:tblGrid>
      <w:tr>
        <w:trPr>
          <w:cantSplit/>
        </w:trPr>
        <w:tc>
          <w:tcPr>
            <w:tcW w:type="dxa" w:w="5141"/>
            <w:shd w:fill="D99A2B"/>
          </w:tcPr>
          <w:p/>
        </w:tc>
        <w:tc>
          <w:tcPr>
            <w:tcW w:type="dxa" w:w="5141"/>
            <w:shd w:fill="FFF4D6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D99A2B"/>
                <w:sz w:val="16"/>
              </w:rPr>
              <w:t>SEQUENCING PRINCIPLE</w:t>
            </w:r>
          </w:p>
          <w:p>
            <w:pPr>
              <w:spacing w:after="0"/>
            </w:pPr>
            <w:r>
              <w:rPr>
                <w:rFonts w:ascii="Aptos" w:hAnsi="Aptos"/>
                <w:color w:val="17202A"/>
                <w:sz w:val="18"/>
              </w:rPr>
              <w:t>Context → recommendation → approval → bounded action → adjacent workflow. Each step is earned through production evidence.</w:t>
            </w:r>
          </w:p>
        </w:tc>
      </w:tr>
    </w:tbl>
    <w:p>
      <w:pPr>
        <w:spacing w:after="0"/>
      </w:pPr>
    </w:p>
    <w:p>
      <w:pPr>
        <w:spacing w:after="0"/>
      </w:pPr>
      <w:r>
        <w:br w:type="page"/>
      </w:r>
    </w:p>
    <w:p>
      <w:pPr>
        <w:spacing w:after="20"/>
      </w:pPr>
      <w:r>
        <w:rPr>
          <w:rFonts w:ascii="Aptos" w:hAnsi="Aptos"/>
          <w:b/>
          <w:color w:val="D99A2B"/>
          <w:sz w:val="15"/>
        </w:rPr>
        <w:t>COMPOUNDING ADVANTAGE</w:t>
      </w:r>
    </w:p>
    <w:p>
      <w:pPr>
        <w:pStyle w:val="Heading1"/>
      </w:pPr>
      <w:r>
        <w:t>09  Moat and defensibility</w:t>
      </w:r>
    </w:p>
    <w:p>
      <w:pPr>
        <w:spacing w:after="140"/>
        <w:pBdr>
          <w:bottom w:val="single" w:sz="8" w:space="2" w:color="2D6A9F"/>
        </w:pBdr>
      </w:pPr>
    </w:p>
    <w:p>
      <w:pPr>
        <w:keepNext w:val="0"/>
        <w:spacing w:after="80"/>
      </w:pPr>
      <w:r>
        <w:rPr>
          <w:rFonts w:ascii="Aptos" w:hAnsi="Aptos"/>
        </w:rPr>
        <w:t>The model, generic RAG and connector catalogue are not durable moats. Defensibility must compound from repeated workflow deployments.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232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Mechanism</w:t>
            </w:r>
          </w:p>
        </w:tc>
        <w:tc>
          <w:tcPr>
            <w:tcW w:type="dxa" w:w="4680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How it compounds</w:t>
            </w:r>
          </w:p>
        </w:tc>
        <w:tc>
          <w:tcPr>
            <w:tcW w:type="dxa" w:w="3384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Evidence before investment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Workflow-specific evaluation data</w:t>
            </w:r>
          </w:p>
        </w:tc>
        <w:tc>
          <w:tcPr>
            <w:tcW w:type="dxa" w:w="468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Permissioned cases define correct resolution, safe refusal, escalation and durable completion</w:t>
            </w:r>
          </w:p>
        </w:tc>
        <w:tc>
          <w:tcPr>
            <w:tcW w:type="dxa" w:w="3384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Improves task success and reduces human correction across deployments</w:t>
            </w:r>
          </w:p>
        </w:tc>
      </w:tr>
      <w:tr>
        <w:trPr>
          <w:cantSplit/>
        </w:trPr>
        <w:tc>
          <w:tcPr>
            <w:tcW w:type="dxa" w:w="2232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Reliable action contracts</w:t>
            </w:r>
          </w:p>
        </w:tc>
        <w:tc>
          <w:tcPr>
            <w:tcW w:type="dxa" w:w="4680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Versioned connectors capture scopes, idempotency, retries, audit, simulation and rollback</w:t>
            </w:r>
          </w:p>
        </w:tc>
        <w:tc>
          <w:tcPr>
            <w:tcW w:type="dxa" w:w="3384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Deployment time and connector failure rate fall with reuse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Operational learning loop</w:t>
            </w:r>
          </w:p>
        </w:tc>
        <w:tc>
          <w:tcPr>
            <w:tcW w:type="dxa" w:w="468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Corrections, reopens, knowledge gaps and cost become regression tests and release gates</w:t>
            </w:r>
          </w:p>
        </w:tc>
        <w:tc>
          <w:tcPr>
            <w:tcW w:type="dxa" w:w="3384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Customers allow safe learning; quality improves without leakage</w:t>
            </w:r>
          </w:p>
        </w:tc>
      </w:tr>
      <w:tr>
        <w:trPr>
          <w:cantSplit/>
        </w:trPr>
        <w:tc>
          <w:tcPr>
            <w:tcW w:type="dxa" w:w="2232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Repeatable deployment</w:t>
            </w:r>
          </w:p>
        </w:tc>
        <w:tc>
          <w:tcPr>
            <w:tcW w:type="dxa" w:w="4680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Templates for common stack + workflow combinations reduce services effort</w:t>
            </w:r>
          </w:p>
        </w:tc>
        <w:tc>
          <w:tcPr>
            <w:tcW w:type="dxa" w:w="3384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Gross margin improves and implementation time drops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Switching cost through trusted operations</w:t>
            </w:r>
          </w:p>
        </w:tc>
        <w:tc>
          <w:tcPr>
            <w:tcW w:type="dxa" w:w="468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Embedded permissions, evaluation history, policies and workflow evidence make replacement costly</w:t>
            </w:r>
          </w:p>
        </w:tc>
        <w:tc>
          <w:tcPr>
            <w:tcW w:type="dxa" w:w="3384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Earned through use—not created by lock-in alone</w:t>
            </w:r>
          </w:p>
        </w:tc>
      </w:tr>
    </w:tbl>
    <w:p>
      <w:pPr>
        <w:spacing w:after="0"/>
      </w:pPr>
    </w:p>
    <w:p>
      <w:pPr>
        <w:pStyle w:val="Heading2"/>
      </w:pPr>
      <w:r>
        <w:t>No network-effect claim yet</w:t>
      </w:r>
    </w:p>
    <w:p>
      <w:pPr>
        <w:keepNext w:val="0"/>
        <w:spacing w:after="80"/>
      </w:pPr>
      <w:r>
        <w:rPr>
          <w:rFonts w:ascii="Aptos" w:hAnsi="Aptos"/>
        </w:rPr>
        <w:t>Cross-customer learning may become valuable only if data can be aggregated legally, securely and without exposing tenant information. Until that mechanism and consent model exist, network effects remain unsupported.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10080"/>
      </w:tblGrid>
      <w:tr>
        <w:trPr>
          <w:cantSplit/>
        </w:trPr>
        <w:tc>
          <w:tcPr>
            <w:tcW w:type="dxa" w:w="5141"/>
            <w:shd w:fill="2E7D5B"/>
          </w:tcPr>
          <w:p/>
        </w:tc>
        <w:tc>
          <w:tcPr>
            <w:tcW w:type="dxa" w:w="5141"/>
            <w:shd w:fill="EAF6F0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2E7D5B"/>
                <w:sz w:val="16"/>
              </w:rPr>
              <w:t>DEFENSIBILITY TEST</w:t>
            </w:r>
          </w:p>
          <w:p>
            <w:pPr>
              <w:spacing w:after="0"/>
            </w:pPr>
            <w:r>
              <w:rPr>
                <w:rFonts w:ascii="Aptos" w:hAnsi="Aptos"/>
                <w:color w:val="17202A"/>
                <w:sz w:val="18"/>
              </w:rPr>
              <w:t>A moat is emerging only when each additional deployment makes the next deployment faster, safer or more accurate while lowering operating effort—and customers can verify that improvement.</w:t>
            </w:r>
          </w:p>
        </w:tc>
      </w:tr>
    </w:tbl>
    <w:p>
      <w:pPr>
        <w:spacing w:after="0"/>
      </w:pPr>
    </w:p>
    <w:p>
      <w:pPr>
        <w:spacing w:after="0"/>
      </w:pPr>
      <w:r>
        <w:br w:type="page"/>
      </w:r>
    </w:p>
    <w:p>
      <w:pPr>
        <w:spacing w:after="20"/>
      </w:pPr>
      <w:r>
        <w:rPr>
          <w:rFonts w:ascii="Aptos" w:hAnsi="Aptos"/>
          <w:b/>
          <w:color w:val="D99A2B"/>
          <w:sz w:val="15"/>
        </w:rPr>
        <w:t>GO TO MARKET</w:t>
      </w:r>
    </w:p>
    <w:p>
      <w:pPr>
        <w:pStyle w:val="Heading1"/>
      </w:pPr>
      <w:r>
        <w:t>10  Land, expand and economics</w:t>
      </w:r>
    </w:p>
    <w:p>
      <w:pPr>
        <w:spacing w:after="140"/>
        <w:pBdr>
          <w:bottom w:val="single" w:sz="8" w:space="2" w:color="2D6A9F"/>
        </w:pBdr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1440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Motion</w:t>
            </w:r>
          </w:p>
        </w:tc>
        <w:tc>
          <w:tcPr>
            <w:tcW w:type="dxa" w:w="2880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Who</w:t>
            </w:r>
          </w:p>
        </w:tc>
        <w:tc>
          <w:tcPr>
            <w:tcW w:type="dxa" w:w="3672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Offer</w:t>
            </w:r>
          </w:p>
        </w:tc>
        <w:tc>
          <w:tcPr>
            <w:tcW w:type="dxa" w:w="2304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Trigger to advance</w:t>
            </w:r>
          </w:p>
        </w:tc>
      </w:tr>
      <w:tr>
        <w:trPr>
          <w:cantSplit/>
        </w:trPr>
        <w:tc>
          <w:tcPr>
            <w:tcW w:type="dxa" w:w="144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Land</w:t>
            </w:r>
          </w:p>
        </w:tc>
        <w:tc>
          <w:tcPr>
            <w:tcW w:type="dxa" w:w="288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Working buyer: Head/VP Support or Customer Operations; operator: Support Ops; approvers: IT/security</w:t>
            </w:r>
          </w:p>
        </w:tc>
        <w:tc>
          <w:tcPr>
            <w:tcW w:type="dxa" w:w="3672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30–60 day paid or committed pilot for one difficult-case workflow</w:t>
            </w:r>
          </w:p>
        </w:tc>
        <w:tc>
          <w:tcPr>
            <w:tcW w:type="dxa" w:w="2304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Baseline volume and measurable pain; access approved; incumbent alternative assessed</w:t>
            </w:r>
          </w:p>
        </w:tc>
      </w:tr>
      <w:tr>
        <w:trPr>
          <w:cantSplit/>
        </w:trPr>
        <w:tc>
          <w:tcPr>
            <w:tcW w:type="dxa" w:w="1440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Prove</w:t>
            </w:r>
          </w:p>
        </w:tc>
        <w:tc>
          <w:tcPr>
            <w:tcW w:type="dxa" w:w="2880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Frontline agents and support managers</w:t>
            </w:r>
          </w:p>
        </w:tc>
        <w:tc>
          <w:tcPr>
            <w:tcW w:type="dxa" w:w="3672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Shadow/assist workflow with context, draft, approval, handoff and write-back</w:t>
            </w:r>
          </w:p>
        </w:tc>
        <w:tc>
          <w:tcPr>
            <w:tcW w:type="dxa" w:w="2304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Less context work; no increase in reopens, unsafe actions or audit gaps</w:t>
            </w:r>
          </w:p>
        </w:tc>
      </w:tr>
      <w:tr>
        <w:trPr>
          <w:cantSplit/>
        </w:trPr>
        <w:tc>
          <w:tcPr>
            <w:tcW w:type="dxa" w:w="144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Expand 1</w:t>
            </w:r>
          </w:p>
        </w:tc>
        <w:tc>
          <w:tcPr>
            <w:tcW w:type="dxa" w:w="288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Same support team</w:t>
            </w:r>
          </w:p>
        </w:tc>
        <w:tc>
          <w:tcPr>
            <w:tcW w:type="dxa" w:w="3672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Adjacent variant or second system needed by the same workflow</w:t>
            </w:r>
          </w:p>
        </w:tc>
        <w:tc>
          <w:tcPr>
            <w:tcW w:type="dxa" w:w="2304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Repeated usage, manager pull and acceptable total cost</w:t>
            </w:r>
          </w:p>
        </w:tc>
      </w:tr>
      <w:tr>
        <w:trPr>
          <w:cantSplit/>
        </w:trPr>
        <w:tc>
          <w:tcPr>
            <w:tcW w:type="dxa" w:w="1440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Expand 2</w:t>
            </w:r>
          </w:p>
        </w:tc>
        <w:tc>
          <w:tcPr>
            <w:tcW w:type="dxa" w:w="2880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Customer success / operations</w:t>
            </w:r>
          </w:p>
        </w:tc>
        <w:tc>
          <w:tcPr>
            <w:tcW w:type="dxa" w:w="3672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Selected adjacent workflows using shared controls</w:t>
            </w:r>
          </w:p>
        </w:tc>
        <w:tc>
          <w:tcPr>
            <w:tcW w:type="dxa" w:w="2304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5"/>
              </w:rPr>
              <w:t>Renewal, internal reference and buyer-backed ROI</w:t>
            </w:r>
          </w:p>
        </w:tc>
      </w:tr>
    </w:tbl>
    <w:p>
      <w:pPr>
        <w:spacing w:after="0"/>
      </w:pPr>
    </w:p>
    <w:p>
      <w:pPr>
        <w:pStyle w:val="Heading2"/>
      </w:pPr>
      <w:r>
        <w:t>Metric system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1944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8352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Metrics</w:t>
            </w:r>
          </w:p>
        </w:tc>
      </w:tr>
      <w:tr>
        <w:trPr>
          <w:cantSplit/>
        </w:trPr>
        <w:tc>
          <w:tcPr>
            <w:tcW w:type="dxa" w:w="1944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Primary</w:t>
            </w:r>
          </w:p>
        </w:tc>
        <w:tc>
          <w:tcPr>
            <w:tcW w:type="dxa" w:w="8352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Median context-collection minutes per difficult case; verified AI-assisted resolutions</w:t>
            </w:r>
          </w:p>
        </w:tc>
      </w:tr>
      <w:tr>
        <w:trPr>
          <w:cantSplit/>
        </w:trPr>
        <w:tc>
          <w:tcPr>
            <w:tcW w:type="dxa" w:w="1944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Customer</w:t>
            </w:r>
          </w:p>
        </w:tc>
        <w:tc>
          <w:tcPr>
            <w:tcW w:type="dxa" w:w="8352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Resolution time, SLA attainment, reopen, escalation, CSAT/customer effort</w:t>
            </w:r>
          </w:p>
        </w:tc>
      </w:tr>
      <w:tr>
        <w:trPr>
          <w:cantSplit/>
        </w:trPr>
        <w:tc>
          <w:tcPr>
            <w:tcW w:type="dxa" w:w="1944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Quality / safety</w:t>
            </w:r>
          </w:p>
        </w:tc>
        <w:tc>
          <w:tcPr>
            <w:tcW w:type="dxa" w:w="8352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Evidence completeness, correction rate, unsupported answer, unauthorized action, audit completeness</w:t>
            </w:r>
          </w:p>
        </w:tc>
      </w:tr>
      <w:tr>
        <w:trPr>
          <w:cantSplit/>
        </w:trPr>
        <w:tc>
          <w:tcPr>
            <w:tcW w:type="dxa" w:w="1944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Operations</w:t>
            </w:r>
          </w:p>
        </w:tc>
        <w:tc>
          <w:tcPr>
            <w:tcW w:type="dxa" w:w="8352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Connector failure/retry, latency, availability, implementation time, weekly admin effort</w:t>
            </w:r>
          </w:p>
        </w:tc>
      </w:tr>
      <w:tr>
        <w:trPr>
          <w:cantSplit/>
        </w:trPr>
        <w:tc>
          <w:tcPr>
            <w:tcW w:type="dxa" w:w="1944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Business</w:t>
            </w:r>
          </w:p>
        </w:tc>
        <w:tc>
          <w:tcPr>
            <w:tcW w:type="dxa" w:w="8352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Pilot conversion, retention, expansion, gross margin after model, connector and support cost</w:t>
            </w:r>
          </w:p>
        </w:tc>
      </w:tr>
    </w:tbl>
    <w:p>
      <w:pPr>
        <w:spacing w:after="0"/>
      </w:pPr>
    </w:p>
    <w:p>
      <w:pPr>
        <w:pStyle w:val="Heading2"/>
      </w:pPr>
      <w:r>
        <w:t>Pricing hypothesis</w:t>
      </w:r>
    </w:p>
    <w:p>
      <w:pPr>
        <w:keepNext w:val="0"/>
        <w:spacing w:after="80"/>
      </w:pPr>
      <w:r>
        <w:rPr>
          <w:rFonts w:ascii="Aptos" w:hAnsi="Aptos"/>
        </w:rPr>
        <w:t>Use a predictable base subscription for administration, analytics and standard integrations plus a capped usage tier tied to workflow volume or verified outcomes. Do not price before defining a durable resolution, reopen window and cost floor. Public pricing shows seat, outcome, session, action and conversation models already exist [7–10].</w:t>
      </w:r>
    </w:p>
    <w:p>
      <w:pPr>
        <w:spacing w:after="0"/>
      </w:pPr>
      <w:r>
        <w:br w:type="page"/>
      </w:r>
    </w:p>
    <w:p>
      <w:pPr>
        <w:spacing w:after="20"/>
      </w:pPr>
      <w:r>
        <w:rPr>
          <w:rFonts w:ascii="Aptos" w:hAnsi="Aptos"/>
          <w:b/>
          <w:color w:val="D99A2B"/>
          <w:sz w:val="15"/>
        </w:rPr>
        <w:t>CONTROL</w:t>
      </w:r>
    </w:p>
    <w:p>
      <w:pPr>
        <w:pStyle w:val="Heading1"/>
      </w:pPr>
      <w:r>
        <w:t>11  Risks, decision gates and submission boundary</w:t>
      </w:r>
    </w:p>
    <w:p>
      <w:pPr>
        <w:spacing w:after="140"/>
        <w:pBdr>
          <w:bottom w:val="single" w:sz="8" w:space="2" w:color="2D6A9F"/>
        </w:pBdr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3024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7272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Mitigation / decision</w:t>
            </w:r>
          </w:p>
        </w:tc>
      </w:tr>
      <w:tr>
        <w:trPr>
          <w:cantSplit/>
        </w:trPr>
        <w:tc>
          <w:tcPr>
            <w:tcW w:type="dxa" w:w="3024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Incumbents close the gap</w:t>
            </w:r>
          </w:p>
        </w:tc>
        <w:tc>
          <w:tcPr>
            <w:tcW w:type="dxa" w:w="7272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Win only on a validated workflow with faster deployment, stronger durable write-back or better economics</w:t>
            </w:r>
          </w:p>
        </w:tc>
      </w:tr>
      <w:tr>
        <w:trPr>
          <w:cantSplit/>
        </w:trPr>
        <w:tc>
          <w:tcPr>
            <w:tcW w:type="dxa" w:w="3024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Another system increases complexity</w:t>
            </w:r>
          </w:p>
        </w:tc>
        <w:tc>
          <w:tcPr>
            <w:tcW w:type="dxa" w:w="7272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Limit connectors and prove reduced total admin effort, not only agent handle time</w:t>
            </w:r>
          </w:p>
        </w:tc>
      </w:tr>
      <w:tr>
        <w:trPr>
          <w:cantSplit/>
        </w:trPr>
        <w:tc>
          <w:tcPr>
            <w:tcW w:type="dxa" w:w="3024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Poor context or unsafe action</w:t>
            </w:r>
          </w:p>
        </w:tc>
        <w:tc>
          <w:tcPr>
            <w:tcW w:type="dxa" w:w="7272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Read-only first, citations, least privilege, approval, audit, rollback and safe stop</w:t>
            </w:r>
          </w:p>
        </w:tc>
      </w:tr>
      <w:tr>
        <w:trPr>
          <w:cantSplit/>
        </w:trPr>
        <w:tc>
          <w:tcPr>
            <w:tcW w:type="dxa" w:w="3024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Custom integration destroys margin</w:t>
            </w:r>
          </w:p>
        </w:tc>
        <w:tc>
          <w:tcPr>
            <w:tcW w:type="dxa" w:w="7272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Versioned action contracts, supported combinations and stop rules for bespoke work</w:t>
            </w:r>
          </w:p>
        </w:tc>
      </w:tr>
      <w:tr>
        <w:trPr>
          <w:cantSplit/>
        </w:trPr>
        <w:tc>
          <w:tcPr>
            <w:tcW w:type="dxa" w:w="3024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Interview evidence is too narrow</w:t>
            </w:r>
          </w:p>
        </w:tc>
        <w:tc>
          <w:tcPr>
            <w:tcW w:type="dxa" w:w="7272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Disclose 4/8; avoid saturation and buyer claims; treat ICP and first workflow as hypotheses</w:t>
            </w:r>
          </w:p>
        </w:tc>
      </w:tr>
    </w:tbl>
    <w:p>
      <w:pPr>
        <w:spacing w:after="0"/>
      </w:pPr>
    </w:p>
    <w:p>
      <w:pPr>
        <w:pStyle w:val="Heading2"/>
      </w:pPr>
      <w:r>
        <w:t>Interview decision gates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3528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2520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Threshold</w:t>
            </w:r>
          </w:p>
        </w:tc>
        <w:tc>
          <w:tcPr>
            <w:tcW w:type="dxa" w:w="1584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Observed</w:t>
            </w:r>
          </w:p>
        </w:tc>
        <w:tc>
          <w:tcPr>
            <w:tcW w:type="dxa" w:w="2664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3528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Same repeated workflow</w:t>
            </w:r>
          </w:p>
        </w:tc>
        <w:tc>
          <w:tcPr>
            <w:tcW w:type="dxa" w:w="252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≥4 participants</w:t>
            </w:r>
          </w:p>
        </w:tc>
        <w:tc>
          <w:tcPr>
            <w:tcW w:type="dxa" w:w="1584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2</w:t>
            </w:r>
          </w:p>
        </w:tc>
        <w:tc>
          <w:tcPr>
            <w:tcW w:type="dxa" w:w="2664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Not met</w:t>
            </w:r>
          </w:p>
        </w:tc>
      </w:tr>
      <w:tr>
        <w:trPr>
          <w:cantSplit/>
        </w:trPr>
        <w:tc>
          <w:tcPr>
            <w:tcW w:type="dxa" w:w="3528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Measurable impact for leading workflow</w:t>
            </w:r>
          </w:p>
        </w:tc>
        <w:tc>
          <w:tcPr>
            <w:tcW w:type="dxa" w:w="2520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≥3 participants</w:t>
            </w:r>
          </w:p>
        </w:tc>
        <w:tc>
          <w:tcPr>
            <w:tcW w:type="dxa" w:w="1584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1</w:t>
            </w:r>
          </w:p>
        </w:tc>
        <w:tc>
          <w:tcPr>
            <w:tcW w:type="dxa" w:w="2664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Not met</w:t>
            </w:r>
          </w:p>
        </w:tc>
      </w:tr>
      <w:tr>
        <w:trPr>
          <w:cantSplit/>
        </w:trPr>
        <w:tc>
          <w:tcPr>
            <w:tcW w:type="dxa" w:w="3528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Native tool insufficient</w:t>
            </w:r>
          </w:p>
        </w:tc>
        <w:tc>
          <w:tcPr>
            <w:tcW w:type="dxa" w:w="252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≥3 participants</w:t>
            </w:r>
          </w:p>
        </w:tc>
        <w:tc>
          <w:tcPr>
            <w:tcW w:type="dxa" w:w="1584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2</w:t>
            </w:r>
          </w:p>
        </w:tc>
        <w:tc>
          <w:tcPr>
            <w:tcW w:type="dxa" w:w="2664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Not met</w:t>
            </w:r>
          </w:p>
        </w:tc>
      </w:tr>
      <w:tr>
        <w:trPr>
          <w:cantSplit/>
        </w:trPr>
        <w:tc>
          <w:tcPr>
            <w:tcW w:type="dxa" w:w="3528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Strong pilot interest</w:t>
            </w:r>
          </w:p>
        </w:tc>
        <w:tc>
          <w:tcPr>
            <w:tcW w:type="dxa" w:w="2520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≥2 participants</w:t>
            </w:r>
          </w:p>
        </w:tc>
        <w:tc>
          <w:tcPr>
            <w:tcW w:type="dxa" w:w="1584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0</w:t>
            </w:r>
          </w:p>
        </w:tc>
        <w:tc>
          <w:tcPr>
            <w:tcW w:type="dxa" w:w="2664"/>
            <w:shd w:fill="F5F7F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Not met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10080"/>
      </w:tblGrid>
      <w:tr>
        <w:trPr>
          <w:cantSplit/>
        </w:trPr>
        <w:tc>
          <w:tcPr>
            <w:tcW w:type="dxa" w:w="5141"/>
            <w:shd w:fill="A33A2B"/>
          </w:tcPr>
          <w:p/>
        </w:tc>
        <w:tc>
          <w:tcPr>
            <w:tcW w:type="dxa" w:w="5141"/>
            <w:shd w:fill="FCEDE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A33A2B"/>
                <w:sz w:val="16"/>
              </w:rPr>
              <w:t>FINAL BOUNDARY</w:t>
            </w:r>
          </w:p>
          <w:p>
            <w:pPr>
              <w:spacing w:after="0"/>
            </w:pPr>
            <w:r>
              <w:rPr>
                <w:rFonts w:ascii="Aptos" w:hAnsi="Aptos"/>
                <w:color w:val="17202A"/>
                <w:sz w:val="18"/>
              </w:rPr>
              <w:t>This submission recommends a direction under time and sample constraints. It does not claim a validated ICP, statistically representative demand, a confirmed buyer, willingness to pay, or a proven moat.</w:t>
            </w:r>
          </w:p>
        </w:tc>
      </w:tr>
    </w:tbl>
    <w:p>
      <w:pPr>
        <w:spacing w:after="0"/>
      </w:pPr>
    </w:p>
    <w:p>
      <w:pPr>
        <w:pStyle w:val="Heading2"/>
      </w:pPr>
      <w:r>
        <w:t>Video link</w:t>
      </w:r>
    </w:p>
    <w:p>
      <w:pPr>
        <w:keepNext w:val="0"/>
        <w:spacing w:after="80"/>
      </w:pPr>
      <w:r>
        <w:rPr>
          <w:rFonts w:ascii="Aptos" w:hAnsi="Aptos"/>
          <w:color w:val="A33A2B"/>
        </w:rPr>
        <w:t>Add the Loom or Google Drive URL here before upload: ______________________________________________</w:t>
      </w:r>
    </w:p>
    <w:p>
      <w:pPr>
        <w:spacing w:after="0"/>
      </w:pPr>
      <w:r>
        <w:br w:type="page"/>
      </w:r>
    </w:p>
    <w:p>
      <w:pPr>
        <w:spacing w:after="20"/>
      </w:pPr>
      <w:r>
        <w:rPr>
          <w:rFonts w:ascii="Aptos" w:hAnsi="Aptos"/>
          <w:b/>
          <w:color w:val="D99A2B"/>
          <w:sz w:val="15"/>
        </w:rPr>
        <w:t>REFERENCES</w:t>
      </w:r>
    </w:p>
    <w:p>
      <w:pPr>
        <w:pStyle w:val="Heading1"/>
      </w:pPr>
      <w:r>
        <w:t>12  Selected sources and research record</w:t>
      </w:r>
    </w:p>
    <w:p>
      <w:pPr>
        <w:spacing w:after="140"/>
        <w:pBdr>
          <w:bottom w:val="single" w:sz="8" w:space="2" w:color="2D6A9F"/>
        </w:pBdr>
      </w:pPr>
    </w:p>
    <w:p>
      <w:pPr>
        <w:spacing w:after="60"/>
        <w:ind w:left="115"/>
      </w:pPr>
      <w:hyperlink r:id="rId10">
        <w:r>
          <w:rPr>
            <w:color w:val="2D6A9F"/>
            <w:u w:val="single"/>
            <w:rFonts w:ascii="Aptos" w:hAnsi="Aptos"/>
            <w:sz w:val="17"/>
          </w:rPr>
          <w:t>[1] Fortune Business Insights — Contact Center Software Market</w:t>
        </w:r>
      </w:hyperlink>
    </w:p>
    <w:p>
      <w:pPr>
        <w:spacing w:after="60"/>
        <w:ind w:left="115"/>
      </w:pPr>
      <w:hyperlink r:id="rId11">
        <w:r>
          <w:rPr>
            <w:color w:val="2D6A9F"/>
            <w:u w:val="single"/>
            <w:rFonts w:ascii="Aptos" w:hAnsi="Aptos"/>
            <w:sz w:val="17"/>
          </w:rPr>
          <w:t>[2] Grand View Research — Contact Center Software Market</w:t>
        </w:r>
      </w:hyperlink>
    </w:p>
    <w:p>
      <w:pPr>
        <w:spacing w:after="60"/>
        <w:ind w:left="115"/>
      </w:pPr>
      <w:hyperlink r:id="rId12">
        <w:r>
          <w:rPr>
            <w:color w:val="2D6A9F"/>
            <w:u w:val="single"/>
            <w:rFonts w:ascii="Aptos" w:hAnsi="Aptos"/>
            <w:sz w:val="17"/>
          </w:rPr>
          <w:t>[3] Intercom — 2026 Customer Service Transformation Report</w:t>
        </w:r>
      </w:hyperlink>
    </w:p>
    <w:p>
      <w:pPr>
        <w:spacing w:after="60"/>
        <w:ind w:left="115"/>
      </w:pPr>
      <w:hyperlink r:id="rId13">
        <w:r>
          <w:rPr>
            <w:color w:val="2D6A9F"/>
            <w:u w:val="single"/>
            <w:rFonts w:ascii="Aptos" w:hAnsi="Aptos"/>
            <w:sz w:val="17"/>
          </w:rPr>
          <w:t>[4] Freshworks — Customer Service Benchmark / AI ROI</w:t>
        </w:r>
      </w:hyperlink>
    </w:p>
    <w:p>
      <w:pPr>
        <w:spacing w:after="60"/>
        <w:ind w:left="115"/>
      </w:pPr>
      <w:hyperlink r:id="rId14">
        <w:r>
          <w:rPr>
            <w:color w:val="2D6A9F"/>
            <w:u w:val="single"/>
            <w:rFonts w:ascii="Aptos" w:hAnsi="Aptos"/>
            <w:sz w:val="17"/>
          </w:rPr>
          <w:t>[5] Gartner — Customer-service technology priorities</w:t>
        </w:r>
      </w:hyperlink>
    </w:p>
    <w:p>
      <w:pPr>
        <w:spacing w:after="60"/>
        <w:ind w:left="115"/>
      </w:pPr>
      <w:hyperlink r:id="rId15">
        <w:r>
          <w:rPr>
            <w:color w:val="2D6A9F"/>
            <w:u w:val="single"/>
            <w:rFonts w:ascii="Aptos" w:hAnsi="Aptos"/>
            <w:sz w:val="17"/>
          </w:rPr>
          <w:t>[6] Salesforce — Seventh State of Service</w:t>
        </w:r>
      </w:hyperlink>
    </w:p>
    <w:p>
      <w:pPr>
        <w:spacing w:after="60"/>
        <w:ind w:left="115"/>
      </w:pPr>
      <w:hyperlink r:id="rId16">
        <w:r>
          <w:rPr>
            <w:color w:val="2D6A9F"/>
            <w:u w:val="single"/>
            <w:rFonts w:ascii="Aptos" w:hAnsi="Aptos"/>
            <w:sz w:val="17"/>
          </w:rPr>
          <w:t>[7] Intercom — Pricing and Fin Procedures</w:t>
        </w:r>
      </w:hyperlink>
    </w:p>
    <w:p>
      <w:pPr>
        <w:spacing w:after="60"/>
        <w:ind w:left="115"/>
      </w:pPr>
      <w:hyperlink r:id="rId17">
        <w:r>
          <w:rPr>
            <w:color w:val="2D6A9F"/>
            <w:u w:val="single"/>
            <w:rFonts w:ascii="Aptos" w:hAnsi="Aptos"/>
            <w:sz w:val="17"/>
          </w:rPr>
          <w:t>[8] Zendesk — AI Agents for Customer Service</w:t>
        </w:r>
      </w:hyperlink>
    </w:p>
    <w:p>
      <w:pPr>
        <w:spacing w:after="60"/>
        <w:ind w:left="115"/>
      </w:pPr>
      <w:hyperlink r:id="rId18">
        <w:r>
          <w:rPr>
            <w:color w:val="2D6A9F"/>
            <w:u w:val="single"/>
            <w:rFonts w:ascii="Aptos" w:hAnsi="Aptos"/>
            <w:sz w:val="17"/>
          </w:rPr>
          <w:t>[9] Freshworks — Freshdesk integrations and pricing</w:t>
        </w:r>
      </w:hyperlink>
    </w:p>
    <w:p>
      <w:pPr>
        <w:spacing w:after="60"/>
        <w:ind w:left="115"/>
      </w:pPr>
      <w:hyperlink r:id="rId19">
        <w:r>
          <w:rPr>
            <w:color w:val="2D6A9F"/>
            <w:u w:val="single"/>
            <w:rFonts w:ascii="Aptos" w:hAnsi="Aptos"/>
            <w:sz w:val="17"/>
          </w:rPr>
          <w:t>[10] Salesforce Trailhead — Data and AI guardrails</w:t>
        </w:r>
      </w:hyperlink>
    </w:p>
    <w:p>
      <w:pPr>
        <w:spacing w:after="60"/>
        <w:ind w:left="115"/>
      </w:pPr>
      <w:hyperlink r:id="rId20">
        <w:r>
          <w:rPr>
            <w:color w:val="2D6A9F"/>
            <w:u w:val="single"/>
            <w:rFonts w:ascii="Aptos" w:hAnsi="Aptos"/>
            <w:sz w:val="17"/>
          </w:rPr>
          <w:t>[11] Brynjolfsson, Li &amp; Raymond — Generative AI at Work</w:t>
        </w:r>
      </w:hyperlink>
    </w:p>
    <w:p>
      <w:pPr>
        <w:spacing w:after="60"/>
        <w:ind w:left="115"/>
      </w:pPr>
      <w:hyperlink r:id="rId21">
        <w:r>
          <w:rPr>
            <w:color w:val="2D6A9F"/>
            <w:u w:val="single"/>
            <w:rFonts w:ascii="Aptos" w:hAnsi="Aptos"/>
            <w:sz w:val="17"/>
          </w:rPr>
          <w:t>[12] Gupta et al. — Customer Support AI Agents at 100M-user Scale</w:t>
        </w:r>
      </w:hyperlink>
    </w:p>
    <w:p>
      <w:pPr>
        <w:pStyle w:val="Heading2"/>
      </w:pPr>
      <w:r>
        <w:t>Complete research record</w:t>
      </w:r>
    </w:p>
    <w:p>
      <w:pPr>
        <w:keepNext w:val="0"/>
        <w:spacing w:after="80"/>
      </w:pPr>
      <w:r>
        <w:rPr>
          <w:rFonts w:ascii="Aptos" w:hAnsi="Aptos"/>
          <w:sz w:val="17"/>
        </w:rPr>
        <w:t>The working repository contains the complete 65-source register, 91 claim-level evidence rows, source strength and bias labels, competitor mappings, anonymized interview notes, synthesis gates and an editable tracker.</w:t>
      </w:r>
    </w:p>
    <w:p>
      <w:pPr>
        <w:keepNext w:val="0"/>
        <w:spacing w:after="80"/>
      </w:pPr>
      <w:r>
        <w:rPr>
          <w:rFonts w:ascii="Aptos" w:hAnsi="Aptos"/>
          <w:color w:val="5B6573"/>
          <w:sz w:val="17"/>
        </w:rPr>
        <w:t>Counts: 91 evidence records → 56 linked sources → 65-source register. Public and interview evidence are stored separately.</w:t>
      </w:r>
    </w:p>
    <w:p>
      <w:pPr>
        <w:pStyle w:val="Heading2"/>
      </w:pPr>
      <w:r>
        <w:t>Submission checklist</w:t>
      </w:r>
    </w:p>
    <w:p>
      <w:pPr>
        <w:pStyle w:val="ListBullet"/>
        <w:spacing w:after="40"/>
        <w:ind w:left="317" w:hanging="173"/>
      </w:pPr>
      <w:r>
        <w:rPr>
          <w:rFonts w:ascii="Aptos" w:hAnsi="Aptos"/>
          <w:color w:val="17202A"/>
          <w:sz w:val="16"/>
        </w:rPr>
        <w:t>PDF visually checked; no fabricated quotes or participant identities.</w:t>
      </w:r>
    </w:p>
    <w:p>
      <w:pPr>
        <w:pStyle w:val="ListBullet"/>
        <w:spacing w:after="40"/>
        <w:ind w:left="317" w:hanging="173"/>
      </w:pPr>
      <w:r>
        <w:rPr>
          <w:rFonts w:ascii="Aptos" w:hAnsi="Aptos"/>
          <w:color w:val="17202A"/>
          <w:sz w:val="16"/>
        </w:rPr>
        <w:t>Interview diversity limitation and all unknowns disclosed.</w:t>
      </w:r>
    </w:p>
    <w:p>
      <w:pPr>
        <w:pStyle w:val="ListBullet"/>
        <w:spacing w:after="40"/>
        <w:ind w:left="317" w:hanging="173"/>
      </w:pPr>
      <w:r>
        <w:rPr>
          <w:rFonts w:ascii="Aptos" w:hAnsi="Aptos"/>
          <w:color w:val="17202A"/>
          <w:sz w:val="16"/>
        </w:rPr>
        <w:t>Competitor capabilities represented as current product claims, not outcome proof.</w:t>
      </w:r>
    </w:p>
    <w:p>
      <w:pPr>
        <w:pStyle w:val="ListBullet"/>
        <w:spacing w:after="40"/>
        <w:ind w:left="317" w:hanging="173"/>
      </w:pPr>
      <w:r>
        <w:rPr>
          <w:rFonts w:ascii="Aptos" w:hAnsi="Aptos"/>
          <w:color w:val="17202A"/>
          <w:sz w:val="16"/>
        </w:rPr>
        <w:t>Before upload: record the under-five-minute video, paste its working URL in the Video link section on PDF page 12, regenerate the PDF, and open the link in a private browser window.</w:t>
      </w:r>
    </w:p>
    <w:sectPr w:rsidR="00FC693F" w:rsidRPr="0006063C" w:rsidSect="00034616">
      <w:footerReference w:type="default" r:id="rId9"/>
      <w:pgSz w:w="12240" w:h="15840"/>
      <w:pgMar w:top="893" w:right="979" w:bottom="835" w:left="979" w:header="360" w:footer="36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5B6573"/>
        <w:sz w:val="14"/>
      </w:rPr>
      <w:t xml:space="preserve">AIRTRIBE B2B PRODUCT STRATEGY  • 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17202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D6A9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ptos Display" w:hAnsi="Aptos Display"/>
      <w:b w:val="0"/>
      <w:i/>
      <w:iCs/>
      <w:color w:val="2D6A9F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fortunebusinessinsights.com/industry-reports/contact-center-software-market-100840" TargetMode="External"/><Relationship Id="rId11" Type="http://schemas.openxmlformats.org/officeDocument/2006/relationships/hyperlink" Target="https://www.grandviewresearch.com/industry-analysis/contact-center-software-market" TargetMode="External"/><Relationship Id="rId12" Type="http://schemas.openxmlformats.org/officeDocument/2006/relationships/hyperlink" Target="https://www.intercom.com/customer-transformation-report" TargetMode="External"/><Relationship Id="rId13" Type="http://schemas.openxmlformats.org/officeDocument/2006/relationships/hyperlink" Target="https://www.freshworks.com/theworks/customer-experience/freshworks-customer-service-benchmark-report-2024/" TargetMode="External"/><Relationship Id="rId14" Type="http://schemas.openxmlformats.org/officeDocument/2006/relationships/hyperlink" Target="https://www.gartner.com/en/newsroom/press-releases/2025-08-27-gartner-survey-finds-self-service-and-live-chat-will-surpass-traditional-channels-as-top-customer-service-technologies-by-2027" TargetMode="External"/><Relationship Id="rId15" Type="http://schemas.openxmlformats.org/officeDocument/2006/relationships/hyperlink" Target="https://www.salesforce.com/in/news/stories/state-of-service-report-announcement-2025/" TargetMode="External"/><Relationship Id="rId16" Type="http://schemas.openxmlformats.org/officeDocument/2006/relationships/hyperlink" Target="https://www.intercom.com/help/en/articles/12495167-fin-procedures-explained" TargetMode="External"/><Relationship Id="rId17" Type="http://schemas.openxmlformats.org/officeDocument/2006/relationships/hyperlink" Target="https://www.zendesk.com/service/ai/ai-agents/" TargetMode="External"/><Relationship Id="rId18" Type="http://schemas.openxmlformats.org/officeDocument/2006/relationships/hyperlink" Target="https://www.freshworks.com/freshdesk/integrations/" TargetMode="External"/><Relationship Id="rId19" Type="http://schemas.openxmlformats.org/officeDocument/2006/relationships/hyperlink" Target="https://trailhead.salesforce.com/content/learn/modules/data-cloud-powered-agentforce/enable-trusted-agents-with-data-cloud" TargetMode="External"/><Relationship Id="rId20" Type="http://schemas.openxmlformats.org/officeDocument/2006/relationships/hyperlink" Target="https://academic.oup.com/qje/article/140/2/889/7990658" TargetMode="External"/><Relationship Id="rId21" Type="http://schemas.openxmlformats.org/officeDocument/2006/relationships/hyperlink" Target="https://arxiv.org/abs/2606.0886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Airtribe B2B Product Strategy — Trusted Workflow Completion</dc:title>
  <dc:subject>Evidence-limited 2–3 year product strategy for AI-powered Customer Operations</dc:subject>
  <dc:creator>python-docx</dc:creator>
  <cp:keywords/>
  <dc:description>Prepared from public research and four anonymized interviews; limitations disclosed.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