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Sovereign AI at Scale: Cutting Inference Cost by 30%+ with llm-d on Heterogeneous Clusters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X204ae4082c8394d1b63a86c65e8621cacb6cb01"/>
    <w:p>
      <w:pPr>
        <w:pStyle w:val="Heading1"/>
      </w:pPr>
      <w:r>
        <w:t xml:space="preserve">Sovereign AI at Scale: Cutting Inference Cost by 30%+ with llm-d on Heterogeneous Clusters</w:t>
      </w:r>
    </w:p>
    <w:p>
      <w:pPr>
        <w:pStyle w:val="FirstParagraph"/>
      </w:pPr>
      <w:r>
        <w:rPr>
          <w:i/>
          <w:iCs/>
        </w:rPr>
        <w:t xml:space="preserve">A joint proof-of-concept by IBM Research, Red Hat, and NxtGen Cloud Technologies, India.</w:t>
      </w:r>
    </w:p>
    <w:bookmarkStart w:id="9" w:name="why-this-matters-now"/>
    <w:p>
      <w:pPr>
        <w:pStyle w:val="Heading2"/>
      </w:pPr>
      <w:r>
        <w:t xml:space="preserve">Why this matters now</w:t>
      </w:r>
    </w:p>
    <w:p>
      <w:pPr>
        <w:pStyle w:val="FirstParagraph"/>
      </w:pPr>
      <w:r>
        <w:t xml:space="preserve">As enterprises and governments deploy large language models at scale,</w:t>
      </w:r>
      <w:r>
        <w:t xml:space="preserve"> </w:t>
      </w:r>
      <w:r>
        <w:rPr>
          <w:b/>
          <w:bCs/>
        </w:rPr>
        <w:t xml:space="preserve">on-premises and sovereign AI is becoming a strategic imperative</w:t>
      </w:r>
      <w:r>
        <w:t xml:space="preserve"> </w:t>
      </w:r>
      <w:r>
        <w:t xml:space="preserve">— driven by data residency mandates, regulatory frameworks, the need for greater control over core business operations, air-gapped security for sensitive workloads, and the long-term economics of hosting high-volume inference traffic on sovereign and neo-clouds.</w:t>
      </w:r>
    </w:p>
    <w:p>
      <w:pPr>
        <w:pStyle w:val="BodyText"/>
      </w:pPr>
      <w:r>
        <w:t xml:space="preserve">Yet the operational reality is hard: enterprises struggle with</w:t>
      </w:r>
      <w:r>
        <w:t xml:space="preserve"> </w:t>
      </w:r>
      <w:r>
        <w:rPr>
          <w:b/>
          <w:bCs/>
        </w:rPr>
        <w:t xml:space="preserve">underutilized GPUs, rising inference costs, and high latency</w:t>
      </w:r>
      <w:r>
        <w:t xml:space="preserve"> </w:t>
      </w:r>
      <w:r>
        <w:t xml:space="preserve">from monolithic pipelines, while being locked into single cloud and GPU stacks. Expensive hardware is overused for peak loads while cheaper compute sits idle. Production clusters are rarely homogeneous — they span NVIDIA, AMD, Intel, and other accelerator vendors, and span multiple generations of hardware acquired across procurement cycles. Treating this</w:t>
      </w:r>
      <w:r>
        <w:t xml:space="preserve"> </w:t>
      </w:r>
      <w:r>
        <w:rPr>
          <w:b/>
          <w:bCs/>
        </w:rPr>
        <w:t xml:space="preserve">heterogeneity as a first-class advantage rather than an operational liability</w:t>
      </w:r>
      <w:r>
        <w:t xml:space="preserve"> </w:t>
      </w:r>
      <w:r>
        <w:t xml:space="preserve">unlocks real value: lower-cost accelerators absorb prefill-heavy or batch-tolerant workloads, premium hardware is reserved for latency-sensitive paths, stranded capacity gets reclaimed, and the organization avoids single-vendor lock-in at the infrastructure layer.</w:t>
      </w:r>
    </w:p>
    <w:bookmarkEnd w:id="9"/>
    <w:bookmarkStart w:id="10" w:name="the-proof-point"/>
    <w:p>
      <w:pPr>
        <w:pStyle w:val="Heading2"/>
      </w:pPr>
      <w:r>
        <w:t xml:space="preserve">The proof point</w:t>
      </w:r>
    </w:p>
    <w:p>
      <w:pPr>
        <w:pStyle w:val="FirstParagraph"/>
      </w:pPr>
      <w:r>
        <w:rPr>
          <w:b/>
          <w:bCs/>
        </w:rPr>
        <w:t xml:space="preserve">IBM Research, Red Hat, and NxtGen Cloud Technologies</w:t>
      </w:r>
      <w:r>
        <w:t xml:space="preserve"> </w:t>
      </w:r>
      <w:r>
        <w:t xml:space="preserve">came together on NxtGen’s sovereign cloud to put this thesis under pressure: can a single Kubernetes-native serving layer take a heterogeneous fleet of NVIDIA, AMD, and Intel accelerators and deliver state-of-the-art performance — without the application ever knowing what it’s running on?</w:t>
      </w:r>
    </w:p>
    <w:p>
      <w:pPr>
        <w:pStyle w:val="BodyText"/>
      </w:pPr>
      <w:r>
        <w:t xml:space="preserve">The serving layer is</w:t>
      </w:r>
      <w:r>
        <w:t xml:space="preserve"> </w:t>
      </w:r>
      <w:r>
        <w:rPr>
          <w:b/>
          <w:bCs/>
        </w:rPr>
        <w:t xml:space="preserve">llm-d</w:t>
      </w:r>
      <w:r>
        <w:t xml:space="preserve">, an open-source CNCF-sandbox project that pairs vLLM (high-performance inference engine) with a Kubernetes-native control plane. llm-d delivers three capabilities that together make heterogeneous inference clusters practical at scale: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Prefix-Cache-Aware Scheduling</w:t>
      </w:r>
      <w:r>
        <w:t xml:space="preserve"> </w:t>
      </w:r>
      <w:r>
        <w:t xml:space="preserve">— routes each request to the GPU most likely to already hold the relevant KV cache in memory, dramatically cutting redundant computation.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Prefill/Decode (P/D) Disaggregation</w:t>
      </w:r>
      <w:r>
        <w:t xml:space="preserve"> </w:t>
      </w:r>
      <w:r>
        <w:t xml:space="preserve">— separates the compute-heavy prefill phase from the memory-bandwidth-heavy decode phase onto dedicated pools, eliminating resource contention.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Hardware-Agnostic Operation</w:t>
      </w:r>
      <w:r>
        <w:t xml:space="preserve"> </w:t>
      </w:r>
      <w:r>
        <w:t xml:space="preserve">— presents a single API endpoint regardless of whether the request lands on an NVIDIA H100, AMD MI325X, or Intel Gaudi3, enabling true multi-vendor clusters with no application changes.</w:t>
      </w:r>
    </w:p>
    <w:p>
      <w:pPr>
        <w:pStyle w:val="FirstParagraph"/>
      </w:pPr>
      <w:r>
        <w:t xml:space="preserve">We built a 20-GPU heterogeneous pool spanning</w:t>
      </w:r>
      <w:r>
        <w:t xml:space="preserve"> </w:t>
      </w:r>
      <w:r>
        <w:rPr>
          <w:b/>
          <w:bCs/>
        </w:rPr>
        <w:t xml:space="preserve">4× NVIDIA H100-NVL + 8× AMD MI325X + 8× Intel Gaudi3</w:t>
      </w:r>
      <w:r>
        <w:t xml:space="preserve"> </w:t>
      </w:r>
      <w:r>
        <w:t xml:space="preserve">on NxtGen’s sovereign infrastructure, served</w:t>
      </w:r>
      <w:r>
        <w:t xml:space="preserve"> </w:t>
      </w:r>
      <w:r>
        <w:rPr>
          <w:rStyle w:val="VerbatimChar"/>
        </w:rPr>
        <w:t xml:space="preserve">granite-4.1-8b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sarvam-30b</w:t>
      </w:r>
      <w:r>
        <w:t xml:space="preserve"> </w:t>
      </w:r>
      <w:r>
        <w:t xml:space="preserve">(multilingual MoE) on it, and compared llm-d against plain Kubernetes round-robin under a realistic prefill-heavy workload (long shared system prompts plus short questions — typical of RAG, citizen services, and chat).</w:t>
      </w:r>
    </w:p>
    <w:bookmarkEnd w:id="10"/>
    <w:bookmarkStart w:id="15" w:name="headline-results"/>
    <w:p>
      <w:pPr>
        <w:pStyle w:val="Heading2"/>
      </w:pPr>
      <w:r>
        <w:t xml:space="preserve">Headline results</w:t>
      </w:r>
    </w:p>
    <w:p>
      <w:pPr>
        <w:pStyle w:val="FirstParagraph"/>
      </w:pPr>
      <w:r>
        <w:t xml:space="preserve">Across every pool we tested — single-vendor and heterogeneous — llm-d’s prefix-cache-aware routing</w:t>
      </w:r>
      <w:r>
        <w:t xml:space="preserve"> </w:t>
      </w:r>
      <w:r>
        <w:rPr>
          <w:b/>
          <w:bCs/>
        </w:rPr>
        <w:t xml:space="preserve">consistently and significantly beat plain Kubernetes round-robin</w:t>
      </w:r>
      <w:r>
        <w:t xml:space="preserve"> </w:t>
      </w:r>
      <w:r>
        <w:t xml:space="preserve">on both throughput and time-to-first-token (TTFT):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Pool</w:t>
            </w:r>
          </w:p>
        </w:tc>
        <w:tc>
          <w:tcPr/>
          <w:p>
            <w:pPr>
              <w:pStyle w:val="Compact"/>
            </w:pPr>
            <w:r>
              <w:t xml:space="preserve">Throughput edge (llm-d vs k8s)</w:t>
            </w:r>
          </w:p>
        </w:tc>
        <w:tc>
          <w:tcPr/>
          <w:p>
            <w:pPr>
              <w:pStyle w:val="Compact"/>
            </w:pPr>
            <w:r>
              <w:t xml:space="preserve">TTFT edge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4× NVIDIA H100</w:t>
            </w:r>
          </w:p>
        </w:tc>
        <w:tc>
          <w:tcPr/>
          <w:p>
            <w:pPr>
              <w:pStyle w:val="Compact"/>
            </w:pPr>
            <w:r>
              <w:t xml:space="preserve">+25–36%</w:t>
            </w:r>
          </w:p>
        </w:tc>
        <w:tc>
          <w:tcPr/>
          <w:p>
            <w:pPr>
              <w:pStyle w:val="Compact"/>
            </w:pPr>
            <w:r>
              <w:t xml:space="preserve">16×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8× AMD MI325X</w:t>
            </w:r>
          </w:p>
        </w:tc>
        <w:tc>
          <w:tcPr/>
          <w:p>
            <w:pPr>
              <w:pStyle w:val="Compact"/>
            </w:pPr>
            <w:r>
              <w:t xml:space="preserve">+79%</w:t>
            </w:r>
          </w:p>
        </w:tc>
        <w:tc>
          <w:tcPr/>
          <w:p>
            <w:pPr>
              <w:pStyle w:val="Compact"/>
            </w:pPr>
            <w:r>
              <w:t xml:space="preserve">21×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8× Intel Gaudi3</w:t>
            </w:r>
          </w:p>
        </w:tc>
        <w:tc>
          <w:tcPr/>
          <w:p>
            <w:pPr>
              <w:pStyle w:val="Compact"/>
            </w:pPr>
            <w:r>
              <w:t xml:space="preserve">+34%</w:t>
            </w:r>
          </w:p>
        </w:tc>
        <w:tc>
          <w:tcPr/>
          <w:p>
            <w:pPr>
              <w:pStyle w:val="Compact"/>
            </w:pPr>
            <w:r>
              <w:t xml:space="preserve">18×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 GPUs (NVIDIA + AMD)</w:t>
            </w:r>
          </w:p>
        </w:tc>
        <w:tc>
          <w:tcPr/>
          <w:p>
            <w:pPr>
              <w:pStyle w:val="Compact"/>
            </w:pPr>
            <w:r>
              <w:t xml:space="preserve">+85%</w:t>
            </w:r>
          </w:p>
        </w:tc>
        <w:tc>
          <w:tcPr/>
          <w:p>
            <w:pPr>
              <w:pStyle w:val="Compact"/>
            </w:pPr>
            <w:r>
              <w:t xml:space="preserve">3.4–5.6×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 GPUs (NVIDIA + AMD + Gaudi)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+91% at peak load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5.4×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win grows with heterogeneity.</w:t>
      </w:r>
      <w:r>
        <w:t xml:space="preserve"> </w:t>
      </w:r>
      <w:r>
        <w:t xml:space="preserve">Round-robin spreads requests evenly regardless of pod speed, so a single slow vendor becomes a queueing sink that drags total throughput down. llm-d’s prefix-cache-aware scheduler routes around saturated pods and concentrates cache hits on warm ones, so heterogeneity is no longer a penalty.</w:t>
      </w:r>
    </w:p>
    <w:p>
      <w:pPr>
        <w:pStyle w:val="CaptionedFigure"/>
      </w:pPr>
      <w:r>
        <w:drawing>
          <wp:inline>
            <wp:extent cx="5334000" cy="1968700"/>
            <wp:effectExtent b="0" l="0" r="0" t="0"/>
            <wp:docPr descr="20-pod 3-vendor pool — llm-d vs k8s round-robin" title="" id="12" name="Picture"/>
            <a:graphic>
              <a:graphicData uri="http://schemas.openxmlformats.org/drawingml/2006/picture">
                <pic:pic>
                  <pic:nvPicPr>
                    <pic:cNvPr descr="4.2/mixed-3vendor-granite/benchmark/comparison_3vendor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8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20-pod 3-vendor pool — llm-d vs k8s round-robin</w:t>
      </w:r>
    </w:p>
    <w:p>
      <w:pPr>
        <w:pStyle w:val="BodyText"/>
      </w:pPr>
      <w:r>
        <w:t xml:space="preserve">On the 20-pod 3-vendor pool, plain Kubernetes saturates at ~9.6 K output tokens/sec at moderate load and</w:t>
      </w:r>
      <w:r>
        <w:t xml:space="preserve"> </w:t>
      </w:r>
      <w:r>
        <w:rPr>
          <w:i/>
          <w:iCs/>
        </w:rPr>
        <w:t xml:space="preserve">declines</w:t>
      </w:r>
      <w:r>
        <w:t xml:space="preserve"> </w:t>
      </w:r>
      <w:r>
        <w:t xml:space="preserve">to 7.5 K under heavier traffic as queue depth dominates. llm-d keeps scaling cleanly to</w:t>
      </w:r>
      <w:r>
        <w:t xml:space="preserve"> </w:t>
      </w:r>
      <w:r>
        <w:rPr>
          <w:b/>
          <w:bCs/>
        </w:rPr>
        <w:t xml:space="preserve">14.2 K output tokens/sec</w:t>
      </w:r>
      <w:r>
        <w:t xml:space="preserve"> </w:t>
      </w:r>
      <w:r>
        <w:t xml:space="preserve">— and end-user TTFT at peak load drops from 36 seconds with k8s to under 7 seconds with llm-d.</w:t>
      </w:r>
    </w:p>
    <w:bookmarkStart w:id="14" w:name="Xc44edf3e3b026e6f5a8118b12f8a52b9d49d854"/>
    <w:p>
      <w:pPr>
        <w:pStyle w:val="Heading3"/>
      </w:pPr>
      <w:r>
        <w:t xml:space="preserve">Prefill/Decode disaggregation: dramatically smoother latency under load</w:t>
      </w:r>
    </w:p>
    <w:p>
      <w:pPr>
        <w:pStyle w:val="FirstParagraph"/>
      </w:pPr>
      <w:r>
        <w:t xml:space="preserve">LLM inference has two very different phases:</w:t>
      </w:r>
      <w:r>
        <w:t xml:space="preserve"> </w:t>
      </w:r>
      <w:r>
        <w:rPr>
          <w:b/>
          <w:bCs/>
        </w:rPr>
        <w:t xml:space="preserve">prefill</w:t>
      </w:r>
      <w:r>
        <w:t xml:space="preserve"> </w:t>
      </w:r>
      <w:r>
        <w:t xml:space="preserve">(compute-bound, processes the prompt in parallel) and</w:t>
      </w:r>
      <w:r>
        <w:t xml:space="preserve"> </w:t>
      </w:r>
      <w:r>
        <w:rPr>
          <w:b/>
          <w:bCs/>
        </w:rPr>
        <w:t xml:space="preserve">decode</w:t>
      </w:r>
      <w:r>
        <w:t xml:space="preserve"> </w:t>
      </w:r>
      <w:r>
        <w:t xml:space="preserve">(memory-bandwidth-bound, generates tokens one at a time). When both share a GPU, a long prefill blocks decode from emitting tokens and spikes time-to-first-token for everyone else on that pod.</w:t>
      </w:r>
      <w:r>
        <w:t xml:space="preserve"> </w:t>
      </w:r>
      <w:r>
        <w:rPr>
          <w:b/>
          <w:bCs/>
        </w:rPr>
        <w:t xml:space="preserve">P/D disaggregation</w:t>
      </w:r>
      <w:r>
        <w:t xml:space="preserve"> </w:t>
      </w:r>
      <w:r>
        <w:t xml:space="preserve">— llm-d’s second core capability — routes the two phases onto separate GPU pools so they no longer collide.</w:t>
      </w:r>
    </w:p>
    <w:p>
      <w:pPr>
        <w:pStyle w:val="BodyText"/>
      </w:pPr>
      <w:r>
        <w:t xml:space="preserve">We benchmarked this on a single 8-GPU AMD MI325X node serving sarvam-30b on a prefill-heavy workload, comparing 4 prefill + 4 decode replicas (P/D) against 8 monolithic vLLM replicas behind a round-robin service. Throughput per dollar lands in the same ballpark, but</w:t>
      </w:r>
      <w:r>
        <w:t xml:space="preserve"> </w:t>
      </w:r>
      <w:r>
        <w:rPr>
          <w:b/>
          <w:bCs/>
        </w:rPr>
        <w:t xml:space="preserve">the tail-latency picture changes completely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At moderate load (rate 75 req/s):</w:t>
      </w:r>
      <w:r>
        <w:t xml:space="preserve"> </w:t>
      </w:r>
      <w:r>
        <w:rPr>
          <w:b/>
          <w:bCs/>
        </w:rPr>
        <w:t xml:space="preserve">TTFT 5× lower</w:t>
      </w:r>
      <w:r>
        <w:t xml:space="preserve"> </w:t>
      </w:r>
      <w:r>
        <w:t xml:space="preserve">with P/D (0.46 s vs 2.4 s).</w:t>
      </w:r>
    </w:p>
    <w:p>
      <w:pPr>
        <w:pStyle w:val="Compact"/>
        <w:numPr>
          <w:ilvl w:val="0"/>
          <w:numId w:val="1002"/>
        </w:numPr>
      </w:pPr>
      <w:r>
        <w:t xml:space="preserve">At saturating load (rate 100):</w:t>
      </w:r>
      <w:r>
        <w:t xml:space="preserve"> </w:t>
      </w:r>
      <w:r>
        <w:rPr>
          <w:b/>
          <w:bCs/>
        </w:rPr>
        <w:t xml:space="preserve">TTFT 8× lower</w:t>
      </w:r>
      <w:r>
        <w:t xml:space="preserve"> </w:t>
      </w:r>
      <w:r>
        <w:t xml:space="preserve">with P/D (0.59 s vs 4.8 s).</w:t>
      </w:r>
    </w:p>
    <w:p>
      <w:pPr>
        <w:pStyle w:val="Compact"/>
        <w:numPr>
          <w:ilvl w:val="0"/>
          <w:numId w:val="1002"/>
        </w:numPr>
      </w:pPr>
      <w:r>
        <w:t xml:space="preserve">Inter-token latency is also 30–50% lower under load — streaming feels noticeably smoother.</w:t>
      </w:r>
    </w:p>
    <w:p>
      <w:pPr>
        <w:pStyle w:val="FirstParagraph"/>
      </w:pPr>
      <w:r>
        <w:t xml:space="preserve">For interactive applications where TTFT is the SLO that matters, P/D turns</w:t>
      </w:r>
      <w:r>
        <w:t xml:space="preserve"> </w:t>
      </w:r>
      <w:r>
        <w:t xml:space="preserve">“the cluster is melting”</w:t>
      </w:r>
      <w:r>
        <w:t xml:space="preserve"> </w:t>
      </w:r>
      <w:r>
        <w:t xml:space="preserve">into</w:t>
      </w:r>
      <w:r>
        <w:t xml:space="preserve"> </w:t>
      </w:r>
      <w:r>
        <w:t xml:space="preserve">“the cluster is fine”</w:t>
      </w:r>
      <w:r>
        <w:t xml:space="preserve"> </w:t>
      </w:r>
      <w:r>
        <w:t xml:space="preserve">without adding hardware.</w:t>
      </w:r>
    </w:p>
    <w:bookmarkEnd w:id="14"/>
    <w:bookmarkEnd w:id="15"/>
    <w:bookmarkStart w:id="16" w:name="what-it-means-in-dollars"/>
    <w:p>
      <w:pPr>
        <w:pStyle w:val="Heading2"/>
      </w:pPr>
      <w:r>
        <w:t xml:space="preserve">What it means in dollars</w:t>
      </w:r>
    </w:p>
    <w:p>
      <w:pPr>
        <w:pStyle w:val="FirstParagraph"/>
      </w:pPr>
      <w:r>
        <w:t xml:space="preserve">Because llm-d squeezes more tokens out of every GPU, you need fewer GPUs to serve the same load.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serving</w:t>
      </w:r>
      <w:r>
        <w:t xml:space="preserve"> </w:t>
      </w:r>
      <w:r>
        <w:rPr>
          <w:rStyle w:val="VerbatimChar"/>
        </w:rPr>
        <w:t xml:space="preserve">granite-4.1-8b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5,000 requests/sec peak</w:t>
      </w:r>
      <w:r>
        <w:t xml:space="preserve"> </w:t>
      </w:r>
      <w:r>
        <w:t xml:space="preserve">— the kind of traffic profile a national-scale citizen-services chatbot or large enterprise RAG application generates: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Plain Kubernetes round-robin:</w:t>
      </w:r>
      <w:r>
        <w:t xml:space="preserve"> </w:t>
      </w:r>
      <w:r>
        <w:t xml:space="preserve">~520 GPUs to keep up.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llm-d:</w:t>
      </w:r>
      <w:r>
        <w:t xml:space="preserve"> </w:t>
      </w:r>
      <w:r>
        <w:t xml:space="preserve">~350 GPUs for the same throughput.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Saving: ~170 GPUs ≈ $3.7 M / year</w:t>
      </w:r>
      <w:r>
        <w:t xml:space="preserve"> </w:t>
      </w:r>
      <w:r>
        <w:t xml:space="preserve">at a representative ~$2.50/GPU-hour blended sovereign rate.</w:t>
      </w:r>
    </w:p>
    <w:p>
      <w:pPr>
        <w:pStyle w:val="FirstParagraph"/>
      </w:pPr>
      <w:r>
        <w:t xml:space="preserve">At a fixed accelerator budget, the same advantage shows up the other way:</w:t>
      </w:r>
      <w:r>
        <w:t xml:space="preserve"> </w:t>
      </w:r>
      <w:r>
        <w:rPr>
          <w:b/>
          <w:bCs/>
        </w:rPr>
        <w:t xml:space="preserve">llm-d serves ~50% more concurrent users with 3–5× faster response time</w:t>
      </w:r>
      <w:r>
        <w:t xml:space="preserve"> </w:t>
      </w:r>
      <w:r>
        <w:t xml:space="preserve">— directly improving the experience without scaling the cluster.</w:t>
      </w:r>
    </w:p>
    <w:bookmarkEnd w:id="16"/>
    <w:bookmarkStart w:id="17" w:name="why-this-matters-for-the-business"/>
    <w:p>
      <w:pPr>
        <w:pStyle w:val="Heading2"/>
      </w:pPr>
      <w:r>
        <w:t xml:space="preserve">Why this matters for the business</w:t>
      </w:r>
    </w:p>
    <w:p>
      <w:pPr>
        <w:pStyle w:val="FirstParagraph"/>
      </w:pPr>
      <w:r>
        <w:t xml:space="preserve">This proof point shows that</w:t>
      </w:r>
      <w:r>
        <w:t xml:space="preserve"> </w:t>
      </w:r>
      <w:r>
        <w:rPr>
          <w:b/>
          <w:bCs/>
        </w:rPr>
        <w:t xml:space="preserve">llm-d can serve as the backbone for AI adoption</w:t>
      </w:r>
      <w:r>
        <w:t xml:space="preserve"> </w:t>
      </w:r>
      <w:r>
        <w:t xml:space="preserve">by enabling sovereign, population-scale deployment on locally hosted, compliant infrastructure while leveraging enterprise-grade open technologies. Concretely, it lets sectors like</w:t>
      </w:r>
      <w:r>
        <w:t xml:space="preserve"> </w:t>
      </w:r>
      <w:r>
        <w:rPr>
          <w:b/>
          <w:bCs/>
        </w:rPr>
        <w:t xml:space="preserve">BFSI, government, telecom, and manufacturing</w:t>
      </w:r>
      <w:r>
        <w:t xml:space="preserve"> </w:t>
      </w:r>
      <w:r>
        <w:t xml:space="preserve">scale GenAI use cases — multilingual citizen services, real-time financial systems, industrial copilots — without prohibitive costs: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 residency, regulatory alignment, and air-gapped security</w:t>
      </w:r>
      <w:r>
        <w:t xml:space="preserve"> </w:t>
      </w:r>
      <w:r>
        <w:t xml:space="preserve">remain intact, because everything runs on locally hosted infrastructure.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Existing GPU investments stop being stranded.</w:t>
      </w:r>
      <w:r>
        <w:t xml:space="preserve"> </w:t>
      </w:r>
      <w:r>
        <w:t xml:space="preserve">Older or alternative-vendor accelerators get reclaimed into productive serving capacity instead of sitting under-utilized.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Single-vendor lock-in evaporates.</w:t>
      </w:r>
      <w:r>
        <w:t xml:space="preserve"> </w:t>
      </w:r>
      <w:r>
        <w:t xml:space="preserve">The serving layer is hardware-agnostic; the procurement strategy is no longer hostage to one supplier’s roadmap or pricing.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Cost-per-token drops by 30%+</w:t>
      </w:r>
      <w:r>
        <w:t xml:space="preserve"> </w:t>
      </w:r>
      <w:r>
        <w:t xml:space="preserve">on realistic enterprise workloads, with the savings compounding across every production deployment in the organization.</w:t>
      </w:r>
    </w:p>
    <w:bookmarkEnd w:id="17"/>
    <w:bookmarkStart w:id="18" w:name="whats-next"/>
    <w:p>
      <w:pPr>
        <w:pStyle w:val="Heading2"/>
      </w:pPr>
      <w:r>
        <w:t xml:space="preserve">What’s next</w:t>
      </w:r>
    </w:p>
    <w:p>
      <w:pPr>
        <w:pStyle w:val="FirstParagraph"/>
      </w:pPr>
      <w:r>
        <w:t xml:space="preserve">We are extending the work in two directions: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Cross-accelerator P/D</w:t>
      </w:r>
      <w:r>
        <w:t xml:space="preserve"> </w:t>
      </w:r>
      <w:r>
        <w:t xml:space="preserve">— running prefill on one vendor’s GPUs and decode on another’s, picking each phase’s hardware on its dominant resource. Active development is happening in the llm-d community on cross-vendor KV-cache transfer; we plan to benchmark this once it lands. Larger models (120 B+) on bigger clusters are the natural next target — P/D’s tail-latency advantage scales with model size and context length.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Continued Intel Gaudi tuning</w:t>
      </w:r>
      <w:r>
        <w:t xml:space="preserve"> </w:t>
      </w:r>
      <w:r>
        <w:t xml:space="preserve">— Gaudi3 is already integrated and contributing to the heterogeneous pool; we are working with the Habana / vLLM-Gaudi communities on closing the per-pod gap to NVIDIA and AMD on hybrid-architecture (Mamba/SSM) models.</w:t>
      </w:r>
    </w:p>
    <w:bookmarkEnd w:id="18"/>
    <w:bookmarkStart w:id="19" w:name="in-short"/>
    <w:p>
      <w:pPr>
        <w:pStyle w:val="Heading2"/>
      </w:pPr>
      <w:r>
        <w:t xml:space="preserve">In short</w:t>
      </w:r>
    </w:p>
    <w:p>
      <w:pPr>
        <w:pStyle w:val="FirstParagraph"/>
      </w:pPr>
      <w:r>
        <w:t xml:space="preserve">llm-d makes heterogeneous, sovereign-scale LLM inference</w:t>
      </w:r>
      <w:r>
        <w:t xml:space="preserve"> </w:t>
      </w:r>
      <w:r>
        <w:rPr>
          <w:b/>
          <w:bCs/>
        </w:rPr>
        <w:t xml:space="preserve">practical, faster, and meaningfully cheaper</w:t>
      </w:r>
      <w:r>
        <w:t xml:space="preserve"> </w:t>
      </w:r>
      <w:r>
        <w:t xml:space="preserve">— without forcing organizations to standardize on one vendor or rewrite a single line of application code. For enterprises and governments deploying GenAI at population scale, that combination is hard to ignore.</w:t>
      </w:r>
    </w:p>
    <w:bookmarkEnd w:id="19"/>
    <w:bookmarkStart w:id="20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6"/>
        </w:numPr>
      </w:pPr>
      <w:r>
        <w:t xml:space="preserve">llm-d project: https://github.com/llm-d/llm-d</w:t>
      </w:r>
    </w:p>
    <w:p>
      <w:pPr>
        <w:pStyle w:val="Compact"/>
        <w:numPr>
          <w:ilvl w:val="0"/>
          <w:numId w:val="1006"/>
        </w:numPr>
      </w:pPr>
      <w:r>
        <w:t xml:space="preserve">llm-d KV-cache wins blog: https://llm-d.ai/blog/kvcache-wins-you-can-see</w:t>
      </w:r>
    </w:p>
    <w:p>
      <w:pPr>
        <w:pStyle w:val="Compact"/>
        <w:numPr>
          <w:ilvl w:val="0"/>
          <w:numId w:val="1006"/>
        </w:numPr>
      </w:pPr>
      <w:r>
        <w:t xml:space="preserve">vLLM project: https://github.com/vllm-project/vllm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Sovereign AI at Scale: Cutting Inference Cost by 30%+ with llm-d on Heterogeneous Clusters</dc:title>
  <dc:creator/>
  <cp:keywords/>
  <dcterms:created xsi:type="dcterms:W3CDTF">2026-05-25T04:32:47Z</dcterms:created>
  <dcterms:modified xsi:type="dcterms:W3CDTF">2026-05-25T04:32:47Z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