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69AD" w:rsidRDefault="009F69AD" w:rsidP="009F69AD">
      <w:pPr>
        <w:widowControl w:val="0"/>
        <w:autoSpaceDE w:val="0"/>
        <w:autoSpaceDN w:val="0"/>
        <w:adjustRightInd w:val="0"/>
        <w:jc w:val="center"/>
        <w:rPr>
          <w:rFonts w:ascii="Times New Roman" w:hAnsi="Times New Roman"/>
          <w:sz w:val="40"/>
          <w:szCs w:val="40"/>
        </w:rPr>
      </w:pPr>
      <w:r>
        <w:rPr>
          <w:rFonts w:ascii="Times New Roman" w:hAnsi="Times New Roman"/>
          <w:b/>
          <w:i w:val="0"/>
          <w:sz w:val="36"/>
        </w:rPr>
        <w:t>CGM FORECASTING FOR TYPE 2 DIABETES</w:t>
      </w:r>
    </w:p>
    <w:p w:rsidR="009F69AD" w:rsidRPr="001502DC" w:rsidRDefault="009F69AD" w:rsidP="009F69AD">
      <w:pPr>
        <w:widowControl w:val="0"/>
        <w:autoSpaceDE w:val="0"/>
        <w:autoSpaceDN w:val="0"/>
        <w:adjustRightInd w:val="0"/>
        <w:jc w:val="center"/>
        <w:rPr>
          <w:rFonts w:ascii="Times New Roman" w:hAnsi="Times New Roman"/>
          <w:sz w:val="40"/>
          <w:szCs w:val="40"/>
        </w:rPr>
      </w:pPr>
      <w:r>
        <w:rPr>
          <w:rFonts w:ascii="Times New Roman" w:hAnsi="Times New Roman"/>
          <w:b w:val="0"/>
          <w:i w:val="0"/>
          <w:sz w:val="24"/>
        </w:rPr>
      </w:r>
    </w:p>
    <w:p w:rsidR="00F15CDF" w:rsidRPr="0038183A" w:rsidRDefault="00F15CDF" w:rsidP="009F5C12">
      <w:pPr>
        <w:jc w:val="center"/>
        <w:rPr>
          <w:rFonts w:ascii="Times New Roman" w:hAnsi="Times New Roman"/>
          <w:sz w:val="20"/>
        </w:rPr>
      </w:pPr>
    </w:p>
    <w:p w:rsidR="00543155" w:rsidRDefault="00F15CDF" w:rsidP="002A4345">
      <w:pPr>
        <w:ind w:left="2160" w:firstLine="720"/>
        <w:rPr>
          <w:rFonts w:ascii="Times New Roman" w:hAnsi="Times New Roman"/>
          <w:b/>
          <w:caps/>
          <w:sz w:val="28"/>
        </w:rPr>
      </w:pPr>
      <w:r w:rsidRPr="006C5F9F">
        <w:rPr>
          <w:rFonts w:ascii="Times New Roman" w:hAnsi="Times New Roman"/>
          <w:b/>
          <w:caps/>
          <w:sz w:val="28"/>
        </w:rPr>
        <w:t xml:space="preserve">Project Report </w:t>
      </w:r>
    </w:p>
    <w:p w:rsidR="00F15CDF" w:rsidRPr="00D1461F" w:rsidRDefault="00F15CDF" w:rsidP="00F17F1F">
      <w:pPr>
        <w:ind w:left="-450"/>
        <w:jc w:val="center"/>
        <w:rPr>
          <w:rFonts w:ascii="Times New Roman" w:hAnsi="Times New Roman"/>
          <w:i/>
          <w:sz w:val="28"/>
          <w:szCs w:val="28"/>
        </w:rPr>
      </w:pPr>
      <w:r>
        <w:rPr>
          <w:rFonts w:ascii="Times New Roman" w:hAnsi="Times New Roman"/>
          <w:b w:val="0"/>
          <w:i/>
          <w:sz w:val="30"/>
        </w:rPr>
        <w:t>Submitted in fulfillment of the Course Project of ISWE410L Machine Learning</w:t>
      </w:r>
    </w:p>
    <w:p w:rsidR="00F15CDF" w:rsidRPr="006C5F9F" w:rsidRDefault="00F15CDF" w:rsidP="009F5C12">
      <w:pPr>
        <w:jc w:val="center"/>
        <w:rPr>
          <w:rFonts w:ascii="Times New Roman" w:hAnsi="Times New Roman"/>
          <w:b/>
          <w:caps/>
          <w:sz w:val="10"/>
        </w:rPr>
      </w:pPr>
    </w:p>
    <w:p w:rsidR="00F15CDF" w:rsidRDefault="00544496" w:rsidP="009F5C12">
      <w:pPr>
        <w:jc w:val="center"/>
        <w:rPr>
          <w:rFonts w:ascii="Times New Roman" w:hAnsi="Times New Roman"/>
          <w:b/>
          <w:sz w:val="32"/>
          <w:szCs w:val="32"/>
        </w:rPr>
      </w:pPr>
      <w:proofErr w:type="gramStart"/>
      <w:r>
        <w:rPr>
          <w:rFonts w:ascii="Times New Roman" w:hAnsi="Times New Roman"/>
          <w:b/>
          <w:bCs/>
          <w:i/>
          <w:iCs/>
          <w:sz w:val="32"/>
          <w:szCs w:val="32"/>
        </w:rPr>
        <w:t>i</w:t>
      </w:r>
      <w:r w:rsidR="00F15CDF" w:rsidRPr="00544496">
        <w:rPr>
          <w:rFonts w:ascii="Times New Roman" w:hAnsi="Times New Roman"/>
          <w:b/>
          <w:bCs/>
          <w:i/>
          <w:iCs/>
          <w:sz w:val="32"/>
          <w:szCs w:val="32"/>
        </w:rPr>
        <w:t>n</w:t>
      </w:r>
      <w:proofErr w:type="gramEnd"/>
      <w:r w:rsidR="00F15CDF" w:rsidRPr="00544496">
        <w:rPr>
          <w:rFonts w:ascii="Times New Roman" w:hAnsi="Times New Roman"/>
          <w:b/>
          <w:sz w:val="32"/>
          <w:szCs w:val="32"/>
        </w:rPr>
        <w:t xml:space="preserve"> </w:t>
      </w:r>
    </w:p>
    <w:p w:rsidR="002A4345" w:rsidRPr="00544496" w:rsidRDefault="007B1762" w:rsidP="009F5C12">
      <w:pPr>
        <w:jc w:val="center"/>
        <w:rPr>
          <w:rFonts w:ascii="Times New Roman" w:hAnsi="Times New Roman"/>
          <w:b/>
          <w:sz w:val="32"/>
          <w:szCs w:val="32"/>
        </w:rPr>
      </w:pPr>
      <w:r>
        <w:rPr>
          <w:rFonts w:ascii="Times New Roman" w:hAnsi="Times New Roman"/>
          <w:b/>
          <w:i w:val="0"/>
          <w:sz w:val="32"/>
        </w:rPr>
        <w:t>M.Tech Software Engineering</w:t>
      </w:r>
    </w:p>
    <w:p w:rsidR="00F15CDF" w:rsidRPr="00017564" w:rsidRDefault="00F15CDF" w:rsidP="009F5C12">
      <w:pPr>
        <w:jc w:val="center"/>
        <w:rPr>
          <w:rFonts w:ascii="Times New Roman" w:hAnsi="Times New Roman"/>
          <w:i/>
        </w:rPr>
      </w:pPr>
      <w:proofErr w:type="gramStart"/>
      <w:r>
        <w:rPr>
          <w:rFonts w:ascii="Times New Roman" w:hAnsi="Times New Roman"/>
          <w:i/>
          <w:sz w:val="28"/>
        </w:rPr>
        <w:t>b</w:t>
      </w:r>
      <w:r w:rsidRPr="00017564">
        <w:rPr>
          <w:rFonts w:ascii="Times New Roman" w:hAnsi="Times New Roman"/>
          <w:i/>
          <w:sz w:val="28"/>
        </w:rPr>
        <w:t>y</w:t>
      </w:r>
      <w:proofErr w:type="gramEnd"/>
    </w:p>
    <w:p w:rsidR="00F15CDF" w:rsidRDefault="00544496" w:rsidP="00544496">
      <w:pPr>
        <w:jc w:val="center"/>
        <w:rPr>
          <w:rFonts w:ascii="Times New Roman" w:hAnsi="Times New Roman"/>
          <w:b/>
          <w:sz w:val="28"/>
        </w:rPr>
      </w:pPr>
      <w:r>
        <w:rPr>
          <w:rFonts w:ascii="Times New Roman" w:hAnsi="Times New Roman"/>
          <w:b/>
          <w:i w:val="0"/>
          <w:sz w:val="28"/>
        </w:rPr>
        <w:t>Padmanathan K</w:t>
      </w:r>
    </w:p>
    <w:p w:rsidR="00303D22" w:rsidRPr="00303D22" w:rsidRDefault="00303D22" w:rsidP="00303D22">
      <w:pPr>
        <w:jc w:val="center"/>
        <w:rPr>
          <w:rFonts w:ascii="Times New Roman" w:hAnsi="Times New Roman"/>
          <w:sz w:val="20"/>
        </w:rPr>
      </w:pPr>
      <w:r>
        <w:rPr>
          <w:rFonts w:ascii="Times New Roman" w:hAnsi="Times New Roman"/>
          <w:b w:val="0"/>
          <w:i w:val="0"/>
          <w:sz w:val="24"/>
        </w:rPr>
      </w:r>
    </w:p>
    <w:p w:rsidR="00303D22" w:rsidRDefault="00303D22" w:rsidP="00303D22">
      <w:pPr>
        <w:jc w:val="center"/>
        <w:rPr>
          <w:rFonts w:ascii="Times New Roman" w:hAnsi="Times New Roman"/>
          <w:b/>
          <w:sz w:val="28"/>
        </w:rPr>
      </w:pPr>
      <w:r>
        <w:rPr>
          <w:rFonts w:ascii="Times New Roman" w:hAnsi="Times New Roman"/>
          <w:b w:val="0"/>
          <w:i w:val="0"/>
          <w:sz w:val="24"/>
        </w:rPr>
      </w:r>
    </w:p>
    <w:p w:rsidR="00D1461F" w:rsidRDefault="00D1461F" w:rsidP="00D1461F">
      <w:pPr>
        <w:jc w:val="center"/>
        <w:rPr>
          <w:rFonts w:ascii="Times New Roman" w:hAnsi="Times New Roman"/>
          <w:b/>
          <w:sz w:val="28"/>
        </w:rPr>
      </w:pPr>
      <w:r>
        <w:rPr>
          <w:rFonts w:ascii="Times New Roman" w:hAnsi="Times New Roman"/>
          <w:b w:val="0"/>
          <w:i w:val="0"/>
          <w:sz w:val="24"/>
        </w:rPr>
      </w:r>
    </w:p>
    <w:p w:rsidR="00F15CDF" w:rsidRDefault="00F15CDF" w:rsidP="009F5C12">
      <w:pPr>
        <w:jc w:val="center"/>
        <w:rPr>
          <w:rFonts w:ascii="Times New Roman" w:hAnsi="Times New Roman"/>
          <w:sz w:val="20"/>
        </w:rPr>
      </w:pPr>
    </w:p>
    <w:p w:rsidR="00F15CDF" w:rsidRPr="00017564" w:rsidRDefault="00F15CDF" w:rsidP="009F5C12">
      <w:pPr>
        <w:jc w:val="center"/>
        <w:rPr>
          <w:rFonts w:ascii="Times New Roman" w:hAnsi="Times New Roman"/>
          <w:i/>
          <w:sz w:val="28"/>
        </w:rPr>
      </w:pPr>
      <w:r w:rsidRPr="00017564">
        <w:rPr>
          <w:rFonts w:ascii="Times New Roman" w:hAnsi="Times New Roman"/>
          <w:i/>
          <w:sz w:val="28"/>
        </w:rPr>
        <w:t>Under the guidance of</w:t>
      </w:r>
    </w:p>
    <w:p w:rsidR="00F15CDF" w:rsidRDefault="007E7425" w:rsidP="006A135B">
      <w:pPr>
        <w:spacing w:line="240" w:lineRule="auto"/>
        <w:jc w:val="center"/>
        <w:rPr>
          <w:rFonts w:ascii="Times New Roman" w:hAnsi="Times New Roman"/>
          <w:b/>
          <w:sz w:val="28"/>
          <w:lang w:val="en-US"/>
        </w:rPr>
      </w:pPr>
      <w:r>
        <w:rPr>
          <w:rFonts w:ascii="Times New Roman" w:hAnsi="Times New Roman"/>
          <w:b/>
          <w:sz w:val="28"/>
          <w:lang w:val="en-US"/>
        </w:rPr>
        <w:t>Dr</w:t>
      </w:r>
      <w:r w:rsidR="00F15CDF" w:rsidRPr="00F900AF">
        <w:rPr>
          <w:rFonts w:ascii="Times New Roman" w:hAnsi="Times New Roman"/>
          <w:b/>
          <w:sz w:val="28"/>
          <w:lang w:val="en-US"/>
        </w:rPr>
        <w:t xml:space="preserve">. </w:t>
      </w:r>
      <w:proofErr w:type="spellStart"/>
      <w:r w:rsidR="00E04FB4">
        <w:rPr>
          <w:rFonts w:ascii="Times New Roman" w:hAnsi="Times New Roman"/>
          <w:b/>
          <w:sz w:val="28"/>
          <w:lang w:val="en-US"/>
        </w:rPr>
        <w:t>Ushapreethi.P</w:t>
      </w:r>
      <w:proofErr w:type="spellEnd"/>
    </w:p>
    <w:p w:rsidR="00543155" w:rsidRDefault="00D1461F" w:rsidP="006A135B">
      <w:pPr>
        <w:spacing w:line="240" w:lineRule="auto"/>
        <w:jc w:val="center"/>
        <w:rPr>
          <w:rFonts w:ascii="Times New Roman" w:hAnsi="Times New Roman"/>
          <w:b/>
          <w:sz w:val="28"/>
          <w:lang w:val="en-US"/>
        </w:rPr>
      </w:pPr>
      <w:r>
        <w:rPr>
          <w:rFonts w:ascii="Times New Roman" w:hAnsi="Times New Roman"/>
          <w:b w:val="0"/>
          <w:i w:val="0"/>
          <w:sz w:val="24"/>
        </w:rPr>
      </w:r>
    </w:p>
    <w:p w:rsidR="00D1461F" w:rsidRDefault="00D1461F" w:rsidP="006A135B">
      <w:pPr>
        <w:spacing w:line="240" w:lineRule="auto"/>
        <w:jc w:val="center"/>
        <w:rPr>
          <w:rFonts w:ascii="Times New Roman" w:hAnsi="Times New Roman"/>
          <w:b/>
          <w:sz w:val="28"/>
          <w:lang w:val="en-US"/>
        </w:rPr>
      </w:pPr>
    </w:p>
    <w:p w:rsidR="00D1461F" w:rsidRDefault="00D1461F" w:rsidP="006A135B">
      <w:pPr>
        <w:spacing w:line="240" w:lineRule="auto"/>
        <w:jc w:val="center"/>
        <w:rPr>
          <w:rFonts w:ascii="Times New Roman" w:hAnsi="Times New Roman"/>
          <w:b/>
          <w:sz w:val="28"/>
          <w:lang w:val="en-US"/>
        </w:rPr>
      </w:pPr>
    </w:p>
    <w:p w:rsidR="00D1461F" w:rsidRDefault="00D1461F" w:rsidP="006A135B">
      <w:pPr>
        <w:spacing w:line="240" w:lineRule="auto"/>
        <w:jc w:val="center"/>
        <w:rPr>
          <w:rFonts w:ascii="Times New Roman" w:hAnsi="Times New Roman"/>
          <w:b/>
          <w:sz w:val="28"/>
          <w:lang w:val="en-US"/>
        </w:rPr>
      </w:pPr>
    </w:p>
    <w:p w:rsidR="00126E15" w:rsidRDefault="00D1461F" w:rsidP="006A135B">
      <w:pPr>
        <w:spacing w:line="240" w:lineRule="auto"/>
        <w:jc w:val="center"/>
        <w:rPr>
          <w:noProof/>
          <w:lang w:eastAsia="en-IN"/>
        </w:rPr>
      </w:pPr>
      <w:r>
        <w:rPr>
          <w:b/>
          <w:noProof/>
          <w:sz w:val="20"/>
          <w:lang w:eastAsia="en-IN"/>
        </w:rPr>
        <w:drawing>
          <wp:inline distT="0" distB="0" distL="0" distR="0" wp14:anchorId="03B8FF45" wp14:editId="6B25AE24">
            <wp:extent cx="3450780" cy="736758"/>
            <wp:effectExtent l="0" t="0" r="0" b="0"/>
            <wp:docPr id="1" name="image1.jpeg" descr="Vellore Institute of Technology logo." title="Vellore Institute of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3450780" cy="736758"/>
                    </a:xfrm>
                    <a:prstGeom prst="rect">
                      <a:avLst/>
                    </a:prstGeom>
                  </pic:spPr>
                </pic:pic>
              </a:graphicData>
            </a:graphic>
          </wp:inline>
        </w:drawing>
      </w:r>
    </w:p>
    <w:p w:rsidR="00D1461F" w:rsidRDefault="00D1461F" w:rsidP="006A135B">
      <w:pPr>
        <w:spacing w:line="240" w:lineRule="auto"/>
        <w:jc w:val="center"/>
        <w:rPr>
          <w:rFonts w:ascii="Times New Roman" w:hAnsi="Times New Roman"/>
          <w:b/>
          <w:sz w:val="28"/>
          <w:lang w:val="en-US"/>
        </w:rPr>
      </w:pPr>
      <w:r>
        <w:rPr>
          <w:rFonts w:ascii="Times New Roman" w:hAnsi="Times New Roman"/>
          <w:b/>
          <w:sz w:val="28"/>
          <w:lang w:val="en-US"/>
        </w:rPr>
        <w:t>School of Computer Science Engineering and Information Systems</w:t>
      </w:r>
    </w:p>
    <w:p w:rsidR="00126E15" w:rsidRPr="00F900AF" w:rsidRDefault="009B1A4F" w:rsidP="006A135B">
      <w:pPr>
        <w:spacing w:line="240" w:lineRule="auto"/>
        <w:jc w:val="center"/>
        <w:rPr>
          <w:rFonts w:ascii="Times New Roman" w:hAnsi="Times New Roman"/>
          <w:b/>
          <w:sz w:val="28"/>
          <w:lang w:val="en-US"/>
        </w:rPr>
      </w:pPr>
      <w:r>
        <w:rPr>
          <w:rFonts w:ascii="Times New Roman" w:hAnsi="Times New Roman"/>
          <w:b/>
          <w:i w:val="0"/>
          <w:sz w:val="28"/>
        </w:rPr>
        <w:t>October 2026</w:t>
      </w:r>
    </w:p>
    <w:p w:rsidR="00F15CDF" w:rsidRDefault="00F15CDF" w:rsidP="009F5C12">
      <w:pPr>
        <w:jc w:val="center"/>
        <w:rPr>
          <w:rFonts w:ascii="Times New Roman" w:hAnsi="Times New Roman"/>
          <w:sz w:val="6"/>
          <w:lang w:val="en-US"/>
        </w:rPr>
      </w:pPr>
    </w:p>
    <w:p w:rsidR="00F15CDF" w:rsidRPr="00016619" w:rsidRDefault="00822D79" w:rsidP="009F5553">
      <w:pPr>
        <w:jc w:val="center"/>
        <w:rPr>
          <w:rFonts w:ascii="Times New Roman" w:hAnsi="Times New Roman"/>
          <w:sz w:val="2"/>
        </w:rPr>
      </w:pPr>
      <w:r>
        <w:rPr>
          <w:noProof/>
          <w:lang w:eastAsia="en-IN"/>
        </w:rPr>
        <w:drawing>
          <wp:anchor distT="0" distB="0" distL="114300" distR="114300" simplePos="0" relativeHeight="251657728" behindDoc="0" locked="0" layoutInCell="1" allowOverlap="1">
            <wp:simplePos x="0" y="0"/>
            <wp:positionH relativeFrom="column">
              <wp:posOffset>3543300</wp:posOffset>
            </wp:positionH>
            <wp:positionV relativeFrom="paragraph">
              <wp:posOffset>6493510</wp:posOffset>
            </wp:positionV>
            <wp:extent cx="647700" cy="647700"/>
            <wp:effectExtent l="0" t="0" r="0" b="0"/>
            <wp:wrapNone/>
            <wp:docPr id="2" name="Picture 4" descr="Vellore Institute of Technology logo." title="Vellore Institute of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IT UNIVERSITY White 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n-IN"/>
        </w:rPr>
        <w:drawing>
          <wp:anchor distT="0" distB="0" distL="114300" distR="114300" simplePos="0" relativeHeight="251656704" behindDoc="0" locked="0" layoutInCell="1" allowOverlap="1">
            <wp:simplePos x="0" y="0"/>
            <wp:positionH relativeFrom="column">
              <wp:posOffset>3543300</wp:posOffset>
            </wp:positionH>
            <wp:positionV relativeFrom="paragraph">
              <wp:posOffset>6493510</wp:posOffset>
            </wp:positionV>
            <wp:extent cx="647700" cy="647700"/>
            <wp:effectExtent l="0" t="0" r="0" b="0"/>
            <wp:wrapNone/>
            <wp:docPr id="3" name="Picture 3" descr="Vellore Institute of Technology logo." title="Vellore Institute of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T UNIVERSITY White 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6E15" w:rsidRDefault="00370F55" w:rsidP="00370F55">
      <w:pPr>
        <w:ind w:right="704"/>
        <w:jc w:val="center"/>
        <w:rPr>
          <w:rFonts w:ascii="Times New Roman" w:hAnsi="Times New Roman"/>
          <w:b/>
          <w:sz w:val="32"/>
          <w:szCs w:val="32"/>
        </w:rPr>
      </w:pPr>
      <w:r>
        <w:rPr>
          <w:b/>
          <w:noProof/>
          <w:sz w:val="20"/>
          <w:lang w:eastAsia="en-IN"/>
        </w:rPr>
        <w:lastRenderedPageBreak/>
        <w:drawing>
          <wp:inline distT="0" distB="0" distL="0" distR="0" wp14:anchorId="27C85861" wp14:editId="4BF338C2">
            <wp:extent cx="3450780" cy="736758"/>
            <wp:effectExtent l="0" t="0" r="0" b="0"/>
            <wp:docPr id="4" name="image1.jpeg" descr="Vellore Institute of Technology logo." title="Vellore Institute of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3450780" cy="736758"/>
                    </a:xfrm>
                    <a:prstGeom prst="rect">
                      <a:avLst/>
                    </a:prstGeom>
                  </pic:spPr>
                </pic:pic>
              </a:graphicData>
            </a:graphic>
          </wp:inline>
        </w:drawing>
      </w:r>
    </w:p>
    <w:p w:rsidR="00F15CDF" w:rsidRPr="00370F55" w:rsidRDefault="0095603D" w:rsidP="00D1461F">
      <w:pPr>
        <w:ind w:right="704"/>
        <w:jc w:val="center"/>
        <w:rPr>
          <w:rFonts w:ascii="Times New Roman" w:hAnsi="Times New Roman"/>
          <w:b/>
          <w:sz w:val="24"/>
          <w:szCs w:val="24"/>
        </w:rPr>
      </w:pPr>
      <w:r w:rsidRPr="00370F55">
        <w:rPr>
          <w:rFonts w:ascii="Times New Roman" w:hAnsi="Times New Roman"/>
          <w:b/>
          <w:sz w:val="24"/>
          <w:szCs w:val="24"/>
        </w:rPr>
        <w:t xml:space="preserve">School </w:t>
      </w:r>
      <w:r w:rsidR="00CC3D68" w:rsidRPr="00370F55">
        <w:rPr>
          <w:rFonts w:ascii="Times New Roman" w:hAnsi="Times New Roman"/>
          <w:b/>
          <w:sz w:val="24"/>
          <w:szCs w:val="24"/>
        </w:rPr>
        <w:t xml:space="preserve">of </w:t>
      </w:r>
      <w:r w:rsidR="00D1461F" w:rsidRPr="00370F55">
        <w:rPr>
          <w:rFonts w:ascii="Times New Roman" w:hAnsi="Times New Roman"/>
          <w:b/>
          <w:sz w:val="24"/>
          <w:szCs w:val="24"/>
        </w:rPr>
        <w:t>Computer Science Engineering and Information Systems</w:t>
      </w:r>
    </w:p>
    <w:p w:rsidR="001A0D19" w:rsidRPr="00822D79" w:rsidRDefault="009B1A4F" w:rsidP="00AC39C3">
      <w:pPr>
        <w:jc w:val="center"/>
        <w:rPr>
          <w:rFonts w:ascii="Times New Roman" w:hAnsi="Times New Roman"/>
          <w:b/>
          <w:sz w:val="28"/>
        </w:rPr>
      </w:pPr>
      <w:r>
        <w:rPr>
          <w:rFonts w:ascii="Times New Roman" w:hAnsi="Times New Roman"/>
          <w:b/>
          <w:sz w:val="28"/>
        </w:rPr>
        <w:t xml:space="preserve">Fall </w:t>
      </w:r>
      <w:r w:rsidR="007707B9">
        <w:rPr>
          <w:rFonts w:ascii="Times New Roman" w:hAnsi="Times New Roman"/>
          <w:b/>
          <w:sz w:val="28"/>
        </w:rPr>
        <w:t>Semester 2026-27</w:t>
      </w:r>
    </w:p>
    <w:p w:rsidR="009B7332" w:rsidRPr="00845519" w:rsidRDefault="009B7332" w:rsidP="009B7332">
      <w:pPr>
        <w:spacing w:line="360" w:lineRule="auto"/>
        <w:jc w:val="center"/>
        <w:rPr>
          <w:rFonts w:ascii="Times New Roman" w:hAnsi="Times New Roman"/>
          <w:b/>
          <w:sz w:val="24"/>
          <w:szCs w:val="24"/>
        </w:rPr>
      </w:pPr>
      <w:r w:rsidRPr="00845519">
        <w:rPr>
          <w:rFonts w:ascii="Times New Roman" w:hAnsi="Times New Roman"/>
          <w:b/>
          <w:sz w:val="28"/>
          <w:szCs w:val="24"/>
        </w:rPr>
        <w:t>TABLE OF CONTENTS</w:t>
      </w:r>
    </w:p>
    <w:tbl>
      <w:tblPr>
        <w:tblW w:w="92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29"/>
        <w:gridCol w:w="5678"/>
        <w:gridCol w:w="1680"/>
      </w:tblGrid>
      <w:tr w:rsidR="009B7332" w:rsidRPr="00855077" w:rsidTr="007A597B">
        <w:trPr>
          <w:trHeight w:val="454"/>
          <w:tblHeader w:val="true"/>
          <w:tblHeader w:val="true"/>
        </w:trPr>
        <w:tc>
          <w:tcPr>
            <w:tcW w:w="1929" w:type="dxa"/>
            <w:vAlign w:val="center"/>
          </w:tcPr>
          <w:p>
            <w:pPr>
              <w:spacing w:after="40"/>
              <w:jc w:val="center"/>
            </w:pPr>
            <w:r/>
            <w:r>
              <w:rPr>
                <w:rFonts w:ascii="Times New Roman" w:hAnsi="Times New Roman"/>
                <w:b/>
                <w:i w:val="0"/>
                <w:sz w:val="21"/>
              </w:rPr>
              <w:t>CHAPTER NO.</w:t>
            </w:r>
          </w:p>
        </w:tc>
        <w:tc>
          <w:tcPr>
            <w:tcW w:w="5678" w:type="dxa"/>
            <w:vAlign w:val="center"/>
          </w:tcPr>
          <w:p>
            <w:pPr>
              <w:spacing w:after="40"/>
              <w:jc w:val="center"/>
            </w:pPr>
            <w:r/>
            <w:r>
              <w:rPr>
                <w:rFonts w:ascii="Times New Roman" w:hAnsi="Times New Roman"/>
                <w:b/>
                <w:i w:val="0"/>
                <w:sz w:val="21"/>
              </w:rPr>
              <w:t>TITLE</w:t>
            </w:r>
          </w:p>
        </w:tc>
        <w:tc>
          <w:tcPr>
            <w:tcW w:w="1680" w:type="dxa"/>
            <w:vAlign w:val="center"/>
          </w:tcPr>
          <w:p>
            <w:pPr>
              <w:spacing w:after="40"/>
              <w:jc w:val="center"/>
            </w:pPr>
            <w:r/>
            <w:r>
              <w:rPr>
                <w:rFonts w:ascii="Times New Roman" w:hAnsi="Times New Roman"/>
                <w:b/>
                <w:i w:val="0"/>
                <w:sz w:val="21"/>
              </w:rPr>
              <w:t>PAGE NO.</w:t>
            </w:r>
          </w:p>
        </w:tc>
      </w:tr>
      <w:tr>
        <w:tc>
          <w:tcPr>
            <w:tcW w:type="dxa" w:w="1929"/>
            <w:vAlign w:val="center"/>
          </w:tcPr>
          <w:p>
            <w:pPr>
              <w:spacing w:after="40"/>
              <w:jc w:val="center"/>
            </w:pPr>
            <w:r/>
            <w:r>
              <w:rPr>
                <w:rFonts w:ascii="Times New Roman" w:hAnsi="Times New Roman"/>
                <w:b w:val="0"/>
                <w:i w:val="0"/>
                <w:sz w:val="21"/>
              </w:rPr>
            </w:r>
          </w:p>
        </w:tc>
        <w:tc>
          <w:tcPr>
            <w:tcW w:type="dxa" w:w="5678"/>
            <w:vAlign w:val="center"/>
          </w:tcPr>
          <w:p>
            <w:pPr>
              <w:spacing w:after="40"/>
              <w:jc w:val="left"/>
            </w:pPr>
            <w:r/>
            <w:r>
              <w:rPr>
                <w:rFonts w:ascii="Times New Roman" w:hAnsi="Times New Roman"/>
                <w:b/>
                <w:i w:val="0"/>
                <w:sz w:val="21"/>
              </w:rPr>
              <w:t>ABSTRACT</w:t>
            </w:r>
          </w:p>
        </w:tc>
        <w:tc>
          <w:tcPr>
            <w:tcW w:type="dxa" w:w="1680"/>
            <w:vAlign w:val="center"/>
          </w:tcPr>
          <w:p>
            <w:pPr>
              <w:spacing w:after="40"/>
              <w:jc w:val="center"/>
            </w:pPr>
            <w:r/>
            <w:r>
              <w:rPr>
                <w:rFonts w:ascii="Times New Roman" w:hAnsi="Times New Roman"/>
                <w:b w:val="0"/>
                <w:i w:val="0"/>
                <w:sz w:val="21"/>
              </w:rPr>
              <w:t>iii</w:t>
            </w:r>
          </w:p>
        </w:tc>
      </w:tr>
      <w:tr>
        <w:tc>
          <w:tcPr>
            <w:tcW w:type="dxa" w:w="1929"/>
            <w:vAlign w:val="center"/>
          </w:tcPr>
          <w:p>
            <w:pPr>
              <w:spacing w:after="40"/>
              <w:jc w:val="center"/>
            </w:pPr>
            <w:r/>
            <w:r>
              <w:rPr>
                <w:rFonts w:ascii="Times New Roman" w:hAnsi="Times New Roman"/>
                <w:b w:val="0"/>
                <w:i w:val="0"/>
                <w:sz w:val="21"/>
              </w:rPr>
              <w:t>1</w:t>
            </w:r>
          </w:p>
        </w:tc>
        <w:tc>
          <w:tcPr>
            <w:tcW w:type="dxa" w:w="5678"/>
            <w:vAlign w:val="center"/>
          </w:tcPr>
          <w:p>
            <w:pPr>
              <w:spacing w:after="40"/>
              <w:jc w:val="left"/>
            </w:pPr>
            <w:r/>
            <w:r>
              <w:rPr>
                <w:rFonts w:ascii="Times New Roman" w:hAnsi="Times New Roman"/>
                <w:b/>
                <w:i w:val="0"/>
                <w:sz w:val="21"/>
              </w:rPr>
              <w:t>Problem Statement</w:t>
            </w:r>
          </w:p>
        </w:tc>
        <w:tc>
          <w:tcPr>
            <w:tcW w:type="dxa" w:w="1680"/>
            <w:vAlign w:val="center"/>
          </w:tcPr>
          <w:p>
            <w:pPr>
              <w:spacing w:after="40"/>
              <w:jc w:val="center"/>
            </w:pPr>
            <w:r/>
            <w:r>
              <w:rPr>
                <w:rFonts w:ascii="Times New Roman" w:hAnsi="Times New Roman"/>
                <w:b w:val="0"/>
                <w:i w:val="0"/>
                <w:sz w:val="21"/>
              </w:rPr>
              <w:t>iii</w:t>
            </w:r>
          </w:p>
        </w:tc>
      </w:tr>
      <w:tr>
        <w:tc>
          <w:tcPr>
            <w:tcW w:type="dxa" w:w="1929"/>
            <w:vAlign w:val="center"/>
          </w:tcPr>
          <w:p>
            <w:pPr>
              <w:spacing w:after="40"/>
              <w:jc w:val="center"/>
            </w:pPr>
            <w:r/>
            <w:r>
              <w:rPr>
                <w:rFonts w:ascii="Times New Roman" w:hAnsi="Times New Roman"/>
                <w:b w:val="0"/>
                <w:i w:val="0"/>
                <w:sz w:val="21"/>
              </w:rPr>
              <w:t>2</w:t>
            </w:r>
          </w:p>
        </w:tc>
        <w:tc>
          <w:tcPr>
            <w:tcW w:type="dxa" w:w="5678"/>
            <w:vAlign w:val="center"/>
          </w:tcPr>
          <w:p>
            <w:pPr>
              <w:spacing w:after="40"/>
              <w:jc w:val="left"/>
            </w:pPr>
            <w:r/>
            <w:r>
              <w:rPr>
                <w:rFonts w:ascii="Times New Roman" w:hAnsi="Times New Roman"/>
                <w:b/>
                <w:i w:val="0"/>
                <w:sz w:val="21"/>
              </w:rPr>
              <w:t>Dataset and Method</w:t>
            </w:r>
          </w:p>
        </w:tc>
        <w:tc>
          <w:tcPr>
            <w:tcW w:type="dxa" w:w="1680"/>
            <w:vAlign w:val="center"/>
          </w:tcPr>
          <w:p>
            <w:pPr>
              <w:spacing w:after="40"/>
              <w:jc w:val="center"/>
            </w:pPr>
            <w:r/>
            <w:r>
              <w:rPr>
                <w:rFonts w:ascii="Times New Roman" w:hAnsi="Times New Roman"/>
                <w:b w:val="0"/>
                <w:i w:val="0"/>
                <w:sz w:val="21"/>
              </w:rPr>
              <w:t>iv</w:t>
            </w:r>
          </w:p>
        </w:tc>
      </w:tr>
      <w:tr>
        <w:tc>
          <w:tcPr>
            <w:tcW w:type="dxa" w:w="1929"/>
            <w:vAlign w:val="center"/>
          </w:tcPr>
          <w:p>
            <w:pPr>
              <w:spacing w:after="40"/>
              <w:jc w:val="center"/>
            </w:pPr>
            <w:r/>
            <w:r>
              <w:rPr>
                <w:rFonts w:ascii="Times New Roman" w:hAnsi="Times New Roman"/>
                <w:b w:val="0"/>
                <w:i w:val="0"/>
                <w:sz w:val="21"/>
              </w:rPr>
              <w:t>3</w:t>
            </w:r>
          </w:p>
        </w:tc>
        <w:tc>
          <w:tcPr>
            <w:tcW w:type="dxa" w:w="5678"/>
            <w:vAlign w:val="center"/>
          </w:tcPr>
          <w:p>
            <w:pPr>
              <w:spacing w:after="40"/>
              <w:jc w:val="left"/>
            </w:pPr>
            <w:r/>
            <w:r>
              <w:rPr>
                <w:rFonts w:ascii="Times New Roman" w:hAnsi="Times New Roman"/>
                <w:b/>
                <w:i w:val="0"/>
                <w:sz w:val="21"/>
              </w:rPr>
              <w:t>Implementation</w:t>
            </w:r>
          </w:p>
        </w:tc>
        <w:tc>
          <w:tcPr>
            <w:tcW w:type="dxa" w:w="1680"/>
            <w:vAlign w:val="center"/>
          </w:tcPr>
          <w:p>
            <w:pPr>
              <w:spacing w:after="40"/>
              <w:jc w:val="center"/>
            </w:pPr>
            <w:r/>
            <w:r>
              <w:rPr>
                <w:rFonts w:ascii="Times New Roman" w:hAnsi="Times New Roman"/>
                <w:b w:val="0"/>
                <w:i w:val="0"/>
                <w:sz w:val="21"/>
              </w:rPr>
              <w:t>iv</w:t>
            </w:r>
          </w:p>
        </w:tc>
      </w:tr>
      <w:tr>
        <w:tc>
          <w:tcPr>
            <w:tcW w:type="dxa" w:w="1929"/>
            <w:vAlign w:val="center"/>
          </w:tcPr>
          <w:p>
            <w:pPr>
              <w:spacing w:after="40"/>
              <w:jc w:val="center"/>
            </w:pPr>
            <w:r/>
            <w:r>
              <w:rPr>
                <w:rFonts w:ascii="Times New Roman" w:hAnsi="Times New Roman"/>
                <w:b w:val="0"/>
                <w:i w:val="0"/>
                <w:sz w:val="21"/>
              </w:rPr>
              <w:t>4</w:t>
            </w:r>
          </w:p>
        </w:tc>
        <w:tc>
          <w:tcPr>
            <w:tcW w:type="dxa" w:w="5678"/>
            <w:vAlign w:val="center"/>
          </w:tcPr>
          <w:p>
            <w:pPr>
              <w:spacing w:after="40"/>
              <w:jc w:val="left"/>
            </w:pPr>
            <w:r/>
            <w:r>
              <w:rPr>
                <w:rFonts w:ascii="Times New Roman" w:hAnsi="Times New Roman"/>
                <w:b/>
                <w:i w:val="0"/>
                <w:sz w:val="21"/>
              </w:rPr>
              <w:t>Results and Accuracy</w:t>
            </w:r>
          </w:p>
        </w:tc>
        <w:tc>
          <w:tcPr>
            <w:tcW w:type="dxa" w:w="1680"/>
            <w:vAlign w:val="center"/>
          </w:tcPr>
          <w:p>
            <w:pPr>
              <w:spacing w:after="40"/>
              <w:jc w:val="center"/>
            </w:pPr>
            <w:r/>
            <w:r>
              <w:rPr>
                <w:rFonts w:ascii="Times New Roman" w:hAnsi="Times New Roman"/>
                <w:b w:val="0"/>
                <w:i w:val="0"/>
                <w:sz w:val="21"/>
              </w:rPr>
              <w:t>v</w:t>
            </w:r>
          </w:p>
        </w:tc>
      </w:tr>
      <w:tr>
        <w:tc>
          <w:tcPr>
            <w:tcW w:type="dxa" w:w="1929"/>
            <w:vAlign w:val="center"/>
          </w:tcPr>
          <w:p>
            <w:pPr>
              <w:spacing w:after="40"/>
              <w:jc w:val="center"/>
            </w:pPr>
            <w:r/>
            <w:r>
              <w:rPr>
                <w:rFonts w:ascii="Times New Roman" w:hAnsi="Times New Roman"/>
                <w:b w:val="0"/>
                <w:i w:val="0"/>
                <w:sz w:val="21"/>
              </w:rPr>
              <w:t>5</w:t>
            </w:r>
          </w:p>
        </w:tc>
        <w:tc>
          <w:tcPr>
            <w:tcW w:type="dxa" w:w="5678"/>
            <w:vAlign w:val="center"/>
          </w:tcPr>
          <w:p>
            <w:pPr>
              <w:spacing w:after="40"/>
              <w:jc w:val="left"/>
            </w:pPr>
            <w:r/>
            <w:r>
              <w:rPr>
                <w:rFonts w:ascii="Times New Roman" w:hAnsi="Times New Roman"/>
                <w:b/>
                <w:i w:val="0"/>
                <w:sz w:val="21"/>
              </w:rPr>
              <w:t>Conclusion and Limitations</w:t>
            </w:r>
          </w:p>
        </w:tc>
        <w:tc>
          <w:tcPr>
            <w:tcW w:type="dxa" w:w="1680"/>
            <w:vAlign w:val="center"/>
          </w:tcPr>
          <w:p>
            <w:pPr>
              <w:spacing w:after="40"/>
              <w:jc w:val="center"/>
            </w:pPr>
            <w:r/>
            <w:r>
              <w:rPr>
                <w:rFonts w:ascii="Times New Roman" w:hAnsi="Times New Roman"/>
                <w:b w:val="0"/>
                <w:i w:val="0"/>
                <w:sz w:val="21"/>
              </w:rPr>
              <w:t>vii</w:t>
            </w:r>
          </w:p>
        </w:tc>
      </w:tr>
      <w:tr>
        <w:tc>
          <w:tcPr>
            <w:tcW w:type="dxa" w:w="1929"/>
            <w:vAlign w:val="center"/>
          </w:tcPr>
          <w:p>
            <w:pPr>
              <w:spacing w:after="40"/>
              <w:jc w:val="center"/>
            </w:pPr>
            <w:r/>
            <w:r>
              <w:rPr>
                <w:rFonts w:ascii="Times New Roman" w:hAnsi="Times New Roman"/>
                <w:b w:val="0"/>
                <w:i w:val="0"/>
                <w:sz w:val="21"/>
              </w:rPr>
            </w:r>
          </w:p>
        </w:tc>
        <w:tc>
          <w:tcPr>
            <w:tcW w:type="dxa" w:w="5678"/>
            <w:vAlign w:val="center"/>
          </w:tcPr>
          <w:p>
            <w:pPr>
              <w:spacing w:after="40"/>
              <w:jc w:val="left"/>
            </w:pPr>
            <w:r/>
            <w:r>
              <w:rPr>
                <w:rFonts w:ascii="Times New Roman" w:hAnsi="Times New Roman"/>
                <w:b/>
                <w:i w:val="0"/>
                <w:sz w:val="21"/>
              </w:rPr>
              <w:t>References</w:t>
            </w:r>
          </w:p>
        </w:tc>
        <w:tc>
          <w:tcPr>
            <w:tcW w:type="dxa" w:w="1680"/>
            <w:vAlign w:val="center"/>
          </w:tcPr>
          <w:p>
            <w:pPr>
              <w:spacing w:after="40"/>
              <w:jc w:val="center"/>
            </w:pPr>
            <w:r/>
            <w:r>
              <w:rPr>
                <w:rFonts w:ascii="Times New Roman" w:hAnsi="Times New Roman"/>
                <w:b w:val="0"/>
                <w:i w:val="0"/>
                <w:sz w:val="21"/>
              </w:rPr>
              <w:t>viii</w:t>
            </w:r>
          </w:p>
        </w:tc>
      </w:tr>
    </w:tbl>
    <w:p>
      <w:r>
        <w:br w:type="page"/>
      </w:r>
    </w:p>
    <w:p>
      <w:pPr>
        <w:keepNext/>
        <w:spacing w:before="280" w:after="140"/>
        <w:jc w:val="left"/>
      </w:pPr>
      <w:r>
        <w:rPr>
          <w:rFonts w:ascii="Times New Roman" w:hAnsi="Times New Roman"/>
          <w:b/>
          <w:i w:val="0"/>
          <w:sz w:val="28"/>
        </w:rPr>
        <w:t>ABSTRACT</w:t>
      </w:r>
    </w:p>
    <w:p>
      <w:pPr>
        <w:spacing w:line="360" w:lineRule="auto" w:before="0" w:after="160"/>
        <w:jc w:val="both"/>
      </w:pPr>
      <w:r>
        <w:rPr>
          <w:rFonts w:ascii="Times New Roman" w:hAnsi="Times New Roman"/>
          <w:b w:val="0"/>
          <w:i w:val="0"/>
          <w:sz w:val="24"/>
        </w:rPr>
        <w:t>This project evaluates simple machine-learning models for short-horizon continuous glucose monitoring forecasting in people with type 2 diabetes. The ShanghaiT2DM dataset contains 100 people and 109 CGM episodes. The task is to predict glucose concentration 15, 30, and 60 minutes ahead using only the previous six hours of CGM observations. Three standard models are compared: persistence, Ridge regression, and Histogram Gradient Boosting regression from scikit-learn. The evaluation keeps every person entirely in either training or testing data through five patient-held-out folds. The main metric is subject-macro mean absolute error, which gives every patient equal weight. At 60 minutes, Histogram Gradient Boosting achieved the best result with a mean absolute error of 16.54 mg/dL and a 95% patient-bootstrap interval of 15.89 to 17.22 mg/dL. Both learned models improve on persistence, but accuracy decreases as the forecast horizon becomes longer. The project provides a reproducible Python implementation, clear accuracy figures, and a small Streamlit viewer for understanding saved results. The system is for retrospective research and education only; it is not a clinical decision-support tool.</w:t>
      </w:r>
    </w:p>
    <w:p>
      <w:pPr>
        <w:keepNext/>
        <w:spacing w:before="280" w:after="140"/>
        <w:jc w:val="left"/>
      </w:pPr>
      <w:r>
        <w:rPr>
          <w:rFonts w:ascii="Times New Roman" w:hAnsi="Times New Roman"/>
          <w:b/>
          <w:i w:val="0"/>
          <w:sz w:val="28"/>
        </w:rPr>
        <w:t>1. Problem Statement</w:t>
      </w:r>
    </w:p>
    <w:p>
      <w:pPr>
        <w:spacing w:line="360" w:lineRule="auto" w:before="0" w:after="160"/>
        <w:jc w:val="both"/>
      </w:pPr>
      <w:r>
        <w:rPr>
          <w:rFonts w:ascii="Times New Roman" w:hAnsi="Times New Roman"/>
          <w:b w:val="0"/>
          <w:i w:val="0"/>
          <w:sz w:val="24"/>
        </w:rPr>
        <w:t>People with type 2 diabetes can experience rapid changes in glucose. A useful research task is to estimate the next CGM value from recent CGM history. The project asks whether standard regression models can improve on a simple carry-forward baseline when forecasting 15, 30, and 60 minutes ahead.</w:t>
      </w:r>
    </w:p>
    <w:p>
      <w:pPr>
        <w:keepNext/>
        <w:spacing w:before="200" w:after="140"/>
        <w:jc w:val="left"/>
      </w:pPr>
      <w:r>
        <w:rPr>
          <w:rFonts w:ascii="Times New Roman" w:hAnsi="Times New Roman"/>
          <w:b/>
          <w:i w:val="0"/>
          <w:sz w:val="24"/>
        </w:rPr>
        <w:t>Objective</w:t>
      </w:r>
    </w:p>
    <w:p>
      <w:pPr>
        <w:spacing w:line="360" w:lineRule="auto" w:after="60"/>
        <w:ind w:left="403" w:hanging="259"/>
      </w:pPr>
      <w:r>
        <w:rPr>
          <w:rFonts w:ascii="Times New Roman" w:hAnsi="Times New Roman"/>
          <w:b w:val="0"/>
          <w:i w:val="0"/>
          <w:sz w:val="24"/>
        </w:rPr>
        <w:t>• Build a reproducible, patient-held-out CGM forecasting pipeline.</w:t>
      </w:r>
    </w:p>
    <w:p>
      <w:pPr>
        <w:spacing w:line="360" w:lineRule="auto" w:after="60"/>
        <w:ind w:left="403" w:hanging="259"/>
      </w:pPr>
      <w:r>
        <w:rPr>
          <w:rFonts w:ascii="Times New Roman" w:hAnsi="Times New Roman"/>
          <w:b w:val="0"/>
          <w:i w:val="0"/>
          <w:sz w:val="24"/>
        </w:rPr>
        <w:t>• Compare three standard scikit-learn approaches using the same input history.</w:t>
      </w:r>
    </w:p>
    <w:p>
      <w:pPr>
        <w:spacing w:line="360" w:lineRule="auto" w:after="60"/>
        <w:ind w:left="403" w:hanging="259"/>
      </w:pPr>
      <w:r>
        <w:rPr>
          <w:rFonts w:ascii="Times New Roman" w:hAnsi="Times New Roman"/>
          <w:b w:val="0"/>
          <w:i w:val="0"/>
          <w:sz w:val="24"/>
        </w:rPr>
        <w:t>• Report understandable accuracy results with graphs and confidence intervals.</w:t>
      </w:r>
    </w:p>
    <w:p>
      <w:pPr>
        <w:keepNext/>
        <w:spacing w:before="200" w:after="140"/>
        <w:jc w:val="left"/>
      </w:pPr>
      <w:r>
        <w:rPr>
          <w:rFonts w:ascii="Times New Roman" w:hAnsi="Times New Roman"/>
          <w:b/>
          <w:i w:val="0"/>
          <w:sz w:val="24"/>
        </w:rPr>
        <w:t>Scope</w:t>
      </w:r>
    </w:p>
    <w:p>
      <w:pPr>
        <w:spacing w:line="360" w:lineRule="auto" w:before="0" w:after="160"/>
        <w:jc w:val="both"/>
      </w:pPr>
      <w:r>
        <w:rPr>
          <w:rFonts w:ascii="Times New Roman" w:hAnsi="Times New Roman"/>
          <w:b w:val="0"/>
          <w:i w:val="0"/>
          <w:sz w:val="24"/>
        </w:rPr>
        <w:t>The dataset supports short-term glucose forecasting only. It does not contain sufficient longitudinal clinical follow-up for reliable long-term disease progression, next-HbA1c, medication-response, or treatment recommendation claims.</w:t>
      </w:r>
    </w:p>
    <w:p>
      <w:pPr>
        <w:keepNext/>
        <w:spacing w:before="280" w:after="140"/>
        <w:jc w:val="left"/>
      </w:pPr>
      <w:r>
        <w:rPr>
          <w:rFonts w:ascii="Times New Roman" w:hAnsi="Times New Roman"/>
          <w:b/>
          <w:i w:val="0"/>
          <w:sz w:val="28"/>
        </w:rPr>
        <w:t>2. Dataset and Method</w:t>
      </w:r>
    </w:p>
    <w:p>
      <w:pPr>
        <w:keepNext/>
        <w:spacing w:before="200" w:after="140"/>
        <w:jc w:val="left"/>
      </w:pPr>
      <w:r>
        <w:rPr>
          <w:rFonts w:ascii="Times New Roman" w:hAnsi="Times New Roman"/>
          <w:b/>
          <w:i w:val="0"/>
          <w:sz w:val="24"/>
        </w:rPr>
        <w:t>2.1 Dataset</w:t>
      </w:r>
    </w:p>
    <w:p>
      <w:pPr>
        <w:spacing w:line="360" w:lineRule="auto" w:before="0" w:after="160"/>
        <w:jc w:val="both"/>
      </w:pPr>
      <w:r>
        <w:rPr>
          <w:rFonts w:ascii="Times New Roman" w:hAnsi="Times New Roman"/>
          <w:b w:val="0"/>
          <w:i w:val="0"/>
          <w:sz w:val="24"/>
        </w:rPr>
        <w:t>The ShanghaiT2DM release contains 100 de-identified people and 109 CGM episodes. Measurements are processed as 15-minute observations. Invalid values outside 20 to 600 mg/dL are treated as missing. The timeline is split at missing values and non-15-minute gaps so no feature window crosses a discontinuity.</w:t>
      </w:r>
    </w:p>
    <w:p>
      <w:pPr>
        <w:keepNext/>
        <w:spacing w:before="200" w:after="140"/>
        <w:jc w:val="left"/>
      </w:pPr>
      <w:r>
        <w:rPr>
          <w:rFonts w:ascii="Times New Roman" w:hAnsi="Times New Roman"/>
          <w:b/>
          <w:i w:val="0"/>
          <w:sz w:val="24"/>
        </w:rPr>
        <w:t>2.2 Input Features</w:t>
      </w:r>
    </w:p>
    <w:p>
      <w:pPr>
        <w:spacing w:line="360" w:lineRule="auto" w:before="0" w:after="160"/>
        <w:jc w:val="both"/>
      </w:pPr>
      <w:r>
        <w:rPr>
          <w:rFonts w:ascii="Times New Roman" w:hAnsi="Times New Roman"/>
          <w:b w:val="0"/>
          <w:i w:val="0"/>
          <w:sz w:val="24"/>
        </w:rPr>
        <w:t>Each prediction uses the current glucose value, 24 past CGM lags, recent changes, rolling mean and variability, and time-of-day terms. This represents six hours of history. Features at time t are computed only from observations available at or before time t, preventing future information from entering a prediction.</w:t>
      </w:r>
    </w:p>
    <w:p>
      <w:pPr>
        <w:keepNext/>
        <w:spacing w:before="200" w:after="140"/>
        <w:jc w:val="left"/>
      </w:pPr>
      <w:r>
        <w:rPr>
          <w:rFonts w:ascii="Times New Roman" w:hAnsi="Times New Roman"/>
          <w:b/>
          <w:i w:val="0"/>
          <w:sz w:val="24"/>
        </w:rPr>
        <w:t>2.3 Models</w:t>
      </w:r>
    </w:p>
    <w:tbl>
      <w:tblPr>
        <w:tblStyle w:val="TableGrid"/>
        <w:tblW w:type="auto" w:w="0"/>
        <w:tblLayout w:type="fixed"/>
        <w:tblLook w:firstColumn="1" w:firstRow="1" w:lastColumn="0" w:lastRow="0" w:noHBand="0" w:noVBand="1" w:val="04A0"/>
      </w:tblPr>
      <w:tblGrid>
        <w:gridCol w:w="2769"/>
        <w:gridCol w:w="2769"/>
        <w:gridCol w:w="2769"/>
      </w:tblGrid>
      <w:tr>
        <w:trPr>
          <w:cantSplit/>
          <w:tblHeader w:val="true"/>
          <w:tblHeader w:val="true"/>
        </w:trPr>
        <w:tc>
          <w:tcPr>
            <w:tcW w:type="dxa" w:w="2088"/>
            <w:shd w:fill="1F4E78"/>
            <w:vAlign w:val="center"/>
          </w:tcPr>
          <w:p>
            <w:pPr>
              <w:spacing w:after="40"/>
              <w:jc w:val="center"/>
            </w:pPr>
            <w:r>
              <w:rPr>
                <w:color w:val="FFFFFF"/>
              </w:rPr>
            </w:r>
            <w:r>
              <w:rPr>
                <w:rFonts w:ascii="Times New Roman" w:hAnsi="Times New Roman"/>
                <w:b/>
                <w:i w:val="0"/>
                <w:sz w:val="21"/>
                <w:color w:val="FFFFFF"/>
              </w:rPr>
              <w:t>Model</w:t>
            </w:r>
          </w:p>
        </w:tc>
        <w:tc>
          <w:tcPr>
            <w:tcW w:type="dxa" w:w="1800"/>
            <w:shd w:fill="1F4E78"/>
            <w:vAlign w:val="center"/>
          </w:tcPr>
          <w:p>
            <w:pPr>
              <w:spacing w:after="40"/>
              <w:jc w:val="center"/>
            </w:pPr>
            <w:r>
              <w:rPr>
                <w:color w:val="FFFFFF"/>
              </w:rPr>
            </w:r>
            <w:r>
              <w:rPr>
                <w:rFonts w:ascii="Times New Roman" w:hAnsi="Times New Roman"/>
                <w:b/>
                <w:i w:val="0"/>
                <w:sz w:val="21"/>
                <w:color w:val="FFFFFF"/>
              </w:rPr>
              <w:t>Role</w:t>
            </w:r>
          </w:p>
        </w:tc>
        <w:tc>
          <w:tcPr>
            <w:tcW w:type="dxa" w:w="4392"/>
            <w:shd w:fill="1F4E78"/>
            <w:vAlign w:val="center"/>
          </w:tcPr>
          <w:p>
            <w:pPr>
              <w:spacing w:after="40"/>
              <w:jc w:val="center"/>
            </w:pPr>
            <w:r>
              <w:rPr>
                <w:color w:val="FFFFFF"/>
              </w:rPr>
            </w:r>
            <w:r>
              <w:rPr>
                <w:rFonts w:ascii="Times New Roman" w:hAnsi="Times New Roman"/>
                <w:b/>
                <w:i w:val="0"/>
                <w:sz w:val="21"/>
                <w:color w:val="FFFFFF"/>
              </w:rPr>
              <w:t>Implementation</w:t>
            </w:r>
          </w:p>
        </w:tc>
      </w:tr>
      <w:tr>
        <w:trPr>
          <w:cantSplit/>
        </w:trPr>
        <w:tc>
          <w:tcPr>
            <w:tcW w:type="dxa" w:w="2088"/>
            <w:vAlign w:val="center"/>
          </w:tcPr>
          <w:p>
            <w:pPr>
              <w:spacing w:after="40"/>
              <w:jc w:val="left"/>
            </w:pPr>
            <w:r/>
            <w:r>
              <w:rPr>
                <w:rFonts w:ascii="Times New Roman" w:hAnsi="Times New Roman"/>
                <w:b w:val="0"/>
                <w:i w:val="0"/>
                <w:sz w:val="21"/>
              </w:rPr>
              <w:t>Persistence</w:t>
            </w:r>
          </w:p>
        </w:tc>
        <w:tc>
          <w:tcPr>
            <w:tcW w:type="dxa" w:w="1800"/>
            <w:vAlign w:val="center"/>
          </w:tcPr>
          <w:p>
            <w:pPr>
              <w:spacing w:after="40"/>
              <w:jc w:val="center"/>
            </w:pPr>
            <w:r/>
            <w:r>
              <w:rPr>
                <w:rFonts w:ascii="Times New Roman" w:hAnsi="Times New Roman"/>
                <w:b w:val="0"/>
                <w:i w:val="0"/>
                <w:sz w:val="21"/>
              </w:rPr>
              <w:t>Baseline</w:t>
            </w:r>
          </w:p>
        </w:tc>
        <w:tc>
          <w:tcPr>
            <w:tcW w:type="dxa" w:w="4392"/>
            <w:vAlign w:val="center"/>
          </w:tcPr>
          <w:p>
            <w:pPr>
              <w:spacing w:after="40"/>
              <w:jc w:val="center"/>
            </w:pPr>
            <w:r/>
            <w:r>
              <w:rPr>
                <w:rFonts w:ascii="Times New Roman" w:hAnsi="Times New Roman"/>
                <w:b w:val="0"/>
                <w:i w:val="0"/>
                <w:sz w:val="21"/>
              </w:rPr>
              <w:t>Predicts that the next value equals the latest CGM value.</w:t>
            </w:r>
          </w:p>
        </w:tc>
      </w:tr>
      <w:tr>
        <w:trPr>
          <w:cantSplit/>
        </w:trPr>
        <w:tc>
          <w:tcPr>
            <w:tcW w:type="dxa" w:w="2088"/>
            <w:shd w:fill="EAF2F8"/>
            <w:vAlign w:val="center"/>
          </w:tcPr>
          <w:p>
            <w:pPr>
              <w:spacing w:after="40"/>
              <w:jc w:val="left"/>
            </w:pPr>
            <w:r/>
            <w:r>
              <w:rPr>
                <w:rFonts w:ascii="Times New Roman" w:hAnsi="Times New Roman"/>
                <w:b w:val="0"/>
                <w:i w:val="0"/>
                <w:sz w:val="21"/>
              </w:rPr>
              <w:t>Ridge regression</w:t>
            </w:r>
          </w:p>
        </w:tc>
        <w:tc>
          <w:tcPr>
            <w:tcW w:type="dxa" w:w="1800"/>
            <w:shd w:fill="EAF2F8"/>
            <w:vAlign w:val="center"/>
          </w:tcPr>
          <w:p>
            <w:pPr>
              <w:spacing w:after="40"/>
              <w:jc w:val="center"/>
            </w:pPr>
            <w:r/>
            <w:r>
              <w:rPr>
                <w:rFonts w:ascii="Times New Roman" w:hAnsi="Times New Roman"/>
                <w:b w:val="0"/>
                <w:i w:val="0"/>
                <w:sz w:val="21"/>
              </w:rPr>
              <w:t>Linear model</w:t>
            </w:r>
          </w:p>
        </w:tc>
        <w:tc>
          <w:tcPr>
            <w:tcW w:type="dxa" w:w="4392"/>
            <w:shd w:fill="EAF2F8"/>
            <w:vAlign w:val="center"/>
          </w:tcPr>
          <w:p>
            <w:pPr>
              <w:spacing w:after="40"/>
              <w:jc w:val="center"/>
            </w:pPr>
            <w:r/>
            <w:r>
              <w:rPr>
                <w:rFonts w:ascii="Times New Roman" w:hAnsi="Times New Roman"/>
                <w:b w:val="0"/>
                <w:i w:val="0"/>
                <w:sz w:val="21"/>
              </w:rPr>
              <w:t>Median imputation, standardisation, and L2-regularised linear regression.</w:t>
            </w:r>
          </w:p>
        </w:tc>
      </w:tr>
      <w:tr>
        <w:trPr>
          <w:cantSplit/>
        </w:trPr>
        <w:tc>
          <w:tcPr>
            <w:tcW w:type="dxa" w:w="2088"/>
            <w:vAlign w:val="center"/>
          </w:tcPr>
          <w:p>
            <w:pPr>
              <w:spacing w:after="40"/>
              <w:jc w:val="left"/>
            </w:pPr>
            <w:r/>
            <w:r>
              <w:rPr>
                <w:rFonts w:ascii="Times New Roman" w:hAnsi="Times New Roman"/>
                <w:b w:val="0"/>
                <w:i w:val="0"/>
                <w:sz w:val="21"/>
              </w:rPr>
              <w:t>Histogram gradient boosting</w:t>
            </w:r>
          </w:p>
        </w:tc>
        <w:tc>
          <w:tcPr>
            <w:tcW w:type="dxa" w:w="1800"/>
            <w:vAlign w:val="center"/>
          </w:tcPr>
          <w:p>
            <w:pPr>
              <w:spacing w:after="40"/>
              <w:jc w:val="center"/>
            </w:pPr>
            <w:r/>
            <w:r>
              <w:rPr>
                <w:rFonts w:ascii="Times New Roman" w:hAnsi="Times New Roman"/>
                <w:b w:val="0"/>
                <w:i w:val="0"/>
                <w:sz w:val="21"/>
              </w:rPr>
              <w:t>Non-linear model</w:t>
            </w:r>
          </w:p>
        </w:tc>
        <w:tc>
          <w:tcPr>
            <w:tcW w:type="dxa" w:w="4392"/>
            <w:vAlign w:val="center"/>
          </w:tcPr>
          <w:p>
            <w:pPr>
              <w:spacing w:after="40"/>
              <w:jc w:val="center"/>
            </w:pPr>
            <w:r/>
            <w:r>
              <w:rPr>
                <w:rFonts w:ascii="Times New Roman" w:hAnsi="Times New Roman"/>
                <w:b w:val="0"/>
                <w:i w:val="0"/>
                <w:sz w:val="21"/>
              </w:rPr>
              <w:t>scikit-learn HistGradientBoostingRegressor using the same history features.</w:t>
            </w:r>
          </w:p>
        </w:tc>
      </w:tr>
    </w:tbl>
    <w:p>
      <w:pPr>
        <w:spacing w:after="40"/>
      </w:pPr>
    </w:p>
    <w:p>
      <w:pPr>
        <w:keepNext/>
        <w:spacing w:before="200" w:after="140"/>
        <w:jc w:val="left"/>
      </w:pPr>
      <w:r>
        <w:rPr>
          <w:rFonts w:ascii="Times New Roman" w:hAnsi="Times New Roman"/>
          <w:b/>
          <w:i w:val="0"/>
          <w:sz w:val="24"/>
        </w:rPr>
        <w:t>2.4 Evaluation</w:t>
      </w:r>
    </w:p>
    <w:p>
      <w:pPr>
        <w:spacing w:line="360" w:lineRule="auto" w:before="0" w:after="160"/>
        <w:jc w:val="both"/>
      </w:pPr>
      <w:r>
        <w:rPr>
          <w:rFonts w:ascii="Times New Roman" w:hAnsi="Times New Roman"/>
          <w:b w:val="0"/>
          <w:i w:val="0"/>
          <w:sz w:val="24"/>
        </w:rPr>
        <w:t>Five outer folds are created at patient level. All recordings from one patient remain in one fold, preventing the model from training and testing on the same person. The primary metric is subject-macro MAE in mg/dL. RMSE, R-squared, and percentage of predictions within 15 mg/dL are secondary descriptive metrics. The 95% confidence intervals are calculated by resampling patients, not individual time points.</w:t>
      </w:r>
    </w:p>
    <w:p>
      <w:pPr>
        <w:keepNext/>
        <w:spacing w:before="280" w:after="140"/>
        <w:jc w:val="left"/>
      </w:pPr>
      <w:r>
        <w:rPr>
          <w:rFonts w:ascii="Times New Roman" w:hAnsi="Times New Roman"/>
          <w:b/>
          <w:i w:val="0"/>
          <w:sz w:val="28"/>
        </w:rPr>
        <w:t>3. Implementation</w:t>
      </w:r>
    </w:p>
    <w:p>
      <w:pPr>
        <w:spacing w:line="360" w:lineRule="auto" w:before="0" w:after="160"/>
        <w:jc w:val="both"/>
      </w:pPr>
      <w:r>
        <w:rPr>
          <w:rFonts w:ascii="Times New Roman" w:hAnsi="Times New Roman"/>
          <w:b w:val="0"/>
          <w:i w:val="0"/>
          <w:sz w:val="24"/>
        </w:rPr>
        <w:t>The implementation is deliberately small and uses standard Python tools. Pandas reads and cleans the data. scikit-learn trains the Ridge and Histogram Gradient Boosting models. Matplotlib and Seaborn create the final figures. Streamlit provides a read-only result viewer with an accuracy screen and a patient-level held-out prediction screen.</w:t>
      </w:r>
    </w:p>
    <w:tbl>
      <w:tblPr>
        <w:tblStyle w:val="TableGrid"/>
        <w:tblW w:type="auto" w:w="0"/>
        <w:tblLayout w:type="fixed"/>
        <w:tblLook w:firstColumn="1" w:firstRow="1" w:lastColumn="0" w:lastRow="0" w:noHBand="0" w:noVBand="1" w:val="04A0"/>
      </w:tblPr>
      <w:tblGrid>
        <w:gridCol w:w="4153"/>
        <w:gridCol w:w="4153"/>
      </w:tblGrid>
      <w:tr>
        <w:trPr>
          <w:cantSplit/>
          <w:tblHeader w:val="true"/>
          <w:tblHeader w:val="true"/>
        </w:trPr>
        <w:tc>
          <w:tcPr>
            <w:tcW w:type="dxa" w:w="3456"/>
            <w:shd w:fill="1F4E78"/>
            <w:vAlign w:val="center"/>
          </w:tcPr>
          <w:p>
            <w:pPr>
              <w:spacing w:after="40"/>
              <w:jc w:val="center"/>
            </w:pPr>
            <w:r>
              <w:rPr>
                <w:color w:val="FFFFFF"/>
              </w:rPr>
            </w:r>
            <w:r>
              <w:rPr>
                <w:rFonts w:ascii="Times New Roman" w:hAnsi="Times New Roman"/>
                <w:b/>
                <w:i w:val="0"/>
                <w:sz w:val="21"/>
                <w:color w:val="FFFFFF"/>
              </w:rPr>
              <w:t>Folder or file</w:t>
            </w:r>
          </w:p>
        </w:tc>
        <w:tc>
          <w:tcPr>
            <w:tcW w:type="dxa" w:w="4824"/>
            <w:shd w:fill="1F4E78"/>
            <w:vAlign w:val="center"/>
          </w:tcPr>
          <w:p>
            <w:pPr>
              <w:spacing w:after="40"/>
              <w:jc w:val="center"/>
            </w:pPr>
            <w:r>
              <w:rPr>
                <w:color w:val="FFFFFF"/>
              </w:rPr>
            </w:r>
            <w:r>
              <w:rPr>
                <w:rFonts w:ascii="Times New Roman" w:hAnsi="Times New Roman"/>
                <w:b/>
                <w:i w:val="0"/>
                <w:sz w:val="21"/>
                <w:color w:val="FFFFFF"/>
              </w:rPr>
              <w:t>Purpose</w:t>
            </w:r>
          </w:p>
        </w:tc>
      </w:tr>
      <w:tr>
        <w:trPr>
          <w:cantSplit/>
        </w:trPr>
        <w:tc>
          <w:tcPr>
            <w:tcW w:type="dxa" w:w="3456"/>
            <w:vAlign w:val="center"/>
          </w:tcPr>
          <w:p>
            <w:pPr>
              <w:spacing w:after="40"/>
              <w:jc w:val="left"/>
            </w:pPr>
            <w:r/>
            <w:r>
              <w:rPr>
                <w:rFonts w:ascii="Times New Roman" w:hAnsi="Times New Roman"/>
                <w:b w:val="0"/>
                <w:i w:val="0"/>
                <w:sz w:val="21"/>
              </w:rPr>
              <w:t>src/shanghai_t2d</w:t>
            </w:r>
          </w:p>
        </w:tc>
        <w:tc>
          <w:tcPr>
            <w:tcW w:type="dxa" w:w="4824"/>
            <w:vAlign w:val="center"/>
          </w:tcPr>
          <w:p>
            <w:pPr>
              <w:spacing w:after="40"/>
              <w:jc w:val="center"/>
            </w:pPr>
            <w:r/>
            <w:r>
              <w:rPr>
                <w:rFonts w:ascii="Times New Roman" w:hAnsi="Times New Roman"/>
                <w:b w:val="0"/>
                <w:i w:val="0"/>
                <w:sz w:val="21"/>
              </w:rPr>
              <w:t>Data loading, feature construction, standard models, and evaluation.</w:t>
            </w:r>
          </w:p>
        </w:tc>
      </w:tr>
      <w:tr>
        <w:trPr>
          <w:cantSplit/>
        </w:trPr>
        <w:tc>
          <w:tcPr>
            <w:tcW w:type="dxa" w:w="3456"/>
            <w:shd w:fill="EAF2F8"/>
            <w:vAlign w:val="center"/>
          </w:tcPr>
          <w:p>
            <w:pPr>
              <w:spacing w:after="40"/>
              <w:jc w:val="left"/>
            </w:pPr>
            <w:r/>
            <w:r>
              <w:rPr>
                <w:rFonts w:ascii="Times New Roman" w:hAnsi="Times New Roman"/>
                <w:b w:val="0"/>
                <w:i w:val="0"/>
                <w:sz w:val="21"/>
              </w:rPr>
              <w:t>scripts/run_basic.py</w:t>
            </w:r>
          </w:p>
        </w:tc>
        <w:tc>
          <w:tcPr>
            <w:tcW w:type="dxa" w:w="4824"/>
            <w:shd w:fill="EAF2F8"/>
            <w:vAlign w:val="center"/>
          </w:tcPr>
          <w:p>
            <w:pPr>
              <w:spacing w:after="40"/>
              <w:jc w:val="center"/>
            </w:pPr>
            <w:r/>
            <w:r>
              <w:rPr>
                <w:rFonts w:ascii="Times New Roman" w:hAnsi="Times New Roman"/>
                <w:b w:val="0"/>
                <w:i w:val="0"/>
                <w:sz w:val="21"/>
              </w:rPr>
              <w:t>Runs the three-model patient-held-out workflow.</w:t>
            </w:r>
          </w:p>
        </w:tc>
      </w:tr>
      <w:tr>
        <w:trPr>
          <w:cantSplit/>
        </w:trPr>
        <w:tc>
          <w:tcPr>
            <w:tcW w:type="dxa" w:w="3456"/>
            <w:vAlign w:val="center"/>
          </w:tcPr>
          <w:p>
            <w:pPr>
              <w:spacing w:after="40"/>
              <w:jc w:val="left"/>
            </w:pPr>
            <w:r/>
            <w:r>
              <w:rPr>
                <w:rFonts w:ascii="Times New Roman" w:hAnsi="Times New Roman"/>
                <w:b w:val="0"/>
                <w:i w:val="0"/>
                <w:sz w:val="21"/>
              </w:rPr>
              <w:t>scripts/create_presentation_results.py</w:t>
            </w:r>
          </w:p>
        </w:tc>
        <w:tc>
          <w:tcPr>
            <w:tcW w:type="dxa" w:w="4824"/>
            <w:vAlign w:val="center"/>
          </w:tcPr>
          <w:p>
            <w:pPr>
              <w:spacing w:after="40"/>
              <w:jc w:val="center"/>
            </w:pPr>
            <w:r/>
            <w:r>
              <w:rPr>
                <w:rFonts w:ascii="Times New Roman" w:hAnsi="Times New Roman"/>
                <w:b w:val="0"/>
                <w:i w:val="0"/>
                <w:sz w:val="21"/>
              </w:rPr>
              <w:t>Creates the concise accuracy table and two report figures.</w:t>
            </w:r>
          </w:p>
        </w:tc>
      </w:tr>
      <w:tr>
        <w:trPr>
          <w:cantSplit/>
        </w:trPr>
        <w:tc>
          <w:tcPr>
            <w:tcW w:type="dxa" w:w="3456"/>
            <w:shd w:fill="EAF2F8"/>
            <w:vAlign w:val="center"/>
          </w:tcPr>
          <w:p>
            <w:pPr>
              <w:spacing w:after="40"/>
              <w:jc w:val="left"/>
            </w:pPr>
            <w:r/>
            <w:r>
              <w:rPr>
                <w:rFonts w:ascii="Times New Roman" w:hAnsi="Times New Roman"/>
                <w:b w:val="0"/>
                <w:i w:val="0"/>
                <w:sz w:val="21"/>
              </w:rPr>
              <w:t>outputs/presentation</w:t>
            </w:r>
          </w:p>
        </w:tc>
        <w:tc>
          <w:tcPr>
            <w:tcW w:type="dxa" w:w="4824"/>
            <w:shd w:fill="EAF2F8"/>
            <w:vAlign w:val="center"/>
          </w:tcPr>
          <w:p>
            <w:pPr>
              <w:spacing w:after="40"/>
              <w:jc w:val="center"/>
            </w:pPr>
            <w:r/>
            <w:r>
              <w:rPr>
                <w:rFonts w:ascii="Times New Roman" w:hAnsi="Times New Roman"/>
                <w:b w:val="0"/>
                <w:i w:val="0"/>
                <w:sz w:val="21"/>
              </w:rPr>
              <w:t>Presentation-ready accuracy summary and figures.</w:t>
            </w:r>
          </w:p>
        </w:tc>
      </w:tr>
      <w:tr>
        <w:trPr>
          <w:cantSplit/>
        </w:trPr>
        <w:tc>
          <w:tcPr>
            <w:tcW w:type="dxa" w:w="3456"/>
            <w:vAlign w:val="center"/>
          </w:tcPr>
          <w:p>
            <w:pPr>
              <w:spacing w:after="40"/>
              <w:jc w:val="left"/>
            </w:pPr>
            <w:r/>
            <w:r>
              <w:rPr>
                <w:rFonts w:ascii="Times New Roman" w:hAnsi="Times New Roman"/>
                <w:b w:val="0"/>
                <w:i w:val="0"/>
                <w:sz w:val="21"/>
              </w:rPr>
              <w:t>app.py</w:t>
            </w:r>
          </w:p>
        </w:tc>
        <w:tc>
          <w:tcPr>
            <w:tcW w:type="dxa" w:w="4824"/>
            <w:vAlign w:val="center"/>
          </w:tcPr>
          <w:p>
            <w:pPr>
              <w:spacing w:after="40"/>
              <w:jc w:val="center"/>
            </w:pPr>
            <w:r/>
            <w:r>
              <w:rPr>
                <w:rFonts w:ascii="Times New Roman" w:hAnsi="Times New Roman"/>
                <w:b w:val="0"/>
                <w:i w:val="0"/>
                <w:sz w:val="21"/>
              </w:rPr>
              <w:t>Simple Streamlit viewer for accuracy and one patient at a time.</w:t>
            </w:r>
          </w:p>
        </w:tc>
      </w:tr>
    </w:tbl>
    <w:p>
      <w:pPr>
        <w:spacing w:after="40"/>
      </w:pPr>
    </w:p>
    <w:p>
      <w:pPr>
        <w:keepNext/>
        <w:spacing w:before="200" w:after="140"/>
        <w:jc w:val="left"/>
      </w:pPr>
      <w:r>
        <w:rPr>
          <w:rFonts w:ascii="Times New Roman" w:hAnsi="Times New Roman"/>
          <w:b/>
          <w:i w:val="0"/>
          <w:sz w:val="24"/>
        </w:rPr>
        <w:t>Execution Steps</w:t>
      </w:r>
    </w:p>
    <w:p>
      <w:pPr>
        <w:spacing w:line="360" w:lineRule="auto" w:after="60"/>
        <w:ind w:left="403" w:hanging="259"/>
      </w:pPr>
      <w:r>
        <w:rPr>
          <w:rFonts w:ascii="Times New Roman" w:hAnsi="Times New Roman"/>
          <w:b w:val="0"/>
          <w:i w:val="0"/>
          <w:sz w:val="24"/>
        </w:rPr>
        <w:t>• Load CGM episodes and remove invalid or discontinuous intervals.</w:t>
      </w:r>
    </w:p>
    <w:p>
      <w:pPr>
        <w:spacing w:line="360" w:lineRule="auto" w:after="60"/>
        <w:ind w:left="403" w:hanging="259"/>
      </w:pPr>
      <w:r>
        <w:rPr>
          <w:rFonts w:ascii="Times New Roman" w:hAnsi="Times New Roman"/>
          <w:b w:val="0"/>
          <w:i w:val="0"/>
          <w:sz w:val="24"/>
        </w:rPr>
        <w:t>• Construct six-hour past-only feature windows for each forecast horizon.</w:t>
      </w:r>
    </w:p>
    <w:p>
      <w:pPr>
        <w:spacing w:line="360" w:lineRule="auto" w:after="60"/>
        <w:ind w:left="403" w:hanging="259"/>
      </w:pPr>
      <w:r>
        <w:rPr>
          <w:rFonts w:ascii="Times New Roman" w:hAnsi="Times New Roman"/>
          <w:b w:val="0"/>
          <w:i w:val="0"/>
          <w:sz w:val="24"/>
        </w:rPr>
        <w:t>• Split patients into five held-out folds.</w:t>
      </w:r>
    </w:p>
    <w:p>
      <w:pPr>
        <w:spacing w:line="360" w:lineRule="auto" w:after="60"/>
        <w:ind w:left="403" w:hanging="259"/>
      </w:pPr>
      <w:r>
        <w:rPr>
          <w:rFonts w:ascii="Times New Roman" w:hAnsi="Times New Roman"/>
          <w:b w:val="0"/>
          <w:i w:val="0"/>
          <w:sz w:val="24"/>
        </w:rPr>
        <w:t>• Fit persistence, Ridge, and Histogram Gradient Boosting models.</w:t>
      </w:r>
    </w:p>
    <w:p>
      <w:pPr>
        <w:spacing w:line="360" w:lineRule="auto" w:after="60"/>
        <w:ind w:left="403" w:hanging="259"/>
      </w:pPr>
      <w:r>
        <w:rPr>
          <w:rFonts w:ascii="Times New Roman" w:hAnsi="Times New Roman"/>
          <w:b w:val="0"/>
          <w:i w:val="0"/>
          <w:sz w:val="24"/>
        </w:rPr>
        <w:t>• Save out-of-fold predictions, calculate patient-level metrics, and draw final figures.</w:t>
      </w:r>
    </w:p>
    <w:p>
      <w:pPr>
        <w:keepNext/>
        <w:spacing w:before="280" w:after="140"/>
        <w:jc w:val="left"/>
      </w:pPr>
      <w:r>
        <w:rPr>
          <w:rFonts w:ascii="Times New Roman" w:hAnsi="Times New Roman"/>
          <w:b/>
          <w:i w:val="0"/>
          <w:sz w:val="28"/>
        </w:rPr>
        <w:t>4. Results and Accuracy</w:t>
      </w:r>
    </w:p>
    <w:p>
      <w:pPr>
        <w:spacing w:line="360" w:lineRule="auto" w:before="0" w:after="160"/>
        <w:jc w:val="both"/>
      </w:pPr>
      <w:r>
        <w:rPr>
          <w:rFonts w:ascii="Times New Roman" w:hAnsi="Times New Roman"/>
          <w:b w:val="0"/>
          <w:i w:val="0"/>
          <w:sz w:val="24"/>
        </w:rPr>
        <w:t>Lower MAE is better. The table reports the subject-macro MAE in mg/dL, followed by a 95% patient-bootstrap confidence interval. All three models are evaluated on the same held-out patients and prediction points.</w:t>
      </w:r>
    </w:p>
    <w:tbl>
      <w:tblPr>
        <w:tblStyle w:val="TableGrid"/>
        <w:tblW w:type="auto" w:w="0"/>
        <w:tblLayout w:type="fixed"/>
        <w:tblLook w:firstColumn="1" w:firstRow="1" w:lastColumn="0" w:lastRow="0" w:noHBand="0" w:noVBand="1" w:val="04A0"/>
      </w:tblPr>
      <w:tblGrid>
        <w:gridCol w:w="2076"/>
        <w:gridCol w:w="2076"/>
        <w:gridCol w:w="2076"/>
        <w:gridCol w:w="2076"/>
      </w:tblGrid>
      <w:tr>
        <w:trPr>
          <w:cantSplit/>
          <w:tblHeader w:val="true"/>
          <w:tblHeader w:val="true"/>
        </w:trPr>
        <w:tc>
          <w:tcPr>
            <w:tcW w:type="dxa" w:w="2232"/>
            <w:shd w:fill="1F4E78"/>
            <w:vAlign w:val="center"/>
          </w:tcPr>
          <w:p>
            <w:pPr>
              <w:spacing w:after="40"/>
              <w:jc w:val="center"/>
            </w:pPr>
            <w:r>
              <w:rPr>
                <w:color w:val="FFFFFF"/>
              </w:rPr>
            </w:r>
            <w:r>
              <w:rPr>
                <w:rFonts w:ascii="Times New Roman" w:hAnsi="Times New Roman"/>
                <w:b/>
                <w:i w:val="0"/>
                <w:sz w:val="21"/>
                <w:color w:val="FFFFFF"/>
              </w:rPr>
              <w:t>Model</w:t>
            </w:r>
          </w:p>
        </w:tc>
        <w:tc>
          <w:tcPr>
            <w:tcW w:type="dxa" w:w="2016"/>
            <w:shd w:fill="1F4E78"/>
            <w:vAlign w:val="center"/>
          </w:tcPr>
          <w:p>
            <w:pPr>
              <w:spacing w:after="40"/>
              <w:jc w:val="center"/>
            </w:pPr>
            <w:r>
              <w:rPr>
                <w:color w:val="FFFFFF"/>
              </w:rPr>
            </w:r>
            <w:r>
              <w:rPr>
                <w:rFonts w:ascii="Times New Roman" w:hAnsi="Times New Roman"/>
                <w:b/>
                <w:i w:val="0"/>
                <w:sz w:val="21"/>
                <w:color w:val="FFFFFF"/>
              </w:rPr>
              <w:t>15 min MAE</w:t>
            </w:r>
          </w:p>
        </w:tc>
        <w:tc>
          <w:tcPr>
            <w:tcW w:type="dxa" w:w="2016"/>
            <w:shd w:fill="1F4E78"/>
            <w:vAlign w:val="center"/>
          </w:tcPr>
          <w:p>
            <w:pPr>
              <w:spacing w:after="40"/>
              <w:jc w:val="center"/>
            </w:pPr>
            <w:r>
              <w:rPr>
                <w:color w:val="FFFFFF"/>
              </w:rPr>
            </w:r>
            <w:r>
              <w:rPr>
                <w:rFonts w:ascii="Times New Roman" w:hAnsi="Times New Roman"/>
                <w:b/>
                <w:i w:val="0"/>
                <w:sz w:val="21"/>
                <w:color w:val="FFFFFF"/>
              </w:rPr>
              <w:t>30 min MAE</w:t>
            </w:r>
          </w:p>
        </w:tc>
        <w:tc>
          <w:tcPr>
            <w:tcW w:type="dxa" w:w="2016"/>
            <w:shd w:fill="1F4E78"/>
            <w:vAlign w:val="center"/>
          </w:tcPr>
          <w:p>
            <w:pPr>
              <w:spacing w:after="40"/>
              <w:jc w:val="center"/>
            </w:pPr>
            <w:r>
              <w:rPr>
                <w:color w:val="FFFFFF"/>
              </w:rPr>
            </w:r>
            <w:r>
              <w:rPr>
                <w:rFonts w:ascii="Times New Roman" w:hAnsi="Times New Roman"/>
                <w:b/>
                <w:i w:val="0"/>
                <w:sz w:val="21"/>
                <w:color w:val="FFFFFF"/>
              </w:rPr>
              <w:t>60 min MAE</w:t>
            </w:r>
          </w:p>
        </w:tc>
      </w:tr>
      <w:tr>
        <w:trPr>
          <w:cantSplit/>
        </w:trPr>
        <w:tc>
          <w:tcPr>
            <w:tcW w:type="dxa" w:w="2232"/>
            <w:vAlign w:val="center"/>
          </w:tcPr>
          <w:p>
            <w:pPr>
              <w:spacing w:after="40"/>
              <w:jc w:val="left"/>
            </w:pPr>
            <w:r/>
            <w:r>
              <w:rPr>
                <w:rFonts w:ascii="Times New Roman" w:hAnsi="Times New Roman"/>
                <w:b w:val="0"/>
                <w:i w:val="0"/>
                <w:sz w:val="21"/>
              </w:rPr>
              <w:t>Persistence</w:t>
            </w:r>
          </w:p>
        </w:tc>
        <w:tc>
          <w:tcPr>
            <w:tcW w:type="dxa" w:w="2016"/>
            <w:vAlign w:val="center"/>
          </w:tcPr>
          <w:p>
            <w:pPr>
              <w:spacing w:after="40"/>
              <w:jc w:val="center"/>
            </w:pPr>
            <w:r/>
            <w:r>
              <w:rPr>
                <w:rFonts w:ascii="Times New Roman" w:hAnsi="Times New Roman"/>
                <w:b w:val="0"/>
                <w:i w:val="0"/>
                <w:sz w:val="21"/>
              </w:rPr>
              <w:t>6.57 (6.26-6.88)</w:t>
            </w:r>
          </w:p>
        </w:tc>
        <w:tc>
          <w:tcPr>
            <w:tcW w:type="dxa" w:w="2016"/>
            <w:vAlign w:val="center"/>
          </w:tcPr>
          <w:p>
            <w:pPr>
              <w:spacing w:after="40"/>
              <w:jc w:val="center"/>
            </w:pPr>
            <w:r/>
            <w:r>
              <w:rPr>
                <w:rFonts w:ascii="Times New Roman" w:hAnsi="Times New Roman"/>
                <w:b w:val="0"/>
                <w:i w:val="0"/>
                <w:sz w:val="21"/>
              </w:rPr>
              <w:t>12.09 (11.49-12.67)</w:t>
            </w:r>
          </w:p>
        </w:tc>
        <w:tc>
          <w:tcPr>
            <w:tcW w:type="dxa" w:w="2016"/>
            <w:vAlign w:val="center"/>
          </w:tcPr>
          <w:p>
            <w:pPr>
              <w:spacing w:after="40"/>
              <w:jc w:val="center"/>
            </w:pPr>
            <w:r/>
            <w:r>
              <w:rPr>
                <w:rFonts w:ascii="Times New Roman" w:hAnsi="Times New Roman"/>
                <w:b w:val="0"/>
                <w:i w:val="0"/>
                <w:sz w:val="21"/>
              </w:rPr>
              <w:t>20.36 (19.32-21.46)</w:t>
            </w:r>
          </w:p>
        </w:tc>
      </w:tr>
      <w:tr>
        <w:trPr>
          <w:cantSplit/>
        </w:trPr>
        <w:tc>
          <w:tcPr>
            <w:tcW w:type="dxa" w:w="2232"/>
            <w:shd w:fill="EAF2F8"/>
            <w:vAlign w:val="center"/>
          </w:tcPr>
          <w:p>
            <w:pPr>
              <w:spacing w:after="40"/>
              <w:jc w:val="left"/>
            </w:pPr>
            <w:r/>
            <w:r>
              <w:rPr>
                <w:rFonts w:ascii="Times New Roman" w:hAnsi="Times New Roman"/>
                <w:b w:val="0"/>
                <w:i w:val="0"/>
                <w:sz w:val="21"/>
              </w:rPr>
              <w:t>Ridge regression</w:t>
            </w:r>
          </w:p>
        </w:tc>
        <w:tc>
          <w:tcPr>
            <w:tcW w:type="dxa" w:w="2016"/>
            <w:shd w:fill="EAF2F8"/>
            <w:vAlign w:val="center"/>
          </w:tcPr>
          <w:p>
            <w:pPr>
              <w:spacing w:after="40"/>
              <w:jc w:val="center"/>
            </w:pPr>
            <w:r/>
            <w:r>
              <w:rPr>
                <w:rFonts w:ascii="Times New Roman" w:hAnsi="Times New Roman"/>
                <w:b w:val="0"/>
                <w:i w:val="0"/>
                <w:sz w:val="21"/>
              </w:rPr>
              <w:t>4.26 (4.12-4.40)</w:t>
            </w:r>
          </w:p>
        </w:tc>
        <w:tc>
          <w:tcPr>
            <w:tcW w:type="dxa" w:w="2016"/>
            <w:shd w:fill="EAF2F8"/>
            <w:vAlign w:val="center"/>
          </w:tcPr>
          <w:p>
            <w:pPr>
              <w:spacing w:after="40"/>
              <w:jc w:val="center"/>
            </w:pPr>
            <w:r/>
            <w:r>
              <w:rPr>
                <w:rFonts w:ascii="Times New Roman" w:hAnsi="Times New Roman"/>
                <w:b w:val="0"/>
                <w:i w:val="0"/>
                <w:sz w:val="21"/>
              </w:rPr>
              <w:t>9.65 (9.29-10.02)</w:t>
            </w:r>
          </w:p>
        </w:tc>
        <w:tc>
          <w:tcPr>
            <w:tcW w:type="dxa" w:w="2016"/>
            <w:shd w:fill="EAF2F8"/>
            <w:vAlign w:val="center"/>
          </w:tcPr>
          <w:p>
            <w:pPr>
              <w:spacing w:after="40"/>
              <w:jc w:val="center"/>
            </w:pPr>
            <w:r/>
            <w:r>
              <w:rPr>
                <w:rFonts w:ascii="Times New Roman" w:hAnsi="Times New Roman"/>
                <w:b w:val="0"/>
                <w:i w:val="0"/>
                <w:sz w:val="21"/>
              </w:rPr>
              <w:t>17.45 (16.77-18.16)</w:t>
            </w:r>
          </w:p>
        </w:tc>
      </w:tr>
      <w:tr>
        <w:trPr>
          <w:cantSplit/>
        </w:trPr>
        <w:tc>
          <w:tcPr>
            <w:tcW w:type="dxa" w:w="2232"/>
            <w:vAlign w:val="center"/>
          </w:tcPr>
          <w:p>
            <w:pPr>
              <w:spacing w:after="40"/>
              <w:jc w:val="left"/>
            </w:pPr>
            <w:r/>
            <w:r>
              <w:rPr>
                <w:rFonts w:ascii="Times New Roman" w:hAnsi="Times New Roman"/>
                <w:b w:val="0"/>
                <w:i w:val="0"/>
                <w:sz w:val="21"/>
              </w:rPr>
              <w:t>Histogram gradient boosting</w:t>
            </w:r>
          </w:p>
        </w:tc>
        <w:tc>
          <w:tcPr>
            <w:tcW w:type="dxa" w:w="2016"/>
            <w:vAlign w:val="center"/>
          </w:tcPr>
          <w:p>
            <w:pPr>
              <w:spacing w:after="40"/>
              <w:jc w:val="center"/>
            </w:pPr>
            <w:r/>
            <w:r>
              <w:rPr>
                <w:rFonts w:ascii="Times New Roman" w:hAnsi="Times New Roman"/>
                <w:b w:val="0"/>
                <w:i w:val="0"/>
                <w:sz w:val="21"/>
              </w:rPr>
              <w:t>4.39 (4.22-4.57)</w:t>
            </w:r>
          </w:p>
        </w:tc>
        <w:tc>
          <w:tcPr>
            <w:tcW w:type="dxa" w:w="2016"/>
            <w:vAlign w:val="center"/>
          </w:tcPr>
          <w:p>
            <w:pPr>
              <w:spacing w:after="40"/>
              <w:jc w:val="center"/>
            </w:pPr>
            <w:r/>
            <w:r>
              <w:rPr>
                <w:rFonts w:ascii="Times New Roman" w:hAnsi="Times New Roman"/>
                <w:b w:val="0"/>
                <w:i w:val="0"/>
                <w:sz w:val="21"/>
              </w:rPr>
              <w:t>9.42 (9.04-9.80)</w:t>
            </w:r>
          </w:p>
        </w:tc>
        <w:tc>
          <w:tcPr>
            <w:tcW w:type="dxa" w:w="2016"/>
            <w:vAlign w:val="center"/>
          </w:tcPr>
          <w:p>
            <w:pPr>
              <w:spacing w:after="40"/>
              <w:jc w:val="center"/>
            </w:pPr>
            <w:r/>
            <w:r>
              <w:rPr>
                <w:rFonts w:ascii="Times New Roman" w:hAnsi="Times New Roman"/>
                <w:b w:val="0"/>
                <w:i w:val="0"/>
                <w:sz w:val="21"/>
              </w:rPr>
              <w:t>16.54 (15.89-17.22)</w:t>
            </w:r>
          </w:p>
        </w:tc>
      </w:tr>
    </w:tbl>
    <w:p>
      <w:pPr>
        <w:spacing w:after="40"/>
      </w:pPr>
    </w:p>
    <w:p>
      <w:pPr>
        <w:spacing w:line="360" w:lineRule="auto" w:before="0" w:after="160"/>
        <w:jc w:val="both"/>
      </w:pPr>
      <w:r>
        <w:rPr>
          <w:rFonts w:ascii="Times New Roman" w:hAnsi="Times New Roman"/>
          <w:b w:val="0"/>
          <w:i w:val="0"/>
          <w:sz w:val="24"/>
        </w:rPr>
        <w:t>At 15 minutes, Ridge regression is the best model with MAE 4.26 mg/dL. At 30 and 60 minutes, Histogram Gradient Boosting is best with MAE 9.42 and 16.54 mg/dL. At the primary 60-minute horizon, gradient boosting reduces MAE by 3.81 mg/dL compared with persistence, an improvement of 18.7%.</w:t>
      </w:r>
    </w:p>
    <w:p>
      <w:pPr>
        <w:spacing w:before="160" w:after="80"/>
        <w:jc w:val="center"/>
      </w:pPr>
      <w:r>
        <w:drawing>
          <wp:inline xmlns:a="http://schemas.openxmlformats.org/drawingml/2006/main" xmlns:pic="http://schemas.openxmlformats.org/drawingml/2006/picture">
            <wp:extent cx="5074920" cy="2932690"/>
            <wp:docPr id="5" name="Picture 5" descr="Line chart comparing mean absolute error across the three forecast horizons." title="Line chart comparing mean absolute error across the three forecast horizons."/>
            <wp:cNvGraphicFramePr>
              <a:graphicFrameLocks noChangeAspect="1"/>
            </wp:cNvGraphicFramePr>
            <a:graphic>
              <a:graphicData uri="http://schemas.openxmlformats.org/drawingml/2006/picture">
                <pic:pic>
                  <pic:nvPicPr>
                    <pic:cNvPr id="0" name="mae_by_horizon.png"/>
                    <pic:cNvPicPr/>
                  </pic:nvPicPr>
                  <pic:blipFill>
                    <a:blip r:embed="rId17"/>
                    <a:stretch>
                      <a:fillRect/>
                    </a:stretch>
                  </pic:blipFill>
                  <pic:spPr>
                    <a:xfrm>
                      <a:off x="0" y="0"/>
                      <a:ext cx="5074920" cy="2932690"/>
                    </a:xfrm>
                    <a:prstGeom prst="rect"/>
                  </pic:spPr>
                </pic:pic>
              </a:graphicData>
            </a:graphic>
          </wp:inline>
        </w:drawing>
      </w:r>
    </w:p>
    <w:p>
      <w:pPr>
        <w:spacing w:after="200"/>
        <w:jc w:val="center"/>
      </w:pPr>
      <w:r>
        <w:rPr>
          <w:rFonts w:ascii="Times New Roman" w:hAnsi="Times New Roman"/>
          <w:b w:val="0"/>
          <w:i/>
          <w:sz w:val="21"/>
        </w:rPr>
        <w:t>Figure 1. Subject-macro MAE by forecast horizon. Error bars show 95% patient-bootstrap intervals.</w:t>
      </w:r>
    </w:p>
    <w:p>
      <w:pPr>
        <w:spacing w:line="360" w:lineRule="auto" w:before="0" w:after="160"/>
        <w:jc w:val="both"/>
      </w:pPr>
      <w:r>
        <w:rPr>
          <w:rFonts w:ascii="Times New Roman" w:hAnsi="Times New Roman"/>
          <w:b w:val="0"/>
          <w:i w:val="0"/>
          <w:sz w:val="24"/>
        </w:rPr>
        <w:t>The increase in error from 15 to 60 minutes is expected because longer forecasts are more uncertain. The learned models remain better than persistence at every horizon, showing that recent CGM history contains useful information beyond the latest value alone.</w:t>
      </w:r>
    </w:p>
    <w:p>
      <w:pPr>
        <w:spacing w:before="160" w:after="80"/>
        <w:jc w:val="center"/>
      </w:pPr>
      <w:r>
        <w:drawing>
          <wp:inline xmlns:a="http://schemas.openxmlformats.org/drawingml/2006/main" xmlns:pic="http://schemas.openxmlformats.org/drawingml/2006/picture">
            <wp:extent cx="5074920" cy="5160133"/>
            <wp:docPr id="6" name="Picture 6" descr="Scatter plot of observed and predicted CGM values at 60 minutes." title="Scatter plot of observed and predicted CGM values at 60 minutes."/>
            <wp:cNvGraphicFramePr>
              <a:graphicFrameLocks noChangeAspect="1"/>
            </wp:cNvGraphicFramePr>
            <a:graphic>
              <a:graphicData uri="http://schemas.openxmlformats.org/drawingml/2006/picture">
                <pic:pic>
                  <pic:nvPicPr>
                    <pic:cNvPr id="0" name="observed_vs_predicted_60min.png"/>
                    <pic:cNvPicPr/>
                  </pic:nvPicPr>
                  <pic:blipFill>
                    <a:blip r:embed="rId18"/>
                    <a:stretch>
                      <a:fillRect/>
                    </a:stretch>
                  </pic:blipFill>
                  <pic:spPr>
                    <a:xfrm>
                      <a:off x="0" y="0"/>
                      <a:ext cx="5074920" cy="5160133"/>
                    </a:xfrm>
                    <a:prstGeom prst="rect"/>
                  </pic:spPr>
                </pic:pic>
              </a:graphicData>
            </a:graphic>
          </wp:inline>
        </w:drawing>
      </w:r>
    </w:p>
    <w:p>
      <w:pPr>
        <w:spacing w:after="200"/>
        <w:jc w:val="center"/>
      </w:pPr>
      <w:r>
        <w:rPr>
          <w:rFonts w:ascii="Times New Roman" w:hAnsi="Times New Roman"/>
          <w:b w:val="0"/>
          <w:i/>
          <w:sz w:val="21"/>
        </w:rPr>
        <w:t>Figure 2. Observed versus held-out 60-minute predictions for Histogram Gradient Boosting. The dashed line indicates perfect agreement.</w:t>
      </w:r>
    </w:p>
    <w:p>
      <w:pPr>
        <w:spacing w:line="360" w:lineRule="auto" w:before="0" w:after="160"/>
        <w:jc w:val="both"/>
      </w:pPr>
      <w:r>
        <w:rPr>
          <w:rFonts w:ascii="Times New Roman" w:hAnsi="Times New Roman"/>
          <w:b w:val="0"/>
          <w:i w:val="0"/>
          <w:sz w:val="24"/>
        </w:rPr>
        <w:t>For the 60-minute gradient-boosting model, R-squared is 0.611 and 60.7% of predictions are within 15 mg/dL of the observed value. The scatter plot follows the diagonal overall, while wider spread at higher glucose values shows that individual forecasts still have meaningful error.</w:t>
      </w:r>
    </w:p>
    <w:p>
      <w:pPr>
        <w:keepNext/>
        <w:spacing w:before="280" w:after="140"/>
        <w:jc w:val="left"/>
      </w:pPr>
      <w:r>
        <w:rPr>
          <w:rFonts w:ascii="Times New Roman" w:hAnsi="Times New Roman"/>
          <w:b/>
          <w:i w:val="0"/>
          <w:sz w:val="28"/>
        </w:rPr>
        <w:t>5. Conclusion and Limitations</w:t>
      </w:r>
    </w:p>
    <w:p>
      <w:pPr>
        <w:spacing w:line="360" w:lineRule="auto" w:before="0" w:after="160"/>
        <w:jc w:val="both"/>
      </w:pPr>
      <w:r>
        <w:rPr>
          <w:rFonts w:ascii="Times New Roman" w:hAnsi="Times New Roman"/>
          <w:b w:val="0"/>
          <w:i w:val="0"/>
          <w:sz w:val="24"/>
        </w:rPr>
        <w:t>The project demonstrates a clear and reliable comparison of standard forecasting models. Ridge regression provides the best 15-minute accuracy, while Histogram Gradient Boosting performs best at 30 and 60 minutes. Both models outperform the persistence baseline. The patient-held-out design, past-only features, saved predictions, and patient-level confidence intervals make the result reproducible and easier to explain.</w:t>
      </w:r>
    </w:p>
    <w:p>
      <w:pPr>
        <w:spacing w:line="360" w:lineRule="auto" w:before="0" w:after="160"/>
        <w:jc w:val="both"/>
      </w:pPr>
      <w:r>
        <w:rPr>
          <w:rFonts w:ascii="Times New Roman" w:hAnsi="Times New Roman"/>
          <w:b w:val="0"/>
          <w:i w:val="0"/>
          <w:sz w:val="24"/>
        </w:rPr>
        <w:t>The main limitations are the single retrospective dataset, short CGM episodes, and absence of long-term clinical outcomes. Therefore, the findings should not be interpreted as evidence for clinical deployment, disease-progression prediction, insulin dosing, or treatment recommendations. External and prospective validation would be required before any clinical use.</w:t>
      </w:r>
    </w:p>
    <w:p>
      <w:pPr>
        <w:keepNext/>
        <w:spacing w:before="280" w:after="140"/>
        <w:jc w:val="left"/>
      </w:pPr>
      <w:r>
        <w:rPr>
          <w:rFonts w:ascii="Times New Roman" w:hAnsi="Times New Roman"/>
          <w:b/>
          <w:i w:val="0"/>
          <w:sz w:val="28"/>
        </w:rPr>
        <w:t>References</w:t>
      </w:r>
    </w:p>
    <w:p>
      <w:pPr>
        <w:spacing w:line="360" w:lineRule="auto" w:before="0" w:after="160"/>
        <w:jc w:val="both"/>
      </w:pPr>
      <w:r>
        <w:rPr>
          <w:rFonts w:ascii="Times New Roman" w:hAnsi="Times New Roman"/>
          <w:b w:val="0"/>
          <w:i w:val="0"/>
          <w:sz w:val="24"/>
        </w:rPr>
        <w:t>1. Zhao Q, Zhu J, Wang C, Rao W. Chinese diabetes datasets for data-driven machine learning. Scientific Data. 2023;10:35. doi:10.1038/s41597-023-01940-7.</w:t>
      </w:r>
    </w:p>
    <w:p>
      <w:pPr>
        <w:spacing w:line="360" w:lineRule="auto" w:before="0" w:after="160"/>
        <w:jc w:val="both"/>
      </w:pPr>
      <w:r>
        <w:rPr>
          <w:rFonts w:ascii="Times New Roman" w:hAnsi="Times New Roman"/>
          <w:b w:val="0"/>
          <w:i w:val="0"/>
          <w:sz w:val="24"/>
        </w:rPr>
        <w:t>2. ShanghaiT1DM and ShanghaiT2DM dataset repository. Figshare. https://figshare.com/articles/dataset/diabetes_datasets_zip/21600933.</w:t>
      </w:r>
    </w:p>
    <w:p>
      <w:pPr>
        <w:spacing w:line="360" w:lineRule="auto" w:before="0" w:after="160"/>
        <w:jc w:val="both"/>
      </w:pPr>
      <w:r>
        <w:rPr>
          <w:rFonts w:ascii="Times New Roman" w:hAnsi="Times New Roman"/>
          <w:b w:val="0"/>
          <w:i w:val="0"/>
          <w:sz w:val="24"/>
        </w:rPr>
        <w:t>3. Pedregosa F, et al. Scikit-learn: Machine Learning in Python. Journal of Machine Learning Research. 2011;12:2825-2830.</w:t>
      </w:r>
    </w:p>
    <w:sectPr w:rsidR="009B7332" w:rsidRPr="001A0D19" w:rsidSect="00897118">
      <w:headerReference w:type="even" r:id="rId11"/>
      <w:headerReference w:type="default" r:id="rId12"/>
      <w:footerReference w:type="even" r:id="rId13"/>
      <w:footerReference w:type="default" r:id="rId14"/>
      <w:pgSz w:w="11906" w:h="16838" w:code="9"/>
      <w:pgMar w:top="1440" w:right="1440" w:bottom="1440" w:left="2160" w:header="708" w:footer="708" w:gutter="0"/>
      <w:pgNumType w:fmt="lowerRoman"/>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917FB" w:rsidRDefault="002917FB" w:rsidP="00801894">
      <w:r>
        <w:separator/>
      </w:r>
    </w:p>
  </w:endnote>
  <w:endnote w:type="continuationSeparator" w:id="0">
    <w:p w:rsidR="002917FB" w:rsidRDefault="002917FB" w:rsidP="008018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7425" w:rsidRDefault="007E7425" w:rsidP="003D6FA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7E7425" w:rsidRDefault="007E742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7425" w:rsidRDefault="007E7425" w:rsidP="003D6FA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04FB4">
      <w:rPr>
        <w:rStyle w:val="PageNumber"/>
        <w:noProof/>
      </w:rPr>
      <w:t>iii</w:t>
    </w:r>
    <w:r>
      <w:rPr>
        <w:rStyle w:val="PageNumber"/>
      </w:rPr>
      <w:fldChar w:fldCharType="end"/>
    </w:r>
  </w:p>
  <w:p w:rsidR="007E7425" w:rsidRDefault="007E742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917FB" w:rsidRDefault="002917FB" w:rsidP="00801894">
      <w:r>
        <w:separator/>
      </w:r>
    </w:p>
  </w:footnote>
  <w:footnote w:type="continuationSeparator" w:id="0">
    <w:p w:rsidR="002917FB" w:rsidRDefault="002917FB" w:rsidP="0080189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7425" w:rsidRDefault="007E7425" w:rsidP="00E749FD">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E7425" w:rsidRDefault="007E7425" w:rsidP="00897118">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7425" w:rsidRDefault="007E7425" w:rsidP="00E749FD">
    <w:pPr>
      <w:pStyle w:val="Header"/>
      <w:framePr w:wrap="around" w:vAnchor="text" w:hAnchor="margin" w:xAlign="right" w:y="1"/>
      <w:rPr>
        <w:rStyle w:val="PageNumber"/>
      </w:rPr>
    </w:pPr>
  </w:p>
  <w:p w:rsidR="007E7425" w:rsidRDefault="007E7425" w:rsidP="00897118">
    <w:pPr>
      <w:pStyle w:val="Heade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401FB4"/>
    <w:multiLevelType w:val="hybridMultilevel"/>
    <w:tmpl w:val="FFB442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6A72594E"/>
    <w:multiLevelType w:val="hybridMultilevel"/>
    <w:tmpl w:val="332A1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MjIxMzEztTQ1MTa0NLJQ0lEKTi0uzszPAykwrgUA1MVHsCwAAAA="/>
  </w:docVars>
  <w:rsids>
    <w:rsidRoot w:val="00F1447E"/>
    <w:rsid w:val="00013ACE"/>
    <w:rsid w:val="00016619"/>
    <w:rsid w:val="00017564"/>
    <w:rsid w:val="00020563"/>
    <w:rsid w:val="00022B4B"/>
    <w:rsid w:val="00042349"/>
    <w:rsid w:val="00080388"/>
    <w:rsid w:val="000A2D79"/>
    <w:rsid w:val="000C7AD0"/>
    <w:rsid w:val="000D66C0"/>
    <w:rsid w:val="00104A39"/>
    <w:rsid w:val="001139BC"/>
    <w:rsid w:val="00126E15"/>
    <w:rsid w:val="00130031"/>
    <w:rsid w:val="001342D1"/>
    <w:rsid w:val="001502DC"/>
    <w:rsid w:val="00150B0E"/>
    <w:rsid w:val="00164AEC"/>
    <w:rsid w:val="001669B9"/>
    <w:rsid w:val="00192CF7"/>
    <w:rsid w:val="001A09FB"/>
    <w:rsid w:val="001A0D19"/>
    <w:rsid w:val="001B399A"/>
    <w:rsid w:val="00203C7B"/>
    <w:rsid w:val="00220FED"/>
    <w:rsid w:val="00223144"/>
    <w:rsid w:val="002628A8"/>
    <w:rsid w:val="00265F68"/>
    <w:rsid w:val="00271623"/>
    <w:rsid w:val="002917FB"/>
    <w:rsid w:val="00295E86"/>
    <w:rsid w:val="002A01DB"/>
    <w:rsid w:val="002A4345"/>
    <w:rsid w:val="002E55E3"/>
    <w:rsid w:val="002E64CB"/>
    <w:rsid w:val="00303D22"/>
    <w:rsid w:val="003304E1"/>
    <w:rsid w:val="003561EB"/>
    <w:rsid w:val="00364BDC"/>
    <w:rsid w:val="00370F55"/>
    <w:rsid w:val="00374A71"/>
    <w:rsid w:val="0038183A"/>
    <w:rsid w:val="003B5E92"/>
    <w:rsid w:val="003D6FA0"/>
    <w:rsid w:val="00464B60"/>
    <w:rsid w:val="004C2D16"/>
    <w:rsid w:val="004F54BA"/>
    <w:rsid w:val="00506207"/>
    <w:rsid w:val="00511772"/>
    <w:rsid w:val="00511A09"/>
    <w:rsid w:val="0051542B"/>
    <w:rsid w:val="005156AF"/>
    <w:rsid w:val="005270DB"/>
    <w:rsid w:val="00537288"/>
    <w:rsid w:val="00543155"/>
    <w:rsid w:val="00544496"/>
    <w:rsid w:val="00553974"/>
    <w:rsid w:val="005913C4"/>
    <w:rsid w:val="00592827"/>
    <w:rsid w:val="00596D15"/>
    <w:rsid w:val="005A15D1"/>
    <w:rsid w:val="005A3CB9"/>
    <w:rsid w:val="005B235C"/>
    <w:rsid w:val="005B4163"/>
    <w:rsid w:val="005C6D22"/>
    <w:rsid w:val="005D5DB5"/>
    <w:rsid w:val="005D7D73"/>
    <w:rsid w:val="005E314F"/>
    <w:rsid w:val="005F7E15"/>
    <w:rsid w:val="006002AB"/>
    <w:rsid w:val="00602814"/>
    <w:rsid w:val="00611A05"/>
    <w:rsid w:val="00612B0B"/>
    <w:rsid w:val="00625F6E"/>
    <w:rsid w:val="00653D66"/>
    <w:rsid w:val="006A135B"/>
    <w:rsid w:val="006A437A"/>
    <w:rsid w:val="006B04EE"/>
    <w:rsid w:val="006C5F9F"/>
    <w:rsid w:val="006E4DCD"/>
    <w:rsid w:val="006F1EE0"/>
    <w:rsid w:val="00712E48"/>
    <w:rsid w:val="007237B6"/>
    <w:rsid w:val="00724E56"/>
    <w:rsid w:val="00727FE5"/>
    <w:rsid w:val="00732CB3"/>
    <w:rsid w:val="007648CF"/>
    <w:rsid w:val="007707B9"/>
    <w:rsid w:val="00797B1C"/>
    <w:rsid w:val="007A597B"/>
    <w:rsid w:val="007B0260"/>
    <w:rsid w:val="007B1762"/>
    <w:rsid w:val="007B6EF9"/>
    <w:rsid w:val="007E1530"/>
    <w:rsid w:val="007E5B6D"/>
    <w:rsid w:val="007E7425"/>
    <w:rsid w:val="007F5808"/>
    <w:rsid w:val="00801894"/>
    <w:rsid w:val="00822D79"/>
    <w:rsid w:val="00835EE4"/>
    <w:rsid w:val="00875701"/>
    <w:rsid w:val="00894657"/>
    <w:rsid w:val="00897118"/>
    <w:rsid w:val="008A0B82"/>
    <w:rsid w:val="008A4EB1"/>
    <w:rsid w:val="008D73F3"/>
    <w:rsid w:val="008E52CC"/>
    <w:rsid w:val="008F3426"/>
    <w:rsid w:val="00902890"/>
    <w:rsid w:val="00913993"/>
    <w:rsid w:val="0095603D"/>
    <w:rsid w:val="009663AA"/>
    <w:rsid w:val="0099180D"/>
    <w:rsid w:val="009B1A4F"/>
    <w:rsid w:val="009B7332"/>
    <w:rsid w:val="009C613A"/>
    <w:rsid w:val="009D59C7"/>
    <w:rsid w:val="009F5553"/>
    <w:rsid w:val="009F55B9"/>
    <w:rsid w:val="009F5C12"/>
    <w:rsid w:val="009F69AD"/>
    <w:rsid w:val="00A2425F"/>
    <w:rsid w:val="00A35A49"/>
    <w:rsid w:val="00A37B38"/>
    <w:rsid w:val="00A52E4C"/>
    <w:rsid w:val="00A61751"/>
    <w:rsid w:val="00A63736"/>
    <w:rsid w:val="00A6521D"/>
    <w:rsid w:val="00A73862"/>
    <w:rsid w:val="00A83B45"/>
    <w:rsid w:val="00A92311"/>
    <w:rsid w:val="00AA7CA9"/>
    <w:rsid w:val="00AB25E9"/>
    <w:rsid w:val="00AC39C3"/>
    <w:rsid w:val="00AE160A"/>
    <w:rsid w:val="00AE6926"/>
    <w:rsid w:val="00AF682A"/>
    <w:rsid w:val="00B031A4"/>
    <w:rsid w:val="00B40816"/>
    <w:rsid w:val="00B5490A"/>
    <w:rsid w:val="00B72C2C"/>
    <w:rsid w:val="00B73BD1"/>
    <w:rsid w:val="00B74D04"/>
    <w:rsid w:val="00B778DA"/>
    <w:rsid w:val="00B83DC2"/>
    <w:rsid w:val="00B925B3"/>
    <w:rsid w:val="00B95A87"/>
    <w:rsid w:val="00BA4E7E"/>
    <w:rsid w:val="00BF6DCF"/>
    <w:rsid w:val="00C20A7D"/>
    <w:rsid w:val="00C37469"/>
    <w:rsid w:val="00C47896"/>
    <w:rsid w:val="00C9096F"/>
    <w:rsid w:val="00C93D57"/>
    <w:rsid w:val="00CC3D68"/>
    <w:rsid w:val="00CC67AA"/>
    <w:rsid w:val="00D1461F"/>
    <w:rsid w:val="00D30453"/>
    <w:rsid w:val="00D42B11"/>
    <w:rsid w:val="00D71138"/>
    <w:rsid w:val="00D86852"/>
    <w:rsid w:val="00D90A31"/>
    <w:rsid w:val="00DD0EBB"/>
    <w:rsid w:val="00DD26D6"/>
    <w:rsid w:val="00DD43FC"/>
    <w:rsid w:val="00DD5356"/>
    <w:rsid w:val="00DF7B62"/>
    <w:rsid w:val="00E04FB4"/>
    <w:rsid w:val="00E06882"/>
    <w:rsid w:val="00E15129"/>
    <w:rsid w:val="00E33404"/>
    <w:rsid w:val="00E565D6"/>
    <w:rsid w:val="00E749FD"/>
    <w:rsid w:val="00EC20B1"/>
    <w:rsid w:val="00ED1D4D"/>
    <w:rsid w:val="00ED61B4"/>
    <w:rsid w:val="00F1447E"/>
    <w:rsid w:val="00F15CDF"/>
    <w:rsid w:val="00F17F1F"/>
    <w:rsid w:val="00F2600F"/>
    <w:rsid w:val="00F26357"/>
    <w:rsid w:val="00F365A9"/>
    <w:rsid w:val="00F54BE6"/>
    <w:rsid w:val="00F62DC7"/>
    <w:rsid w:val="00F74978"/>
    <w:rsid w:val="00F900AF"/>
    <w:rsid w:val="00F92B06"/>
    <w:rsid w:val="00F971EC"/>
    <w:rsid w:val="00FA3F7F"/>
    <w:rsid w:val="00FB4E6A"/>
    <w:rsid w:val="00FC5AF3"/>
    <w:rsid w:val="00FD5311"/>
    <w:rsid w:val="00FD5A01"/>
    <w:rsid w:val="00FD782E"/>
    <w:rsid w:val="00FF11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IN" w:eastAsia="en-IN" w:bidi="ar-SA"/>
      </w:rPr>
    </w:rPrDefault>
    <w:pPrDefault/>
  </w:docDefaults>
  <w:latentStyles w:defLockedState="0" w:defUIPriority="0" w:defSemiHidden="0" w:defUnhideWhenUsed="0" w:defQFormat="0" w:count="267">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qFormat="1"/>
    <w:lsdException w:name="Emphasis" w:locked="1" w:qFormat="1"/>
    <w:lsdException w:name="Table Grid" w:locked="1"/>
    <w:lsdException w:name="Placeholder Text" w:semiHidden="1" w:uiPriority="99" w:unhideWhenUsed="1"/>
    <w:lsdException w:name="No Spacing" w:uiPriority="99" w:qFormat="1"/>
    <w:lsdException w:name="Light Shading" w:semiHidden="1" w:uiPriority="99" w:unhideWhenUsed="1"/>
    <w:lsdException w:name="Light List" w:semiHidden="1" w:uiPriority="99" w:unhideWhenUsed="1"/>
    <w:lsdException w:name="Light Grid" w:semiHidden="1" w:uiPriority="99" w:unhideWhenUsed="1"/>
    <w:lsdException w:name="Medium Shading 1" w:semiHidden="1" w:uiPriority="99" w:unhideWhenUsed="1"/>
    <w:lsdException w:name="Medium Shading 2" w:semiHidden="1" w:uiPriority="99" w:unhideWhenUsed="1"/>
    <w:lsdException w:name="Medium List 1" w:semiHidden="1" w:uiPriority="99" w:unhideWhenUsed="1"/>
    <w:lsdException w:name="Medium List 2" w:semiHidden="1" w:uiPriority="99" w:unhideWhenUsed="1"/>
    <w:lsdException w:name="Medium Grid 1" w:semiHidden="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semiHidden="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atentStyles>
  <w:style w:type="paragraph" w:default="1" w:styleId="Normal">
    <w:name w:val="Normal"/>
    <w:qFormat/>
    <w:rsid w:val="009F5C12"/>
    <w:pPr>
      <w:spacing w:after="200" w:line="276" w:lineRule="auto"/>
    </w:pPr>
    <w:rPr>
      <w:rFonts w:eastAsia="Times New Roman" w:ascii="Times New Roman" w:hAnsi="Times New Roman"/>
      <w:sz w:val="24"/>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9F5C12"/>
    <w:pPr>
      <w:spacing w:after="0" w:line="240" w:lineRule="auto"/>
    </w:pPr>
    <w:rPr>
      <w:rFonts w:ascii="Tahoma" w:hAnsi="Tahoma" w:cs="Tahoma"/>
      <w:sz w:val="16"/>
      <w:szCs w:val="16"/>
    </w:rPr>
  </w:style>
  <w:style w:type="character" w:customStyle="1" w:styleId="BalloonTextChar">
    <w:name w:val="Balloon Text Char"/>
    <w:link w:val="BalloonText"/>
    <w:semiHidden/>
    <w:locked/>
    <w:rsid w:val="009F5C12"/>
    <w:rPr>
      <w:rFonts w:ascii="Tahoma" w:hAnsi="Tahoma" w:cs="Tahoma"/>
      <w:sz w:val="16"/>
      <w:szCs w:val="16"/>
    </w:rPr>
  </w:style>
  <w:style w:type="paragraph" w:styleId="Date">
    <w:name w:val="Date"/>
    <w:basedOn w:val="Normal"/>
    <w:next w:val="Normal"/>
    <w:rsid w:val="001A0D19"/>
  </w:style>
  <w:style w:type="paragraph" w:customStyle="1" w:styleId="MediumGrid21">
    <w:name w:val="Medium Grid 21"/>
    <w:qFormat/>
    <w:rsid w:val="009B7332"/>
    <w:rPr>
      <w:rFonts w:eastAsia="Times New Roman"/>
      <w:sz w:val="22"/>
      <w:szCs w:val="22"/>
      <w:lang w:eastAsia="en-US"/>
    </w:rPr>
  </w:style>
  <w:style w:type="paragraph" w:styleId="Header">
    <w:name w:val="header"/>
    <w:basedOn w:val="Normal"/>
    <w:rsid w:val="00897118"/>
    <w:pPr>
      <w:tabs>
        <w:tab w:val="center" w:pos="4320"/>
        <w:tab w:val="right" w:pos="8640"/>
      </w:tabs>
    </w:pPr>
  </w:style>
  <w:style w:type="character" w:styleId="PageNumber">
    <w:name w:val="page number"/>
    <w:basedOn w:val="DefaultParagraphFont"/>
    <w:rsid w:val="00897118"/>
  </w:style>
  <w:style w:type="paragraph" w:styleId="Footer">
    <w:name w:val="footer"/>
    <w:basedOn w:val="Normal"/>
    <w:rsid w:val="003D6FA0"/>
    <w:pPr>
      <w:tabs>
        <w:tab w:val="center" w:pos="4320"/>
        <w:tab w:val="right" w:pos="8640"/>
      </w:tabs>
    </w:pPr>
  </w:style>
  <w:style w:type="paragraph" w:customStyle="1" w:styleId="ColorfulShading-Accent11">
    <w:name w:val="Colorful Shading - Accent 11"/>
    <w:hidden/>
    <w:uiPriority w:val="99"/>
    <w:semiHidden/>
    <w:rsid w:val="00D71138"/>
    <w:rPr>
      <w:rFonts w:eastAsia="Times New Roman"/>
      <w:sz w:val="22"/>
      <w:szCs w:val="22"/>
      <w:lang w:eastAsia="en-US"/>
    </w:rPr>
  </w:style>
  <w:style w:type="character" w:styleId="CommentReference">
    <w:name w:val="annotation reference"/>
    <w:rsid w:val="00732CB3"/>
    <w:rPr>
      <w:sz w:val="16"/>
      <w:szCs w:val="16"/>
    </w:rPr>
  </w:style>
  <w:style w:type="paragraph" w:styleId="CommentText">
    <w:name w:val="annotation text"/>
    <w:basedOn w:val="Normal"/>
    <w:link w:val="CommentTextChar"/>
    <w:rsid w:val="00732CB3"/>
    <w:rPr>
      <w:sz w:val="20"/>
      <w:szCs w:val="20"/>
    </w:rPr>
  </w:style>
  <w:style w:type="character" w:customStyle="1" w:styleId="CommentTextChar">
    <w:name w:val="Comment Text Char"/>
    <w:link w:val="CommentText"/>
    <w:rsid w:val="00732CB3"/>
    <w:rPr>
      <w:rFonts w:eastAsia="Times New Roman"/>
      <w:lang w:val="en-IN"/>
    </w:rPr>
  </w:style>
  <w:style w:type="paragraph" w:styleId="CommentSubject">
    <w:name w:val="annotation subject"/>
    <w:basedOn w:val="CommentText"/>
    <w:next w:val="CommentText"/>
    <w:link w:val="CommentSubjectChar"/>
    <w:rsid w:val="00732CB3"/>
    <w:rPr>
      <w:b/>
      <w:bCs/>
    </w:rPr>
  </w:style>
  <w:style w:type="character" w:customStyle="1" w:styleId="CommentSubjectChar">
    <w:name w:val="Comment Subject Char"/>
    <w:link w:val="CommentSubject"/>
    <w:rsid w:val="00732CB3"/>
    <w:rPr>
      <w:rFonts w:eastAsia="Times New Roman"/>
      <w:b/>
      <w:bCs/>
      <w:lang w:val="en-IN"/>
    </w:rPr>
  </w:style>
  <w:style w:type="table" w:styleId="TableGrid">
    <w:name w:val="Table Grid"/>
    <w:basedOn w:val="TableNormal"/>
    <w:locked/>
    <w:rsid w:val="00FC5AF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72"/>
    <w:qFormat/>
    <w:rsid w:val="00D1461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IN" w:eastAsia="en-IN" w:bidi="ar-SA"/>
      </w:rPr>
    </w:rPrDefault>
    <w:pPrDefault/>
  </w:docDefaults>
  <w:latentStyles w:defLockedState="0" w:defUIPriority="0" w:defSemiHidden="0" w:defUnhideWhenUsed="0" w:defQFormat="0" w:count="267">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qFormat="1"/>
    <w:lsdException w:name="Emphasis" w:locked="1" w:qFormat="1"/>
    <w:lsdException w:name="Table Grid" w:locked="1"/>
    <w:lsdException w:name="Placeholder Text" w:semiHidden="1" w:uiPriority="99" w:unhideWhenUsed="1"/>
    <w:lsdException w:name="No Spacing" w:uiPriority="99" w:qFormat="1"/>
    <w:lsdException w:name="Light Shading" w:semiHidden="1" w:uiPriority="99" w:unhideWhenUsed="1"/>
    <w:lsdException w:name="Light List" w:semiHidden="1" w:uiPriority="99" w:unhideWhenUsed="1"/>
    <w:lsdException w:name="Light Grid" w:semiHidden="1" w:uiPriority="99" w:unhideWhenUsed="1"/>
    <w:lsdException w:name="Medium Shading 1" w:semiHidden="1" w:uiPriority="99" w:unhideWhenUsed="1"/>
    <w:lsdException w:name="Medium Shading 2" w:semiHidden="1" w:uiPriority="99" w:unhideWhenUsed="1"/>
    <w:lsdException w:name="Medium List 1" w:semiHidden="1" w:uiPriority="99" w:unhideWhenUsed="1"/>
    <w:lsdException w:name="Medium List 2" w:semiHidden="1" w:uiPriority="99" w:unhideWhenUsed="1"/>
    <w:lsdException w:name="Medium Grid 1" w:semiHidden="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semiHidden="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atentStyles>
  <w:style w:type="paragraph" w:default="1" w:styleId="Normal">
    <w:name w:val="Normal"/>
    <w:qFormat/>
    <w:rsid w:val="009F5C12"/>
    <w:pPr>
      <w:spacing w:after="200" w:line="276" w:lineRule="auto"/>
    </w:pPr>
    <w:rPr>
      <w:rFonts w:eastAsia="Times New Roman"/>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9F5C12"/>
    <w:pPr>
      <w:spacing w:after="0" w:line="240" w:lineRule="auto"/>
    </w:pPr>
    <w:rPr>
      <w:rFonts w:ascii="Tahoma" w:hAnsi="Tahoma" w:cs="Tahoma"/>
      <w:sz w:val="16"/>
      <w:szCs w:val="16"/>
    </w:rPr>
  </w:style>
  <w:style w:type="character" w:customStyle="1" w:styleId="BalloonTextChar">
    <w:name w:val="Balloon Text Char"/>
    <w:link w:val="BalloonText"/>
    <w:semiHidden/>
    <w:locked/>
    <w:rsid w:val="009F5C12"/>
    <w:rPr>
      <w:rFonts w:ascii="Tahoma" w:hAnsi="Tahoma" w:cs="Tahoma"/>
      <w:sz w:val="16"/>
      <w:szCs w:val="16"/>
    </w:rPr>
  </w:style>
  <w:style w:type="paragraph" w:styleId="Date">
    <w:name w:val="Date"/>
    <w:basedOn w:val="Normal"/>
    <w:next w:val="Normal"/>
    <w:rsid w:val="001A0D19"/>
  </w:style>
  <w:style w:type="paragraph" w:customStyle="1" w:styleId="MediumGrid21">
    <w:name w:val="Medium Grid 21"/>
    <w:qFormat/>
    <w:rsid w:val="009B7332"/>
    <w:rPr>
      <w:rFonts w:eastAsia="Times New Roman"/>
      <w:sz w:val="22"/>
      <w:szCs w:val="22"/>
      <w:lang w:eastAsia="en-US"/>
    </w:rPr>
  </w:style>
  <w:style w:type="paragraph" w:styleId="Header">
    <w:name w:val="header"/>
    <w:basedOn w:val="Normal"/>
    <w:rsid w:val="00897118"/>
    <w:pPr>
      <w:tabs>
        <w:tab w:val="center" w:pos="4320"/>
        <w:tab w:val="right" w:pos="8640"/>
      </w:tabs>
    </w:pPr>
  </w:style>
  <w:style w:type="character" w:styleId="PageNumber">
    <w:name w:val="page number"/>
    <w:basedOn w:val="DefaultParagraphFont"/>
    <w:rsid w:val="00897118"/>
  </w:style>
  <w:style w:type="paragraph" w:styleId="Footer">
    <w:name w:val="footer"/>
    <w:basedOn w:val="Normal"/>
    <w:rsid w:val="003D6FA0"/>
    <w:pPr>
      <w:tabs>
        <w:tab w:val="center" w:pos="4320"/>
        <w:tab w:val="right" w:pos="8640"/>
      </w:tabs>
    </w:pPr>
  </w:style>
  <w:style w:type="paragraph" w:customStyle="1" w:styleId="ColorfulShading-Accent11">
    <w:name w:val="Colorful Shading - Accent 11"/>
    <w:hidden/>
    <w:uiPriority w:val="99"/>
    <w:semiHidden/>
    <w:rsid w:val="00D71138"/>
    <w:rPr>
      <w:rFonts w:eastAsia="Times New Roman"/>
      <w:sz w:val="22"/>
      <w:szCs w:val="22"/>
      <w:lang w:eastAsia="en-US"/>
    </w:rPr>
  </w:style>
  <w:style w:type="character" w:styleId="CommentReference">
    <w:name w:val="annotation reference"/>
    <w:rsid w:val="00732CB3"/>
    <w:rPr>
      <w:sz w:val="16"/>
      <w:szCs w:val="16"/>
    </w:rPr>
  </w:style>
  <w:style w:type="paragraph" w:styleId="CommentText">
    <w:name w:val="annotation text"/>
    <w:basedOn w:val="Normal"/>
    <w:link w:val="CommentTextChar"/>
    <w:rsid w:val="00732CB3"/>
    <w:rPr>
      <w:sz w:val="20"/>
      <w:szCs w:val="20"/>
    </w:rPr>
  </w:style>
  <w:style w:type="character" w:customStyle="1" w:styleId="CommentTextChar">
    <w:name w:val="Comment Text Char"/>
    <w:link w:val="CommentText"/>
    <w:rsid w:val="00732CB3"/>
    <w:rPr>
      <w:rFonts w:eastAsia="Times New Roman"/>
      <w:lang w:val="en-IN"/>
    </w:rPr>
  </w:style>
  <w:style w:type="paragraph" w:styleId="CommentSubject">
    <w:name w:val="annotation subject"/>
    <w:basedOn w:val="CommentText"/>
    <w:next w:val="CommentText"/>
    <w:link w:val="CommentSubjectChar"/>
    <w:rsid w:val="00732CB3"/>
    <w:rPr>
      <w:b/>
      <w:bCs/>
    </w:rPr>
  </w:style>
  <w:style w:type="character" w:customStyle="1" w:styleId="CommentSubjectChar">
    <w:name w:val="Comment Subject Char"/>
    <w:link w:val="CommentSubject"/>
    <w:rsid w:val="00732CB3"/>
    <w:rPr>
      <w:rFonts w:eastAsia="Times New Roman"/>
      <w:b/>
      <w:bCs/>
      <w:lang w:val="en-IN"/>
    </w:rPr>
  </w:style>
  <w:style w:type="table" w:styleId="TableGrid">
    <w:name w:val="Table Grid"/>
    <w:basedOn w:val="TableNormal"/>
    <w:locked/>
    <w:rsid w:val="00FC5AF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72"/>
    <w:qFormat/>
    <w:rsid w:val="00D146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oter" Target="footer2.xml"/><Relationship Id="rId17" Type="http://schemas.openxmlformats.org/officeDocument/2006/relationships/image" Target="media/image3.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C7BDC3-6A97-4F93-8F77-69A6E3663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203</Words>
  <Characters>1159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FUZZY BASED APPROACH FOR DETECTING SELFISH NODES &amp; TRUST LEVELS IN MANET</vt:lpstr>
    </vt:vector>
  </TitlesOfParts>
  <Company>Hewlett-Packard</Company>
  <LinksUpToDate>false</LinksUpToDate>
  <CharactersWithSpaces>1360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FUZZY BASED APPROACH FOR DETECTING SELFISH NODES &amp; TRUST LEVELS IN MANET</dc:title>
  <dc:creator>Rams</dc:creator>
  <cp:lastModifiedBy>Ushapreethi</cp:lastModifiedBy>
  <cp:revision>4</cp:revision>
  <cp:lastPrinted>2011-05-04T13:43:00Z</cp:lastPrinted>
  <dcterms:created xsi:type="dcterms:W3CDTF">2026-10-20T11:15:00Z</dcterms:created>
  <dcterms:modified xsi:type="dcterms:W3CDTF">2026-10-22T03:22:00Z</dcterms:modified>
</cp:coreProperties>
</file>