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800" w:after="360"/>
        <w:jc w:val="center"/>
      </w:pPr>
      <w:r>
        <w:rPr>
          <w:rFonts w:ascii="Aptos Display" w:hAnsi="Aptos Display"/>
          <w:b/>
          <w:color w:val="000000"/>
          <w:sz w:val="52"/>
        </w:rPr>
        <w:t>ShanghaiT2DM Forecasting Implementation Guide</w:t>
      </w:r>
    </w:p>
    <w:p>
      <w:pPr>
        <w:spacing w:after="400"/>
        <w:jc w:val="center"/>
      </w:pPr>
      <w:r>
        <w:rPr>
          <w:rFonts w:ascii="Aptos" w:hAnsi="Aptos"/>
          <w:color w:val="4B4B4B"/>
          <w:sz w:val="28"/>
        </w:rPr>
        <w:t>Execution  Models  Validation  Results  and UI Roadmap</w:t>
      </w:r>
    </w:p>
    <w:p>
      <w:pPr>
        <w:spacing w:before="600" w:after="240"/>
        <w:jc w:val="center"/>
      </w:pPr>
      <w:r>
        <w:rPr>
          <w:rFonts w:ascii="Aptos" w:hAnsi="Aptos"/>
          <w:sz w:val="21"/>
        </w:rPr>
        <w:t>Research implementation version 1.0</w:t>
        <w:br/>
        <w:t>25 October 2026</w:t>
      </w:r>
    </w:p>
    <w:p>
      <w:pPr>
        <w:spacing w:before="400"/>
        <w:ind w:left="936" w:right="936"/>
        <w:jc w:val="center"/>
      </w:pPr>
      <w:r>
        <w:rPr>
          <w:rFonts w:ascii="Aptos" w:hAnsi="Aptos"/>
          <w:sz w:val="22"/>
        </w:rPr>
        <w:t>This guide explains how to run the leakage-safe ShanghaiT2DM continuous-glucose-monitoring forecasting pipeline, how each model works, how validation and uncertainty are handled, and what the current implementation does and does not provide.</w:t>
      </w:r>
    </w:p>
    <w:p>
      <w:pPr>
        <w:spacing w:before="560"/>
        <w:jc w:val="center"/>
      </w:pPr>
      <w:r>
        <w:rPr>
          <w:rFonts w:ascii="Aptos" w:hAnsi="Aptos"/>
          <w:b/>
          <w:sz w:val="19"/>
        </w:rPr>
        <w:t>Research use only  No treatment recommendations  No clinical deployment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30"/>
        </w:rPr>
        <w:t>Purpose and implementation decision</w:t>
      </w:r>
    </w:p>
    <w:p>
      <w:pPr>
        <w:spacing w:after="140" w:line="259" w:lineRule="auto"/>
      </w:pPr>
      <w:r>
        <w:rPr>
          <w:rFonts w:ascii="Aptos" w:hAnsi="Aptos"/>
          <w:sz w:val="21"/>
        </w:rPr>
        <w:t>The repository implements a reproducible comparison of short-horizon CGM forecasting methods for people with type 2 diabetes. It predicts CGM at 15, 30, and 60 minutes from information available at the prediction time. The primary endpoint is 60-minute subject-macro mean absolute error. The ShanghaiT2DM release has 100 people and 109 short CGM episodes, so it is not suitable for a robust next-HbA1c trajectory study.</w:t>
      </w:r>
    </w:p>
    <w:p>
      <w:pPr>
        <w:spacing w:after="140" w:line="259" w:lineRule="auto"/>
      </w:pPr>
      <w:r>
        <w:rPr>
          <w:rFonts w:ascii="Aptos" w:hAnsi="Aptos"/>
          <w:b/>
          <w:sz w:val="21"/>
        </w:rPr>
        <w:t xml:space="preserve">Current UI status. </w:t>
      </w:r>
      <w:r>
        <w:rPr>
          <w:rFonts w:ascii="Aptos" w:hAnsi="Aptos"/>
          <w:sz w:val="21"/>
        </w:rPr>
        <w:t>No graphical user interface is included in the current repository. The available interface is a command-line workflow that produces CSV results, trained models, PNG figures, a run manifest, and a Markdown report. A recommended Streamlit interface is described later in this guide.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000000"/>
          <w:sz w:val="24"/>
        </w:rPr>
        <w:t>What is already available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Automatic discovery and normalization of legacy XLS and modern XLSX ShanghaiT2DM episode files.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Dataset audit, continuous-block construction, leakage-safe feature engineering, and patient-grouped cross-validation.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Six comparable models across 15-, 30-, and 60-minute forecast horizons.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Patient-clustered confidence intervals, paired tests, multiplicity correction, figures, and integrity validation.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 completed five-fold study under outputs\study with 1,967,598 out-of-fold prediction rows.</w:t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30"/>
        </w:rPr>
        <w:t>Quick start on Windows</w:t>
      </w:r>
    </w:p>
    <w:p>
      <w:pPr>
        <w:spacing w:after="140" w:line="259" w:lineRule="auto"/>
      </w:pPr>
      <w:r>
        <w:rPr>
          <w:rFonts w:ascii="Aptos" w:hAnsi="Aptos"/>
          <w:sz w:val="21"/>
        </w:rPr>
        <w:t>Open PowerShell and run the following commands. Python 3.11 or newer must be installed. The commands create an isolated environment and install the exact project dependencies.</w:t>
      </w:r>
    </w:p>
    <w:p>
      <w:pPr>
        <w:keepLines/>
        <w:spacing w:before="0" w:after="20"/>
        <w:ind w:left="432" w:right="216"/>
      </w:pPr>
      <w:r>
        <w:rPr>
          <w:rFonts w:ascii="Cascadia Mono" w:hAnsi="Cascadia Mono"/>
          <w:sz w:val="17"/>
        </w:rPr>
        <w:t>cd "C:\Users\Padmanathan K\Desktop\ml-personalized-healtcare"</w:t>
      </w:r>
    </w:p>
    <w:p>
      <w:pPr>
        <w:keepLines/>
        <w:spacing w:before="0" w:after="20"/>
        <w:ind w:left="432" w:right="216"/>
      </w:pPr>
      <w:r>
        <w:rPr>
          <w:rFonts w:ascii="Cascadia Mono" w:hAnsi="Cascadia Mono"/>
          <w:sz w:val="17"/>
        </w:rPr>
        <w:t>python -m venv .venv</w:t>
      </w:r>
    </w:p>
    <w:p>
      <w:pPr>
        <w:keepLines/>
        <w:spacing w:before="0" w:after="20"/>
        <w:ind w:left="432" w:right="216"/>
      </w:pPr>
      <w:r>
        <w:rPr>
          <w:rFonts w:ascii="Cascadia Mono" w:hAnsi="Cascadia Mono"/>
          <w:sz w:val="17"/>
        </w:rPr>
        <w:t>Set-ExecutionPolicy -Scope Process Bypass</w:t>
      </w:r>
    </w:p>
    <w:p>
      <w:pPr>
        <w:keepLines/>
        <w:spacing w:before="0" w:after="20"/>
        <w:ind w:left="432" w:right="216"/>
      </w:pPr>
      <w:r>
        <w:rPr>
          <w:rFonts w:ascii="Cascadia Mono" w:hAnsi="Cascadia Mono"/>
          <w:sz w:val="17"/>
        </w:rPr>
        <w:t>.\.venv\Scripts\Activate.ps1</w:t>
      </w:r>
    </w:p>
    <w:p>
      <w:pPr>
        <w:keepLines/>
        <w:spacing w:before="0" w:after="20"/>
        <w:ind w:left="432" w:right="216"/>
      </w:pPr>
      <w:r>
        <w:rPr>
          <w:rFonts w:ascii="Cascadia Mono" w:hAnsi="Cascadia Mono"/>
          <w:sz w:val="17"/>
        </w:rPr>
        <w:t>python -m pip install --upgrade pip</w:t>
      </w:r>
    </w:p>
    <w:p>
      <w:pPr>
        <w:keepLines/>
        <w:spacing w:before="0" w:after="20"/>
        <w:ind w:left="432" w:right="216"/>
      </w:pPr>
      <w:r>
        <w:rPr>
          <w:rFonts w:ascii="Cascadia Mono" w:hAnsi="Cascadia Mono"/>
          <w:sz w:val="17"/>
        </w:rPr>
        <w:t>python -m pip install -e .</w:t>
      </w:r>
    </w:p>
    <w:p>
      <w:pPr>
        <w:spacing w:after="40"/>
      </w:pPr>
    </w:p>
    <w:p>
      <w:pPr>
        <w:spacing w:after="140" w:line="259" w:lineRule="auto"/>
      </w:pPr>
      <w:r>
        <w:rPr>
          <w:rFonts w:ascii="Aptos" w:hAnsi="Aptos"/>
          <w:sz w:val="21"/>
        </w:rPr>
        <w:t>Run the fast verification workflow first. It uses fewer validation folds and bootstrap samples but exercises the entire pipeline.</w:t>
      </w:r>
    </w:p>
    <w:p>
      <w:pPr>
        <w:keepLines/>
        <w:spacing w:before="0" w:after="20"/>
        <w:ind w:left="432" w:right="216"/>
      </w:pPr>
      <w:r>
        <w:rPr>
          <w:rFonts w:ascii="Cascadia Mono" w:hAnsi="Cascadia Mono"/>
          <w:sz w:val="17"/>
        </w:rPr>
        <w:t>python scripts\run_study.py --quick --output outputs\quick</w:t>
      </w:r>
    </w:p>
    <w:p>
      <w:pPr>
        <w:spacing w:after="40"/>
      </w:pPr>
    </w:p>
    <w:p>
      <w:pPr>
        <w:spacing w:after="140" w:line="259" w:lineRule="auto"/>
      </w:pPr>
      <w:r>
        <w:rPr>
          <w:rFonts w:ascii="Aptos" w:hAnsi="Aptos"/>
          <w:sz w:val="21"/>
        </w:rPr>
        <w:t>Run the full study only after the quick run succeeds. The full command uses five patient-held-out folds, three inner tuning folds, and 2,000 patient-cluster bootstrap iterations.</w:t>
      </w:r>
    </w:p>
    <w:p>
      <w:pPr>
        <w:keepLines/>
        <w:spacing w:before="0" w:after="20"/>
        <w:ind w:left="432" w:right="216"/>
      </w:pPr>
      <w:r>
        <w:rPr>
          <w:rFonts w:ascii="Cascadia Mono" w:hAnsi="Cascadia Mono"/>
          <w:sz w:val="17"/>
        </w:rPr>
        <w:t>python scripts\run_study.py --output outputs\study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Audit only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python scripts\run_study.py --stage audit --output outputs\audit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Inspect files, patients, missingness, intervals, and feasibility.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Quick run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python scripts\run_study.py --quick --output outputs\quick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Fast end-to-end verification.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Full run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python scripts\run_study.py --output outputs\study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Five-fold paper analysis.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Verify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python -m unittest discover -s tests -v</w:t>
              <w:br/>
              <w:t>python scripts\validate_outputs.py outputs\study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Check tests plus saved prediction and fold invariants.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30"/>
        </w:rPr>
        <w:t>Implementation architecture</w:t>
      </w:r>
    </w:p>
    <w:p>
      <w:pPr>
        <w:spacing w:after="140" w:line="259" w:lineRule="auto"/>
      </w:pPr>
      <w:r>
        <w:rPr>
          <w:rFonts w:ascii="Aptos" w:hAnsi="Aptos"/>
          <w:sz w:val="21"/>
        </w:rPr>
        <w:t>The pipeline is intentionally modular. Each stage saves auditable artifacts so a reviewer can trace the final metrics back to raw episode workbooks and deterministic fold assignments.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Main module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Saved evidence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Discover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data.py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Find summary and episode files under Shangai Data.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Dataset paths and SHA256 summary hash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Audit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data.py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Count subjects, episodes, observations, gaps, duplicates, missingness, and ranges.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dataset_audit.json  episode_audit.csv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Segment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features.py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Sort, collapse duplicate timestamps, and reset at missing or non-15-minute intervals.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Eligible continuous blocks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Features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features.py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Construct snapshot, six-hour history, and recursive patient-state predictors using past data only.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supervised_windows.csv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Split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evaluation.py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Assign each person and all of their episodes to one of five outer folds.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fold_assignments.csv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Fit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models.py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Tune ridge models inside training patients and fit HGB models with fixed settings.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models\*.joblib  tuning_results.csv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Metrics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metrics.py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Compute patient-level metrics, clustered intervals, and paired tests.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metrics.csv  paired_comparisons.csv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Report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reporting.py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Create figures and a human-readable study summary.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figures\*.png  study_report.md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30"/>
        </w:rPr>
        <w:t>Data ingestion and quality controls</w:t>
      </w:r>
    </w:p>
    <w:p>
      <w:pPr>
        <w:spacing w:after="140" w:line="259" w:lineRule="auto"/>
      </w:pPr>
      <w:r>
        <w:rPr>
          <w:rFonts w:ascii="Aptos" w:hAnsi="Aptos"/>
          <w:sz w:val="21"/>
        </w:rPr>
        <w:t>The loader supports both workbook formats in the release. It normalizes inconsistent Date and CGM column labels, parses episode identifiers into subject and period identifiers, and preserves the original source-file name. Raw files are read but never modified.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Physiologic range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CGM outside 20 to 600 mg/dL becomes missing.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Reject impossible values without censoring plausible extremes.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Duplicate timestamps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Collapse to the median CGM at that timestamp.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Create one deterministic observation per time.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Continuity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Split at missing CGM or any interval other than 15 minutes.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Prevent windows from crossing gaps.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History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Require 24 contiguous observations.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Provide six complete hours before each prediction.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Target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Require an observed value at the exact horizon.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Avoid implicit interpolation or variable forecast intervals.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Episode size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Require at least 32 valid rows per continuous block.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Ensure enough history and future targets.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30"/>
        </w:rPr>
        <w:t>Feature representations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Representation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Included predictors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Scientific role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Persistence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Current CGM only, used directly as the forecast.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Essential carry-forward baseline.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Snapshot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Current CGM plus sine and cosine of time of day.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Tests a non-longitudinal model.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Fixed history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24 CGM lags; 15-, 30-, and 60-minute changes; rolling means, standard deviations, minima, and maxima over 1, 2, and 6 hours; time of day.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Preserves the recent trajectory explicitly.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Adaptive state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Current CGM; exponentially weighted means and variation at spans 4, 8, and 24; short and long velocity; short-minus-long trend; six-hour range; time of day.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Compresses patient history into a recursively updated state.</w:t>
            </w:r>
          </w:p>
        </w:tc>
      </w:tr>
    </w:tbl>
    <w:p>
      <w:pPr>
        <w:spacing w:after="40"/>
      </w:pPr>
    </w:p>
    <w:p>
      <w:pPr>
        <w:spacing w:after="140" w:line="259" w:lineRule="auto"/>
      </w:pPr>
      <w:r>
        <w:rPr>
          <w:rFonts w:ascii="Aptos" w:hAnsi="Aptos"/>
          <w:sz w:val="21"/>
        </w:rPr>
        <w:t>The adaptive state is feature engineering rather than a physiological digital twin. At each observation the exponentially weighted quantities update from the previous state and the current CGM value. No future observation enters a feature at the prediction time.</w:t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30"/>
        </w:rPr>
        <w:t>Models used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Features</w:t>
            </w:r>
          </w:p>
        </w:tc>
        <w:tc>
          <w:tcPr>
            <w:tcW w:type="dxa" w:w="33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Learning method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Persistence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Current CGM</w:t>
            </w:r>
          </w:p>
        </w:tc>
        <w:tc>
          <w:tcPr>
            <w:tcW w:type="dxa" w:w="33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No fitting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Measures whether modeling improves on carry-forward prediction.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Snapshot ridge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Snapshot</w:t>
            </w:r>
          </w:p>
        </w:tc>
        <w:tc>
          <w:tcPr>
            <w:tcW w:type="dxa" w:w="33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Median imputation, standardization, ridge regression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Conventional non-longitudinal baseline.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History ridge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Fixed history</w:t>
            </w:r>
          </w:p>
        </w:tc>
        <w:tc>
          <w:tcPr>
            <w:tcW w:type="dxa" w:w="33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Same ridge pipeline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Linear test of explicit recent trajectory.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Adaptive-state ridge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Adaptive state</w:t>
            </w:r>
          </w:p>
        </w:tc>
        <w:tc>
          <w:tcPr>
            <w:tcW w:type="dxa" w:w="33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Same ridge pipeline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Matched linear representation comparison.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History HGB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Fixed history</w:t>
            </w:r>
          </w:p>
        </w:tc>
        <w:tc>
          <w:tcPr>
            <w:tcW w:type="dxa" w:w="33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Histogram gradient boosting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Nonlinear history benchmark and matched HGB control.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Adaptive-state HGB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Adaptive state</w:t>
            </w:r>
          </w:p>
        </w:tc>
        <w:tc>
          <w:tcPr>
            <w:tcW w:type="dxa" w:w="33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Histogram gradient boosting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Nonlinear test of the compressed state.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000000"/>
          <w:sz w:val="24"/>
        </w:rPr>
        <w:t>Ridge regression configuration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Candidate regularization strengths: 0.1, 1, 10, and 100.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Median imputation and standardization are fitted inside the training pipeline.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Three-fold GroupKFold inner validation selects the alpha with lowest MAE.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The selected model is refitted on the complete outer-training set.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Single-process fitting is used for deterministic Windows behavior.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000000"/>
          <w:sz w:val="24"/>
        </w:rPr>
        <w:t>Histogram gradient boosting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Loss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Squared error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Continuous glucose prediction.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Learning rate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0.05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Conservative incremental fitting.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Maximum iterations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250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Allows sufficient model capacity with early stopping.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Maximum leaf nodes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15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Restrains tree complexity.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Minimum samples per leaf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100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Reduces overfitting to dense within-patient windows.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L2 regularization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1.0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Stabilizes leaf estimates.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Early stopping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25 unchanged iterations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Stops when validation performance no longer improves.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30"/>
        </w:rPr>
        <w:t>Validation and statistical analysis</w:t>
      </w:r>
    </w:p>
    <w:p>
      <w:pPr>
        <w:spacing w:after="140" w:line="259" w:lineRule="auto"/>
      </w:pPr>
      <w:r>
        <w:rPr>
          <w:rFonts w:ascii="Aptos" w:hAnsi="Aptos"/>
          <w:sz w:val="21"/>
        </w:rPr>
        <w:t>The outer evaluation unit is the patient. All recordings and all prediction windows from a person stay in one fold. This avoids inflated accuracy caused by training and testing on windows from the same individual. Each model receives the same eligible test prediction points.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Assign the 100 unique subjects deterministically to five outer folds using seed 20261025.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For each horizon and fold, tune ridge alpha only within the outer-training patients.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Generate out-of-fold predictions for the held-out patients and save the fold model.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Compute MAE, RMSE, R-squared, bias, MARD, and percentages within 15 and 30 mg/dL for each patient.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Average patient metrics so longer recordings do not dominate the primary estimate.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Resample patients 2,000 times for percentile 95% confidence intervals.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Use paired patient-level MAE differences, Wilcoxon tests, and Holm correction for comparisons.</w:t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30"/>
        </w:rPr>
        <w:t>Completed study results</w:t>
      </w:r>
    </w:p>
    <w:p>
      <w:pPr>
        <w:spacing w:after="140" w:line="259" w:lineRule="auto"/>
      </w:pPr>
      <w:r>
        <w:rPr>
          <w:rFonts w:ascii="Aptos" w:hAnsi="Aptos"/>
          <w:sz w:val="21"/>
        </w:rPr>
        <w:t>The table reports subject-macro MAE in mg/dL with 95% patient-cluster bootstrap confidence intervals. Lower values are better. The 60-minute horizon is the primary endpoint.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15 minutes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30 minutes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60 minutes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Persistence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6.57  6.26 to 6.88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12.09  11.49 to 12.67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20.36  19.32 to 21.46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Snapshot ridge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6.55  6.26 to 6.85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11.91  11.36 to 12.44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19.60  18.72 to 20.50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History ridge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4.26  4.12 to 4.40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9.65  9.29 to 10.02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17.45  16.77 to 18.16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Adaptive-state ridge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5.17  4.97 to 5.38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10.33  9.92 to 10.75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17.78  17.05 to 18.52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History HGB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4.39  4.22 to 4.57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9.42  9.04 to 9.80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16.54  15.89 to 17.22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Adaptive-state HGB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5.18  4.96 to 5.39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10.07  9.67 to 10.50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8"/>
              </w:rPr>
              <w:t>16.89  16.22 to 17.59</w:t>
            </w:r>
          </w:p>
        </w:tc>
      </w:tr>
    </w:tbl>
    <w:p>
      <w:pPr>
        <w:spacing w:after="40"/>
      </w:pPr>
    </w:p>
    <w:p>
      <w:pPr>
        <w:spacing w:after="140" w:line="259" w:lineRule="auto"/>
      </w:pPr>
      <w:r>
        <w:rPr>
          <w:rFonts w:ascii="Aptos" w:hAnsi="Aptos"/>
          <w:b/>
          <w:sz w:val="21"/>
        </w:rPr>
        <w:t xml:space="preserve">Interpretation. </w:t>
      </w:r>
      <w:r>
        <w:rPr>
          <w:rFonts w:ascii="Aptos" w:hAnsi="Aptos"/>
          <w:sz w:val="21"/>
        </w:rPr>
        <w:t>History HGB was the strongest 60-minute model, improving MAE by 3.81 mg/dL versus persistence with a 95% confidence interval of 3.29 to 4.36 mg/dL. The adaptive state did not beat fixed history under either matched learner. At 60 minutes it was 0.32 mg/dL worse for ridge and 0.35 mg/dL worse for HGB. The defensible conclusion is that recent explicit history adds value, while the tested state compression loses some predictive information.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19367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e_by_horiz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36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ptos" w:hAnsi="Aptos"/>
          <w:i/>
          <w:sz w:val="18"/>
        </w:rPr>
        <w:t>Figure 1  Subject-macro MAE and 95% patient-cluster bootstrap intervals by horizon</w:t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30"/>
        </w:rPr>
        <w:t>Generated outputs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dataset_audit.json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Machine-readable cohort and quality summary.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Methods and feasibility reporting.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episode_audit.csv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Per-episode size, duration, missingness, gaps, and glucose summaries.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Quality-control appendix.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supervised_windows.csv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All eligible time points and engineered predictors.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Reanalysis and feature audit.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fold_assignments.csv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One outer-fold assignment per subject.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Prove patient separation and reproduce folds.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predictions.csv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Every out-of-fold target and prediction.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Recompute metrics and plots.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patient_metrics.csv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Metrics for each subject, model, and horizon.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Subgroup and paired analyses.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metrics.csv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Subject-macro estimates and confidence intervals.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Primary results table.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paired_comparisons.csv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Effect sizes, intervals, and adjusted p-values.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Model comparison reporting.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models\*.joblib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Trained model for every fold and horizon.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Reproducibility and inspection.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run_manifest.json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Versions, seed, folds, models, and primary metric.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Environment provenance.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30"/>
        </w:rPr>
        <w:t>User interface status and roadmap</w:t>
      </w:r>
    </w:p>
    <w:p>
      <w:pPr>
        <w:spacing w:after="140" w:line="259" w:lineRule="auto"/>
      </w:pPr>
      <w:r>
        <w:rPr>
          <w:rFonts w:ascii="Aptos" w:hAnsi="Aptos"/>
          <w:sz w:val="21"/>
        </w:rPr>
        <w:t>No interactive UI is currently available. The implementation is deliberately CLI-first so the analysis is easy to audit, automate, and reproduce. The existing PNG figures and Markdown report provide static visual output.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000000"/>
          <w:sz w:val="24"/>
        </w:rPr>
        <w:t>Recommended Streamlit UI</w:t>
      </w:r>
    </w:p>
    <w:p>
      <w:pPr>
        <w:spacing w:after="140" w:line="259" w:lineRule="auto"/>
      </w:pPr>
      <w:r>
        <w:rPr>
          <w:rFonts w:ascii="Aptos" w:hAnsi="Aptos"/>
          <w:sz w:val="21"/>
        </w:rPr>
        <w:t>A small Streamlit application is the recommended next interface because it can reuse the saved CSV and joblib artifacts without changing the research pipeline. It should be a results and exploration dashboard, not a clinical decision-support tool.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Page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Functions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Guardrails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Study overview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Cohort counts, episode duration, missingness, and protocol summary.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Display dataset version and research-only warning.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Patient trace explorer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Select deidentified subject and episode; plot CGM and eligible windows.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Do not expose identity or treatment advice.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Model comparison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MAE intervals, paired improvements, horizon selector, and metric table.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Always show denominators and confidence intervals.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Forecast explorer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Display observed versus out-of-fold predictions for selected records.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Use saved test predictions only; label as retrospective.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Reproducibility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Show configuration, package versions, fold assignment, and validation status.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Make provenance downloadable.</w:t>
            </w:r>
          </w:p>
        </w:tc>
      </w:tr>
    </w:tbl>
    <w:p>
      <w:pPr>
        <w:spacing w:after="40"/>
      </w:pPr>
    </w:p>
    <w:p>
      <w:pPr>
        <w:spacing w:after="140" w:line="259" w:lineRule="auto"/>
      </w:pPr>
      <w:r>
        <w:rPr>
          <w:rFonts w:ascii="Aptos" w:hAnsi="Aptos"/>
          <w:b/>
          <w:sz w:val="21"/>
        </w:rPr>
        <w:t xml:space="preserve">Safety boundary. </w:t>
      </w:r>
      <w:r>
        <w:rPr>
          <w:rFonts w:ascii="Aptos" w:hAnsi="Aptos"/>
          <w:sz w:val="21"/>
        </w:rPr>
        <w:t>A UI must not provide medication recommendations, insulin dosing, risk alarms, or prospective patient predictions without a separate clinical validation and governance program.</w:t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30"/>
        </w:rPr>
        <w:t>Troubleshooting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python is not recognized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Python is missing from PATH.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Install Python 3.11 or 3.12 and enable Add Python to PATH.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Activate.ps1 is blocked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PowerShell execution policy.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Run Set-ExecutionPolicy -Scope Process Bypass, then activate again.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No Shanghai files found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Command started outside the repository or data folder moved.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Change to the repository root and confirm Shangai Data exists.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xlrd import error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Legacy XLS reader not installed.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Run python -m pip install -e . or install requirements.txt.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Run uses substantial disk space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Window and prediction CSVs are large.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Keep several hundred MB free and remove obsolete output folders after archiving.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Full run is slow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Nested grouped validation and six models.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Use --quick for verification; reserve the full run for final analysis.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Results differ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Configuration, data version, or dependency versions changed.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Compare config, run_manifest.json, summary SHA256, and fold assignments.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30"/>
        </w:rPr>
        <w:t>Reproducibility checklist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Confirm the exact ShanghaiT2DM release and retain the summary-file SHA256 hash.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Run the dataset audit before fitting models and preserve its JSON and CSV outputs.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Keep the configuration file unchanged after inspecting final test metrics.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Verify that each subject appears in exactly one outer fold.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Run all unit tests and validate_outputs.py before using tables or figures.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Report patient counts, prediction counts, confidence intervals, exclusions, and all matched baselines.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Describe the adaptive state as feature engineering, not as a validated digital twin.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State that the study is retrospective, single-dataset, and research-only.</w:t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30"/>
        </w:rPr>
        <w:t>Key project locations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README.md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Setup and command overview.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configs\study.json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Frozen study parameters.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src\shanghai_t2d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Data, features, models, evaluation, metrics, reporting, and CLI modules.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tests\test_pipeline.py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Automated future-safety, continuity, parsing, split, and metric tests.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outputs\study\study_report.md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Completed results and interpretation.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outputs\study\figures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8"/>
              </w:rPr>
              <w:t>Paper-ready performance figures.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30"/>
        </w:rPr>
        <w:t>References</w:t>
      </w:r>
    </w:p>
    <w:p>
      <w:pPr>
        <w:spacing w:after="100"/>
        <w:ind w:left="360" w:hanging="288"/>
      </w:pPr>
      <w:r>
        <w:rPr>
          <w:rFonts w:ascii="Aptos" w:hAnsi="Aptos"/>
          <w:sz w:val="19"/>
        </w:rPr>
        <w:t>1.  Zhao Q, Zhu J, Wang C, Rao W. Chinese diabetes datasets for data-driven machine learning. Scientific Data. 2023;10:35. doi:10.1038/s41597-023-01940-7.</w:t>
      </w:r>
    </w:p>
    <w:p>
      <w:pPr>
        <w:spacing w:after="100"/>
        <w:ind w:left="360" w:hanging="288"/>
      </w:pPr>
      <w:r>
        <w:rPr>
          <w:rFonts w:ascii="Aptos" w:hAnsi="Aptos"/>
          <w:sz w:val="19"/>
        </w:rPr>
        <w:t>2.  ShanghaiT1DM and ShanghaiT2DM dataset repository. Figshare. https://figshare.com/articles/dataset/diabetes_datasets_zip/21600933</w:t>
      </w:r>
    </w:p>
    <w:p>
      <w:pPr>
        <w:spacing w:after="100"/>
        <w:ind w:left="360" w:hanging="288"/>
      </w:pPr>
      <w:r>
        <w:rPr>
          <w:rFonts w:ascii="Aptos" w:hAnsi="Aptos"/>
          <w:sz w:val="19"/>
        </w:rPr>
        <w:t>3.  Collins GS, et al. TRIPOD+AI statement: updated guidance for reporting clinical prediction models that use regression or machine learning methods. BMJ. 2024;385:e078378.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ShanghaiT2DM Forecasting Implementation Guide</dc:title>
  <dc:subject>Execution models validation results and UI roadmap</dc:subject>
  <dc:creator>Research implementation team</dc:creator>
  <cp:keywords>ShanghaiT2DM CGM forecasting type 2 diabetes machine learning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