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</w:t>
      </w:r>
    </w:p>
    <w:p>
      <w:pPr>
        <w:jc w:val="center"/>
      </w:pPr>
      <w:r>
        <w:rPr>
          <w:b/>
        </w:rPr>
        <w:t>Proposed Solution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28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6ab2218cbee0b08a2d2c64d5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r>
        <w:rPr>
          <w:b/>
        </w:rPr>
        <w:t>Proposed Solution Template:</w:t>
      </w:r>
    </w:p>
    <w:p>
      <w:r>
        <w:t>Project team shall fill the following information in the proposed solution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IT procurement teams manually create and assign configuration tasks after a standard laptop request is approved, causing delays, oversight, and inefficient use of hardware team resources.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A ServiceNow Flow Designer automation ('Standard Laptop task' flow) that triggers on Service Catalog request approval and automatically creates a Catalog Task, pre-filled with the correct short description and assigned to the Hardware group.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Removes the manual hand-off step entirely - task creation and assignment happen deterministically the moment a request is approved, with no possibility of the step being forgotten or delayed.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Employees receive their configured laptops faster and with less follow-up, improving onboarding experience and overall employee satisfaction with IT services.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Internal IT efficiency solution (not a revenue-generating product) - value is realised as reduced manual effort and faster turnaround for the IT procurement/hardware teams.</w:t>
            </w:r>
          </w:p>
        </w:tc>
      </w:tr>
      <w:tr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The same Flow Designer pattern can be extended to other standard hardware catalog items (monitors, peripherals, mobile devices) and additional approval tiers with minimal reconfiguration.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