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Brief 1 — Creative-Director Appointments — Findings</w:t>
      </w:r>
    </w:p>
    <w:p>
      <w:pPr>
        <w:pStyle w:val="Heading1"/>
      </w:pPr>
      <w:r>
        <w:t>1. Executive Summary</w:t>
      </w:r>
    </w:p>
    <w:p>
      <w:r>
        <w:t>Across 29 creative-director appointment events at 6 listed luxury parents, at least one of the three full-panel tests flagged a meaningful effect. pre_leaked split: TRUE=0, FALSE=0, UNKNOWN=29. Note that pre_leaked status was UNKNOWN for all events because the rumor-history scrape was not run (Wikipedia primary source); the leaked-vs-not cohort cut therefore could not be performed in Phase 1.</w:t>
      </w:r>
    </w:p>
    <w:p>
      <w:pPr>
        <w:pStyle w:val="Heading1"/>
      </w:pPr>
      <w:r>
        <w:t>2. Methodology</w:t>
      </w:r>
    </w:p>
    <w:p>
      <w:r>
        <w:t>Universe: 14 listed luxury parents from the master CLAUDE.md, with extended brand list including LVMH (Louis Vuitton, Dior, Loewe, Celine, Givenchy, Fendi, Marc Jacobs), Kering (Gucci, Saint Laurent, Bottega Veneta, Balenciaga, Alexander McQueen, Brioni), Capri (Michael Kors, Versace, Jimmy Choo), Tapestry (Coach, Kate Spade, Stuart Weitzman), PVH (Calvin Klein, Tommy Hilfiger), and pure-plays.</w:t>
      </w:r>
    </w:p>
    <w:p>
      <w:r>
        <w:t>Event source: Wikipedia per-brand articles, parsed for sentences with 'creative director'/'appointed'/'named' patterns near absolute or month-resolution dates. Wikipedia was used because IR press archives, BoF, and WWD are paywalled or Cloudflare-protected. The spec lists Wikipedia as a fallback; we used it as primary.</w:t>
      </w:r>
    </w:p>
    <w:p>
      <w:r>
        <w:t>Event window: -30 to +30 trading days. Returns: log abnormal vs. local broad-market index. CARs computed for the standard windows; t=0 is the announcement date. Earnings dates flagged via yfinance; events within ±10 trading days of an earnings release are marked confounded.</w:t>
      </w:r>
    </w:p>
    <w:p>
      <w:pPr>
        <w:pStyle w:val="Heading1"/>
      </w:pPr>
      <w:r>
        <w:t>3. Headline Findings</w:t>
      </w:r>
    </w:p>
    <w:p>
      <w:pPr>
        <w:pStyle w:val="Heading2"/>
      </w:pPr>
      <w:r>
        <w:t>3.1 Test 1 — Aggregate t-stats (full panel)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Window</w:t>
            </w:r>
          </w:p>
        </w:tc>
        <w:tc>
          <w:tcPr>
            <w:tcW w:type="dxa" w:w="1440"/>
          </w:tcPr>
          <w:p>
            <w:r>
              <w:t>n</w:t>
            </w:r>
          </w:p>
        </w:tc>
        <w:tc>
          <w:tcPr>
            <w:tcW w:type="dxa" w:w="1440"/>
          </w:tcPr>
          <w:p>
            <w:r>
              <w:t>mean CAR</w:t>
            </w:r>
          </w:p>
        </w:tc>
        <w:tc>
          <w:tcPr>
            <w:tcW w:type="dxa" w:w="1440"/>
          </w:tcPr>
          <w:p>
            <w:r>
              <w:t>t-stat</w:t>
            </w:r>
          </w:p>
        </w:tc>
        <w:tc>
          <w:tcPr>
            <w:tcW w:type="dxa" w:w="1440"/>
          </w:tcPr>
          <w:p>
            <w:r>
              <w:t>p-value</w:t>
            </w:r>
          </w:p>
        </w:tc>
        <w:tc>
          <w:tcPr>
            <w:tcW w:type="dxa" w:w="1440"/>
          </w:tcPr>
          <w:p>
            <w:r>
              <w:t>flagged</w:t>
            </w:r>
          </w:p>
        </w:tc>
      </w:tr>
      <w:tr>
        <w:tc>
          <w:tcPr>
            <w:tcW w:type="dxa" w:w="1440"/>
          </w:tcPr>
          <w:p>
            <w:r>
              <w:t>CAR_pre10</w:t>
            </w:r>
          </w:p>
        </w:tc>
        <w:tc>
          <w:tcPr>
            <w:tcW w:type="dxa" w:w="1440"/>
          </w:tcPr>
          <w:p>
            <w:r>
              <w:t>29</w:t>
            </w:r>
          </w:p>
        </w:tc>
        <w:tc>
          <w:tcPr>
            <w:tcW w:type="dxa" w:w="1440"/>
          </w:tcPr>
          <w:p>
            <w:r>
              <w:t>0.0195</w:t>
            </w:r>
          </w:p>
        </w:tc>
        <w:tc>
          <w:tcPr>
            <w:tcW w:type="dxa" w:w="1440"/>
          </w:tcPr>
          <w:p>
            <w:r>
              <w:t>2.406</w:t>
            </w:r>
          </w:p>
        </w:tc>
        <w:tc>
          <w:tcPr>
            <w:tcW w:type="dxa" w:w="1440"/>
          </w:tcPr>
          <w:p>
            <w:r>
              <w:t>0.0230</w:t>
            </w:r>
          </w:p>
        </w:tc>
        <w:tc>
          <w:tcPr>
            <w:tcW w:type="dxa" w:w="1440"/>
          </w:tcPr>
          <w:p>
            <w:r>
              <w:t>Y</w:t>
            </w:r>
          </w:p>
        </w:tc>
      </w:tr>
      <w:tr>
        <w:tc>
          <w:tcPr>
            <w:tcW w:type="dxa" w:w="1440"/>
          </w:tcPr>
          <w:p>
            <w:r>
              <w:t>CAR_0to1</w:t>
            </w:r>
          </w:p>
        </w:tc>
        <w:tc>
          <w:tcPr>
            <w:tcW w:type="dxa" w:w="1440"/>
          </w:tcPr>
          <w:p>
            <w:r>
              <w:t>29</w:t>
            </w:r>
          </w:p>
        </w:tc>
        <w:tc>
          <w:tcPr>
            <w:tcW w:type="dxa" w:w="1440"/>
          </w:tcPr>
          <w:p>
            <w:r>
              <w:t>-0.0004</w:t>
            </w:r>
          </w:p>
        </w:tc>
        <w:tc>
          <w:tcPr>
            <w:tcW w:type="dxa" w:w="1440"/>
          </w:tcPr>
          <w:p>
            <w:r>
              <w:t>-0.165</w:t>
            </w:r>
          </w:p>
        </w:tc>
        <w:tc>
          <w:tcPr>
            <w:tcW w:type="dxa" w:w="1440"/>
          </w:tcPr>
          <w:p>
            <w:r>
              <w:t>0.8702</w:t>
            </w:r>
          </w:p>
        </w:tc>
        <w:tc>
          <w:tcPr>
            <w:tcW w:type="dxa" w:w="1440"/>
          </w:tcPr>
          <w:p>
            <w:r/>
          </w:p>
        </w:tc>
      </w:tr>
      <w:tr>
        <w:tc>
          <w:tcPr>
            <w:tcW w:type="dxa" w:w="1440"/>
          </w:tcPr>
          <w:p>
            <w:r>
              <w:t>CAR_0to5</w:t>
            </w:r>
          </w:p>
        </w:tc>
        <w:tc>
          <w:tcPr>
            <w:tcW w:type="dxa" w:w="1440"/>
          </w:tcPr>
          <w:p>
            <w:r>
              <w:t>29</w:t>
            </w:r>
          </w:p>
        </w:tc>
        <w:tc>
          <w:tcPr>
            <w:tcW w:type="dxa" w:w="1440"/>
          </w:tcPr>
          <w:p>
            <w:r>
              <w:t>-0.0011</w:t>
            </w:r>
          </w:p>
        </w:tc>
        <w:tc>
          <w:tcPr>
            <w:tcW w:type="dxa" w:w="1440"/>
          </w:tcPr>
          <w:p>
            <w:r>
              <w:t>-0.209</w:t>
            </w:r>
          </w:p>
        </w:tc>
        <w:tc>
          <w:tcPr>
            <w:tcW w:type="dxa" w:w="1440"/>
          </w:tcPr>
          <w:p>
            <w:r>
              <w:t>0.8361</w:t>
            </w:r>
          </w:p>
        </w:tc>
        <w:tc>
          <w:tcPr>
            <w:tcW w:type="dxa" w:w="1440"/>
          </w:tcPr>
          <w:p>
            <w:r/>
          </w:p>
        </w:tc>
      </w:tr>
      <w:tr>
        <w:tc>
          <w:tcPr>
            <w:tcW w:type="dxa" w:w="1440"/>
          </w:tcPr>
          <w:p>
            <w:r>
              <w:t>CAR_0to10</w:t>
            </w:r>
          </w:p>
        </w:tc>
        <w:tc>
          <w:tcPr>
            <w:tcW w:type="dxa" w:w="1440"/>
          </w:tcPr>
          <w:p>
            <w:r>
              <w:t>29</w:t>
            </w:r>
          </w:p>
        </w:tc>
        <w:tc>
          <w:tcPr>
            <w:tcW w:type="dxa" w:w="1440"/>
          </w:tcPr>
          <w:p>
            <w:r>
              <w:t>0.0083</w:t>
            </w:r>
          </w:p>
        </w:tc>
        <w:tc>
          <w:tcPr>
            <w:tcW w:type="dxa" w:w="1440"/>
          </w:tcPr>
          <w:p>
            <w:r>
              <w:t>1.029</w:t>
            </w:r>
          </w:p>
        </w:tc>
        <w:tc>
          <w:tcPr>
            <w:tcW w:type="dxa" w:w="1440"/>
          </w:tcPr>
          <w:p>
            <w:r>
              <w:t>0.3123</w:t>
            </w:r>
          </w:p>
        </w:tc>
        <w:tc>
          <w:tcPr>
            <w:tcW w:type="dxa" w:w="1440"/>
          </w:tcPr>
          <w:p>
            <w:r/>
          </w:p>
        </w:tc>
      </w:tr>
    </w:tbl>
    <w:p>
      <w:pPr>
        <w:pStyle w:val="Heading2"/>
      </w:pPr>
      <w:r>
        <w:t>3.2 Test 2 — Per-parent median CAR_0to5</w:t>
      </w:r>
    </w:p>
    <w:p>
      <w:r>
        <w:t>Flagged companies (|median CAR_0to5| &gt; 3%): PVH (-5.57%).</w:t>
      </w:r>
    </w:p>
    <w:p>
      <w:pPr>
        <w:pStyle w:val="Heading2"/>
      </w:pPr>
      <w:r>
        <w:t>3.3 Test 3 — Aggregate CAR peak deflection</w:t>
      </w:r>
    </w:p>
    <w:p>
      <w:r>
        <w:t>Peak absolute deflection: 5.22% (flagged, &gt; 1.5%)</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agg_car.png"/>
                    <pic:cNvPicPr/>
                  </pic:nvPicPr>
                  <pic:blipFill>
                    <a:blip r:embed="rId9"/>
                    <a:stretch>
                      <a:fillRect/>
                    </a:stretch>
                  </pic:blipFill>
                  <pic:spPr>
                    <a:xfrm>
                      <a:off x="0" y="0"/>
                      <a:ext cx="5486400" cy="2743200"/>
                    </a:xfrm>
                    <a:prstGeom prst="rect"/>
                  </pic:spPr>
                </pic:pic>
              </a:graphicData>
            </a:graphic>
          </wp:inline>
        </w:drawing>
      </w:r>
    </w:p>
    <w:p>
      <w:pPr>
        <w:pStyle w:val="Heading1"/>
      </w:pPr>
      <w:r>
        <w:t>4. Per-Parent / Brand-Level Observations</w:t>
      </w:r>
    </w:p>
    <w:p>
      <w:pPr>
        <w:pStyle w:val="ListBullet"/>
      </w:pPr>
      <w:r>
        <w:t>PVH Corp (PVH): n=1, median CAR_0to5=-5.57%</w:t>
      </w:r>
    </w:p>
    <w:p>
      <w:pPr>
        <w:pStyle w:val="ListBullet"/>
      </w:pPr>
      <w:r>
        <w:t>Burberry (BRBY.L): n=2, median CAR_0to5=+2.69%</w:t>
      </w:r>
    </w:p>
    <w:p>
      <w:pPr>
        <w:pStyle w:val="ListBullet"/>
      </w:pPr>
      <w:r>
        <w:t>Tapestry (TPR): n=2, median CAR_0to5=+1.93%</w:t>
      </w:r>
    </w:p>
    <w:p>
      <w:pPr>
        <w:pStyle w:val="ListBullet"/>
      </w:pPr>
      <w:r>
        <w:t>Prada (1913.HK): n=1, median CAR_0to5=-1.47%</w:t>
      </w:r>
    </w:p>
    <w:p>
      <w:pPr>
        <w:pStyle w:val="ListBullet"/>
      </w:pPr>
      <w:r>
        <w:t>LVMH (MC.PA): n=13, median CAR_0to5=-0.62%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Ticker</w:t>
            </w:r>
          </w:p>
        </w:tc>
        <w:tc>
          <w:tcPr>
            <w:tcW w:type="dxa" w:w="2160"/>
          </w:tcPr>
          <w:p>
            <w:r>
              <w:t>Company</w:t>
            </w:r>
          </w:p>
        </w:tc>
        <w:tc>
          <w:tcPr>
            <w:tcW w:type="dxa" w:w="2160"/>
          </w:tcPr>
          <w:p>
            <w:r>
              <w:t>n</w:t>
            </w:r>
          </w:p>
        </w:tc>
        <w:tc>
          <w:tcPr>
            <w:tcW w:type="dxa" w:w="2160"/>
          </w:tcPr>
          <w:p>
            <w:r>
              <w:t>median CAR_0to5</w:t>
            </w:r>
          </w:p>
        </w:tc>
      </w:tr>
      <w:tr>
        <w:tc>
          <w:tcPr>
            <w:tcW w:type="dxa" w:w="2160"/>
          </w:tcPr>
          <w:p>
            <w:r>
              <w:t>1913.HK</w:t>
            </w:r>
          </w:p>
        </w:tc>
        <w:tc>
          <w:tcPr>
            <w:tcW w:type="dxa" w:w="2160"/>
          </w:tcPr>
          <w:p>
            <w:r>
              <w:t>Prada</w:t>
            </w:r>
          </w:p>
        </w:tc>
        <w:tc>
          <w:tcPr>
            <w:tcW w:type="dxa" w:w="2160"/>
          </w:tcPr>
          <w:p>
            <w:r>
              <w:t>1</w:t>
            </w:r>
          </w:p>
        </w:tc>
        <w:tc>
          <w:tcPr>
            <w:tcW w:type="dxa" w:w="2160"/>
          </w:tcPr>
          <w:p>
            <w:r>
              <w:t>-1.47%</w:t>
            </w:r>
          </w:p>
        </w:tc>
      </w:tr>
      <w:tr>
        <w:tc>
          <w:tcPr>
            <w:tcW w:type="dxa" w:w="2160"/>
          </w:tcPr>
          <w:p>
            <w:r>
              <w:t>BRBY.L</w:t>
            </w:r>
          </w:p>
        </w:tc>
        <w:tc>
          <w:tcPr>
            <w:tcW w:type="dxa" w:w="2160"/>
          </w:tcPr>
          <w:p>
            <w:r>
              <w:t>Burberry</w:t>
            </w:r>
          </w:p>
        </w:tc>
        <w:tc>
          <w:tcPr>
            <w:tcW w:type="dxa" w:w="2160"/>
          </w:tcPr>
          <w:p>
            <w:r>
              <w:t>2</w:t>
            </w:r>
          </w:p>
        </w:tc>
        <w:tc>
          <w:tcPr>
            <w:tcW w:type="dxa" w:w="2160"/>
          </w:tcPr>
          <w:p>
            <w:r>
              <w:t>+2.69%</w:t>
            </w:r>
          </w:p>
        </w:tc>
      </w:tr>
      <w:tr>
        <w:tc>
          <w:tcPr>
            <w:tcW w:type="dxa" w:w="2160"/>
          </w:tcPr>
          <w:p>
            <w:r>
              <w:t>KER.PA</w:t>
            </w:r>
          </w:p>
        </w:tc>
        <w:tc>
          <w:tcPr>
            <w:tcW w:type="dxa" w:w="2160"/>
          </w:tcPr>
          <w:p>
            <w:r>
              <w:t>Kering</w:t>
            </w:r>
          </w:p>
        </w:tc>
        <w:tc>
          <w:tcPr>
            <w:tcW w:type="dxa" w:w="2160"/>
          </w:tcPr>
          <w:p>
            <w:r>
              <w:t>10</w:t>
            </w:r>
          </w:p>
        </w:tc>
        <w:tc>
          <w:tcPr>
            <w:tcW w:type="dxa" w:w="2160"/>
          </w:tcPr>
          <w:p>
            <w:r>
              <w:t>-0.59%</w:t>
            </w:r>
          </w:p>
        </w:tc>
      </w:tr>
      <w:tr>
        <w:tc>
          <w:tcPr>
            <w:tcW w:type="dxa" w:w="2160"/>
          </w:tcPr>
          <w:p>
            <w:r>
              <w:t>MC.PA</w:t>
            </w:r>
          </w:p>
        </w:tc>
        <w:tc>
          <w:tcPr>
            <w:tcW w:type="dxa" w:w="2160"/>
          </w:tcPr>
          <w:p>
            <w:r>
              <w:t>LVMH</w:t>
            </w:r>
          </w:p>
        </w:tc>
        <w:tc>
          <w:tcPr>
            <w:tcW w:type="dxa" w:w="2160"/>
          </w:tcPr>
          <w:p>
            <w:r>
              <w:t>13</w:t>
            </w:r>
          </w:p>
        </w:tc>
        <w:tc>
          <w:tcPr>
            <w:tcW w:type="dxa" w:w="2160"/>
          </w:tcPr>
          <w:p>
            <w:r>
              <w:t>-0.62%</w:t>
            </w:r>
          </w:p>
        </w:tc>
      </w:tr>
      <w:tr>
        <w:tc>
          <w:tcPr>
            <w:tcW w:type="dxa" w:w="2160"/>
          </w:tcPr>
          <w:p>
            <w:r>
              <w:t>PVH</w:t>
            </w:r>
          </w:p>
        </w:tc>
        <w:tc>
          <w:tcPr>
            <w:tcW w:type="dxa" w:w="2160"/>
          </w:tcPr>
          <w:p>
            <w:r>
              <w:t>PVH Corp</w:t>
            </w:r>
          </w:p>
        </w:tc>
        <w:tc>
          <w:tcPr>
            <w:tcW w:type="dxa" w:w="2160"/>
          </w:tcPr>
          <w:p>
            <w:r>
              <w:t>1</w:t>
            </w:r>
          </w:p>
        </w:tc>
        <w:tc>
          <w:tcPr>
            <w:tcW w:type="dxa" w:w="2160"/>
          </w:tcPr>
          <w:p>
            <w:r>
              <w:t>-5.57%</w:t>
            </w:r>
          </w:p>
        </w:tc>
      </w:tr>
      <w:tr>
        <w:tc>
          <w:tcPr>
            <w:tcW w:type="dxa" w:w="2160"/>
          </w:tcPr>
          <w:p>
            <w:r>
              <w:t>TPR</w:t>
            </w:r>
          </w:p>
        </w:tc>
        <w:tc>
          <w:tcPr>
            <w:tcW w:type="dxa" w:w="2160"/>
          </w:tcPr>
          <w:p>
            <w:r>
              <w:t>Tapestry</w:t>
            </w:r>
          </w:p>
        </w:tc>
        <w:tc>
          <w:tcPr>
            <w:tcW w:type="dxa" w:w="2160"/>
          </w:tcPr>
          <w:p>
            <w:r>
              <w:t>2</w:t>
            </w:r>
          </w:p>
        </w:tc>
        <w:tc>
          <w:tcPr>
            <w:tcW w:type="dxa" w:w="2160"/>
          </w:tcPr>
          <w:p>
            <w:r>
              <w:t>+1.93%</w:t>
            </w:r>
          </w:p>
        </w:tc>
      </w:tr>
    </w:tbl>
    <w:p>
      <w:pPr>
        <w:pStyle w:val="Heading2"/>
      </w:pPr>
      <w:r>
        <w:t>Brand-level appointment counts within parents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Ticker</w:t>
            </w:r>
          </w:p>
        </w:tc>
        <w:tc>
          <w:tcPr>
            <w:tcW w:type="dxa" w:w="2880"/>
          </w:tcPr>
          <w:p>
            <w:r>
              <w:t>Brand</w:t>
            </w:r>
          </w:p>
        </w:tc>
        <w:tc>
          <w:tcPr>
            <w:tcW w:type="dxa" w:w="2880"/>
          </w:tcPr>
          <w:p>
            <w:r>
              <w:t>n appointments</w:t>
            </w:r>
          </w:p>
        </w:tc>
      </w:tr>
      <w:tr>
        <w:tc>
          <w:tcPr>
            <w:tcW w:type="dxa" w:w="2880"/>
          </w:tcPr>
          <w:p>
            <w:r>
              <w:t>1913.HK</w:t>
            </w:r>
          </w:p>
        </w:tc>
        <w:tc>
          <w:tcPr>
            <w:tcW w:type="dxa" w:w="2880"/>
          </w:tcPr>
          <w:p>
            <w:r>
              <w:t>Prada</w:t>
            </w:r>
          </w:p>
        </w:tc>
        <w:tc>
          <w:tcPr>
            <w:tcW w:type="dxa" w:w="2880"/>
          </w:tcPr>
          <w:p>
            <w:r>
              <w:t>1</w:t>
            </w:r>
          </w:p>
        </w:tc>
      </w:tr>
      <w:tr>
        <w:tc>
          <w:tcPr>
            <w:tcW w:type="dxa" w:w="2880"/>
          </w:tcPr>
          <w:p>
            <w:r>
              <w:t>BRBY.L</w:t>
            </w:r>
          </w:p>
        </w:tc>
        <w:tc>
          <w:tcPr>
            <w:tcW w:type="dxa" w:w="2880"/>
          </w:tcPr>
          <w:p>
            <w:r>
              <w:t>Burberry</w:t>
            </w:r>
          </w:p>
        </w:tc>
        <w:tc>
          <w:tcPr>
            <w:tcW w:type="dxa" w:w="2880"/>
          </w:tcPr>
          <w:p>
            <w:r>
              <w:t>2</w:t>
            </w:r>
          </w:p>
        </w:tc>
      </w:tr>
      <w:tr>
        <w:tc>
          <w:tcPr>
            <w:tcW w:type="dxa" w:w="2880"/>
          </w:tcPr>
          <w:p>
            <w:r>
              <w:t>KER.PA</w:t>
            </w:r>
          </w:p>
        </w:tc>
        <w:tc>
          <w:tcPr>
            <w:tcW w:type="dxa" w:w="2880"/>
          </w:tcPr>
          <w:p>
            <w:r>
              <w:t>Brioni</w:t>
            </w:r>
          </w:p>
        </w:tc>
        <w:tc>
          <w:tcPr>
            <w:tcW w:type="dxa" w:w="2880"/>
          </w:tcPr>
          <w:p>
            <w:r>
              <w:t>5</w:t>
            </w:r>
          </w:p>
        </w:tc>
      </w:tr>
      <w:tr>
        <w:tc>
          <w:tcPr>
            <w:tcW w:type="dxa" w:w="2880"/>
          </w:tcPr>
          <w:p>
            <w:r>
              <w:t>KER.PA</w:t>
            </w:r>
          </w:p>
        </w:tc>
        <w:tc>
          <w:tcPr>
            <w:tcW w:type="dxa" w:w="2880"/>
          </w:tcPr>
          <w:p>
            <w:r>
              <w:t>Alexander McQueen</w:t>
            </w:r>
          </w:p>
        </w:tc>
        <w:tc>
          <w:tcPr>
            <w:tcW w:type="dxa" w:w="2880"/>
          </w:tcPr>
          <w:p>
            <w:r>
              <w:t>2</w:t>
            </w:r>
          </w:p>
        </w:tc>
      </w:tr>
      <w:tr>
        <w:tc>
          <w:tcPr>
            <w:tcW w:type="dxa" w:w="2880"/>
          </w:tcPr>
          <w:p>
            <w:r>
              <w:t>KER.PA</w:t>
            </w:r>
          </w:p>
        </w:tc>
        <w:tc>
          <w:tcPr>
            <w:tcW w:type="dxa" w:w="2880"/>
          </w:tcPr>
          <w:p>
            <w:r>
              <w:t>Gucci</w:t>
            </w:r>
          </w:p>
        </w:tc>
        <w:tc>
          <w:tcPr>
            <w:tcW w:type="dxa" w:w="2880"/>
          </w:tcPr>
          <w:p>
            <w:r>
              <w:t>2</w:t>
            </w:r>
          </w:p>
        </w:tc>
      </w:tr>
      <w:tr>
        <w:tc>
          <w:tcPr>
            <w:tcW w:type="dxa" w:w="2880"/>
          </w:tcPr>
          <w:p>
            <w:r>
              <w:t>KER.PA</w:t>
            </w:r>
          </w:p>
        </w:tc>
        <w:tc>
          <w:tcPr>
            <w:tcW w:type="dxa" w:w="2880"/>
          </w:tcPr>
          <w:p>
            <w:r>
              <w:t>Balenciaga</w:t>
            </w:r>
          </w:p>
        </w:tc>
        <w:tc>
          <w:tcPr>
            <w:tcW w:type="dxa" w:w="2880"/>
          </w:tcPr>
          <w:p>
            <w:r>
              <w:t>1</w:t>
            </w:r>
          </w:p>
        </w:tc>
      </w:tr>
      <w:tr>
        <w:tc>
          <w:tcPr>
            <w:tcW w:type="dxa" w:w="2880"/>
          </w:tcPr>
          <w:p>
            <w:r>
              <w:t>MC.PA</w:t>
            </w:r>
          </w:p>
        </w:tc>
        <w:tc>
          <w:tcPr>
            <w:tcW w:type="dxa" w:w="2880"/>
          </w:tcPr>
          <w:p>
            <w:r>
              <w:t>Dior</w:t>
            </w:r>
          </w:p>
        </w:tc>
        <w:tc>
          <w:tcPr>
            <w:tcW w:type="dxa" w:w="2880"/>
          </w:tcPr>
          <w:p>
            <w:r>
              <w:t>6</w:t>
            </w:r>
          </w:p>
        </w:tc>
      </w:tr>
      <w:tr>
        <w:tc>
          <w:tcPr>
            <w:tcW w:type="dxa" w:w="2880"/>
          </w:tcPr>
          <w:p>
            <w:r>
              <w:t>MC.PA</w:t>
            </w:r>
          </w:p>
        </w:tc>
        <w:tc>
          <w:tcPr>
            <w:tcW w:type="dxa" w:w="2880"/>
          </w:tcPr>
          <w:p>
            <w:r>
              <w:t>Louis Vuitton</w:t>
            </w:r>
          </w:p>
        </w:tc>
        <w:tc>
          <w:tcPr>
            <w:tcW w:type="dxa" w:w="2880"/>
          </w:tcPr>
          <w:p>
            <w:r>
              <w:t>3</w:t>
            </w:r>
          </w:p>
        </w:tc>
      </w:tr>
      <w:tr>
        <w:tc>
          <w:tcPr>
            <w:tcW w:type="dxa" w:w="2880"/>
          </w:tcPr>
          <w:p>
            <w:r>
              <w:t>MC.PA</w:t>
            </w:r>
          </w:p>
        </w:tc>
        <w:tc>
          <w:tcPr>
            <w:tcW w:type="dxa" w:w="2880"/>
          </w:tcPr>
          <w:p>
            <w:r>
              <w:t>Marc Jacobs</w:t>
            </w:r>
          </w:p>
        </w:tc>
        <w:tc>
          <w:tcPr>
            <w:tcW w:type="dxa" w:w="2880"/>
          </w:tcPr>
          <w:p>
            <w:r>
              <w:t>2</w:t>
            </w:r>
          </w:p>
        </w:tc>
      </w:tr>
      <w:tr>
        <w:tc>
          <w:tcPr>
            <w:tcW w:type="dxa" w:w="2880"/>
          </w:tcPr>
          <w:p>
            <w:r>
              <w:t>MC.PA</w:t>
            </w:r>
          </w:p>
        </w:tc>
        <w:tc>
          <w:tcPr>
            <w:tcW w:type="dxa" w:w="2880"/>
          </w:tcPr>
          <w:p>
            <w:r>
              <w:t>Celine</w:t>
            </w:r>
          </w:p>
        </w:tc>
        <w:tc>
          <w:tcPr>
            <w:tcW w:type="dxa" w:w="2880"/>
          </w:tcPr>
          <w:p>
            <w:r>
              <w:t>1</w:t>
            </w:r>
          </w:p>
        </w:tc>
      </w:tr>
      <w:tr>
        <w:tc>
          <w:tcPr>
            <w:tcW w:type="dxa" w:w="2880"/>
          </w:tcPr>
          <w:p>
            <w:r>
              <w:t>MC.PA</w:t>
            </w:r>
          </w:p>
        </w:tc>
        <w:tc>
          <w:tcPr>
            <w:tcW w:type="dxa" w:w="2880"/>
          </w:tcPr>
          <w:p>
            <w:r>
              <w:t>Givenchy</w:t>
            </w:r>
          </w:p>
        </w:tc>
        <w:tc>
          <w:tcPr>
            <w:tcW w:type="dxa" w:w="2880"/>
          </w:tcPr>
          <w:p>
            <w:r>
              <w:t>1</w:t>
            </w:r>
          </w:p>
        </w:tc>
      </w:tr>
      <w:tr>
        <w:tc>
          <w:tcPr>
            <w:tcW w:type="dxa" w:w="2880"/>
          </w:tcPr>
          <w:p>
            <w:r>
              <w:t>PVH</w:t>
            </w:r>
          </w:p>
        </w:tc>
        <w:tc>
          <w:tcPr>
            <w:tcW w:type="dxa" w:w="2880"/>
          </w:tcPr>
          <w:p>
            <w:r>
              <w:t>Calvin Klein</w:t>
            </w:r>
          </w:p>
        </w:tc>
        <w:tc>
          <w:tcPr>
            <w:tcW w:type="dxa" w:w="2880"/>
          </w:tcPr>
          <w:p>
            <w:r>
              <w:t>1</w:t>
            </w:r>
          </w:p>
        </w:tc>
      </w:tr>
      <w:tr>
        <w:tc>
          <w:tcPr>
            <w:tcW w:type="dxa" w:w="2880"/>
          </w:tcPr>
          <w:p>
            <w:r>
              <w:t>TPR</w:t>
            </w:r>
          </w:p>
        </w:tc>
        <w:tc>
          <w:tcPr>
            <w:tcW w:type="dxa" w:w="2880"/>
          </w:tcPr>
          <w:p>
            <w:r>
              <w:t>Stuart Weitzman</w:t>
            </w:r>
          </w:p>
        </w:tc>
        <w:tc>
          <w:tcPr>
            <w:tcW w:type="dxa" w:w="2880"/>
          </w:tcPr>
          <w:p>
            <w:r>
              <w:t>2</w:t>
            </w:r>
          </w:p>
        </w:tc>
      </w:tr>
    </w:tbl>
    <w:p>
      <w:pPr>
        <w:pStyle w:val="Heading1"/>
      </w:pPr>
      <w:r>
        <w:t>5. Confounding &amp; pre_leaked Cohort Analysis</w:t>
      </w:r>
    </w:p>
    <w:p>
      <w:r>
        <w:t>0 of 29 events fall within ±10 trading days of an earnings release; 0 have unknown earnings status.</w:t>
      </w:r>
    </w:p>
    <w:p>
      <w:r>
        <w:t>All events have pre_leaked=UNKNOWN because the BoF/WWD rumor-history scrape was not run (sources paywalled). The TRUE-vs-FALSE cohort t-test therefore could not be performed in Phase 1. The pre_leaked overlay chart in the Excel deliverable shows only the UNKNOWN cohort curve.</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ov7_confound.png"/>
                    <pic:cNvPicPr/>
                  </pic:nvPicPr>
                  <pic:blipFill>
                    <a:blip r:embed="rId10"/>
                    <a:stretch>
                      <a:fillRect/>
                    </a:stretch>
                  </pic:blipFill>
                  <pic:spPr>
                    <a:xfrm>
                      <a:off x="0" y="0"/>
                      <a:ext cx="5486400" cy="2743200"/>
                    </a:xfrm>
                    <a:prstGeom prst="rect"/>
                  </pic:spPr>
                </pic:pic>
              </a:graphicData>
            </a:graphic>
          </wp:inline>
        </w:drawing>
      </w:r>
    </w:p>
    <w:p>
      <w:pPr>
        <w:pStyle w:val="Heading1"/>
      </w:pPr>
      <w:r>
        <w:t>6. Limitations</w:t>
      </w:r>
    </w:p>
    <w:p>
      <w:pPr>
        <w:pStyle w:val="ListBullet"/>
      </w:pPr>
      <w:r>
        <w:t>Wikipedia coverage of CD appointments is uneven: well-documented for major recent appointments, sparse for older ones. Many appointments are missed.</w:t>
      </w:r>
    </w:p>
    <w:p>
      <w:pPr>
        <w:pStyle w:val="ListBullet"/>
      </w:pPr>
      <w:r>
        <w:t>Date precision varies: only events with month-resolution dates were retained; some events are anchored at the 15th of the month and may be ±15 days from the true press-release date.</w:t>
      </w:r>
    </w:p>
    <w:p>
      <w:pPr>
        <w:pStyle w:val="ListBullet"/>
      </w:pPr>
      <w:r>
        <w:t>pre_leaked flag is UNKNOWN for all events because the rumor-history check was not feasible without paid BoF/WWD access.</w:t>
      </w:r>
    </w:p>
    <w:p>
      <w:pPr>
        <w:pStyle w:val="ListBullet"/>
      </w:pPr>
      <w:r>
        <w:t>Sample size (~31 events) is small for an event study; the detection threshold is correspondingly high.</w:t>
      </w:r>
    </w:p>
    <w:p>
      <w:pPr>
        <w:pStyle w:val="ListBullet"/>
      </w:pPr>
      <w:r>
        <w:t>Only Wikipedia was used as a source; IR press archives may have additional events or more precise dates.</w:t>
      </w:r>
    </w:p>
    <w:p>
      <w:pPr>
        <w:pStyle w:val="Heading1"/>
      </w:pPr>
      <w:r>
        <w:t>7. Phase 2 Hypotheses</w:t>
      </w:r>
    </w:p>
    <w:p>
      <w:pPr>
        <w:pStyle w:val="ListBullet"/>
      </w:pPr>
      <w:r>
        <w:t>Run the rumor-history scrape against BoF and WWD with paid access to fill the pre_leaked flag and run the leaked-vs-not cohort cut as designed.</w:t>
      </w:r>
    </w:p>
    <w:p>
      <w:pPr>
        <w:pStyle w:val="ListBullet"/>
      </w:pPr>
      <w:r>
        <w:t>Cross-reference Wikipedia-derived events against IR press releases for date precision.</w:t>
      </w:r>
    </w:p>
    <w:p>
      <w:pPr>
        <w:pStyle w:val="ListBullet"/>
      </w:pPr>
      <w:r>
        <w:t>Split debut (a designer's first appointment as CD) vs replacement appointments.</w:t>
      </w:r>
    </w:p>
    <w:p>
      <w:pPr>
        <w:pStyle w:val="ListBullet"/>
      </w:pPr>
      <w:r>
        <w:t>Test whether the parent-stock reaction varies by the prior CD's tenure length.</w:t>
      </w:r>
    </w:p>
    <w:p>
      <w:pPr>
        <w:pStyle w:val="ListBullet"/>
      </w:pPr>
      <w:r>
        <w:t>Add a sector benchmark in addition to the local broad index.</w:t>
      </w:r>
    </w:p>
    <w:p>
      <w:pPr>
        <w:pStyle w:val="ListBullet"/>
      </w:pPr>
      <w:r>
        <w:t>Investigate the announcement vs first-collection split (do markets react to the appointment news, or wait until the runway debut?).</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ov1_agg.png"/>
                    <pic:cNvPicPr/>
                  </pic:nvPicPr>
                  <pic:blipFill>
                    <a:blip r:embed="rId11"/>
                    <a:stretch>
                      <a:fillRect/>
                    </a:stretch>
                  </pic:blipFill>
                  <pic:spPr>
                    <a:xfrm>
                      <a:off x="0" y="0"/>
                      <a:ext cx="5486400" cy="2743200"/>
                    </a:xfrm>
                    <a:prstGeom prst="rect"/>
                  </pic:spPr>
                </pic:pic>
              </a:graphicData>
            </a:graphic>
          </wp:inline>
        </w:drawing>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ov9_pre_leaked.png"/>
                    <pic:cNvPicPr/>
                  </pic:nvPicPr>
                  <pic:blipFill>
                    <a:blip r:embed="rId12"/>
                    <a:stretch>
                      <a:fillRect/>
                    </a:stretch>
                  </pic:blipFill>
                  <pic:spPr>
                    <a:xfrm>
                      <a:off x="0" y="0"/>
                      <a:ext cx="5486400" cy="2743200"/>
                    </a:xfrm>
                    <a:prstGeom prst="rect"/>
                  </pic:spPr>
                </pic:pic>
              </a:graphicData>
            </a:graphic>
          </wp:inline>
        </w:drawing>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ov5_appt_type.png"/>
                    <pic:cNvPicPr/>
                  </pic:nvPicPr>
                  <pic:blipFill>
                    <a:blip r:embed="rId13"/>
                    <a:stretch>
                      <a:fillRect/>
                    </a:stretch>
                  </pic:blipFill>
                  <pic:spPr>
                    <a:xfrm>
                      <a:off x="0" y="0"/>
                      <a:ext cx="5486400" cy="2743200"/>
                    </a:xfrm>
                    <a:prstGeom prst="rect"/>
                  </pic:spPr>
                </pic:pic>
              </a:graphicData>
            </a:graphic>
          </wp:inline>
        </w:drawing>
      </w:r>
    </w:p>
    <w:p>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ov6_pure_vs_cong.png"/>
                    <pic:cNvPicPr/>
                  </pic:nvPicPr>
                  <pic:blipFill>
                    <a:blip r:embed="rId14"/>
                    <a:stretch>
                      <a:fillRect/>
                    </a:stretch>
                  </pic:blipFill>
                  <pic:spPr>
                    <a:xfrm>
                      <a:off x="0" y="0"/>
                      <a:ext cx="5486400" cy="27432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