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Brief 4 — Fashion-Week Aggregate Effect — Findings</w:t>
      </w:r>
    </w:p>
    <w:p>
      <w:pPr>
        <w:pStyle w:val="Heading1"/>
      </w:pPr>
      <w:r>
        <w:t>1. Executive Summary</w:t>
      </w:r>
    </w:p>
    <w:p>
      <w:r>
        <w:t>Across 600 (parent x fashion-week) panel events spanning 208 fashion weeks (12 listed parents), at least one full-panel test flagged a meaningful effect. Index-level sanity check: local indices flagged as moving abnormally during their fashion week in 1 of 4 cities (london).</w:t>
      </w:r>
    </w:p>
    <w:p>
      <w:pPr>
        <w:pStyle w:val="Heading1"/>
      </w:pPr>
      <w:r>
        <w:t>2. Methodology</w:t>
      </w:r>
    </w:p>
    <w:p>
      <w:r>
        <w:t>Universe: 14 listed luxury parents from master CLAUDE.md, mapped to fashion weeks via extended brand list (Paris weeks include MC.PA brands LV/Dior/Loewe/Celine/Givenchy/Fendi, Kering brands Saint Laurent/Balenciaga/McQueen, and Hermès; Milan weeks include KER.PA via Gucci/Bottega, 1913.HK via Prada/Miu Miu, BC.MI, MONC.MI, SFER.MI, plus MC.PA via Fendi when in Milan; NY weeks include CPRI/TPR/PVH/RL; London is Burberry-only).</w:t>
      </w:r>
    </w:p>
    <w:p>
      <w:r>
        <w:t>Event source: synthetic fashion-week calendar generated from the well-documented annual convention (NYFW → LFW → MFW → PFW, sequential ~6-day weeks; SS in September, FW in February). The four governing bodies (FHCM, CMI, CFDA, BFC) do not publish historical archives in scrape-friendly format. Per the spec's fallback clause, we generated the calendar from convention. Date precision is ±3 days year-over-year; well within the ±30-day event window.</w:t>
      </w:r>
    </w:p>
    <w:p>
      <w:r>
        <w:t>Event window: -30 to +30 trading days. Returns: log abnormal vs. local broad-market index. CARs computed for the standard windows. Plus a brief-specific column during_FW_AR (sum of abnormal returns from t=0 through fw_end_date, ~5-7 trading days). Earnings within ±10 trading days flag confounded events.</w:t>
      </w:r>
    </w:p>
    <w:p>
      <w:pPr>
        <w:pStyle w:val="Heading1"/>
      </w:pPr>
      <w:r>
        <w:t>3. Headline Findings</w:t>
      </w:r>
    </w:p>
    <w:p>
      <w:pPr>
        <w:pStyle w:val="Heading2"/>
      </w:pPr>
      <w:r>
        <w:t>3.1 Test 1 — Aggregate t-stats (full panel)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Window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 CAR</w:t>
            </w:r>
          </w:p>
        </w:tc>
        <w:tc>
          <w:tcPr>
            <w:tcW w:type="dxa" w:w="1440"/>
          </w:tcPr>
          <w:p>
            <w:r>
              <w:t>t-stat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flagged</w:t>
            </w:r>
          </w:p>
        </w:tc>
      </w:tr>
      <w:tr>
        <w:tc>
          <w:tcPr>
            <w:tcW w:type="dxa" w:w="1440"/>
          </w:tcPr>
          <w:p>
            <w:r>
              <w:t>CAR_pre10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0.0070</w:t>
            </w:r>
          </w:p>
        </w:tc>
        <w:tc>
          <w:tcPr>
            <w:tcW w:type="dxa" w:w="1440"/>
          </w:tcPr>
          <w:p>
            <w:r>
              <w:t>2.638</w:t>
            </w:r>
          </w:p>
        </w:tc>
        <w:tc>
          <w:tcPr>
            <w:tcW w:type="dxa" w:w="1440"/>
          </w:tcPr>
          <w:p>
            <w:r>
              <w:t>0.0086</w:t>
            </w:r>
          </w:p>
        </w:tc>
        <w:tc>
          <w:tcPr>
            <w:tcW w:type="dxa" w:w="1440"/>
          </w:tcPr>
          <w:p>
            <w:r>
              <w:t>Y</w:t>
            </w:r>
          </w:p>
        </w:tc>
      </w:tr>
      <w:tr>
        <w:tc>
          <w:tcPr>
            <w:tcW w:type="dxa" w:w="1440"/>
          </w:tcPr>
          <w:p>
            <w:r>
              <w:t>CAR_0to1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0.0010</w:t>
            </w:r>
          </w:p>
        </w:tc>
        <w:tc>
          <w:tcPr>
            <w:tcW w:type="dxa" w:w="1440"/>
          </w:tcPr>
          <w:p>
            <w:r>
              <w:t>0.959</w:t>
            </w:r>
          </w:p>
        </w:tc>
        <w:tc>
          <w:tcPr>
            <w:tcW w:type="dxa" w:w="1440"/>
          </w:tcPr>
          <w:p>
            <w:r>
              <w:t>0.3377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CAR_0to5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-0.0000</w:t>
            </w:r>
          </w:p>
        </w:tc>
        <w:tc>
          <w:tcPr>
            <w:tcW w:type="dxa" w:w="1440"/>
          </w:tcPr>
          <w:p>
            <w:r>
              <w:t>-0.011</w:t>
            </w:r>
          </w:p>
        </w:tc>
        <w:tc>
          <w:tcPr>
            <w:tcW w:type="dxa" w:w="1440"/>
          </w:tcPr>
          <w:p>
            <w:r>
              <w:t>0.9910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CAR_0to10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0.0018</w:t>
            </w:r>
          </w:p>
        </w:tc>
        <w:tc>
          <w:tcPr>
            <w:tcW w:type="dxa" w:w="1440"/>
          </w:tcPr>
          <w:p>
            <w:r>
              <w:t>0.736</w:t>
            </w:r>
          </w:p>
        </w:tc>
        <w:tc>
          <w:tcPr>
            <w:tcW w:type="dxa" w:w="1440"/>
          </w:tcPr>
          <w:p>
            <w:r>
              <w:t>0.4618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3.2 Test 2 — Per-parent median CAR_0to5</w:t>
      </w:r>
    </w:p>
    <w:p>
      <w:r>
        <w:t>No company exceeded the 3% median CAR_0to5 threshold.</w:t>
      </w:r>
    </w:p>
    <w:p>
      <w:pPr>
        <w:pStyle w:val="Heading2"/>
      </w:pPr>
      <w:r>
        <w:t>3.3 Test 3 — Aggregate CAR peak deflection</w:t>
      </w:r>
    </w:p>
    <w:p>
      <w:r>
        <w:t>Peak: 2.02% (flagged &gt; 1.5%)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g_c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Per-City Observations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mean CAR_0to5</w:t>
            </w:r>
          </w:p>
        </w:tc>
        <w:tc>
          <w:tcPr>
            <w:tcW w:type="dxa" w:w="1728"/>
          </w:tcPr>
          <w:p>
            <w:r>
              <w:t>t-stat (CAR_0to5)</w:t>
            </w:r>
          </w:p>
        </w:tc>
        <w:tc>
          <w:tcPr>
            <w:tcW w:type="dxa" w:w="1728"/>
          </w:tcPr>
          <w:p>
            <w:r>
              <w:t>flagged</w:t>
            </w:r>
          </w:p>
        </w:tc>
      </w:tr>
      <w:tr>
        <w:tc>
          <w:tcPr>
            <w:tcW w:type="dxa" w:w="1728"/>
          </w:tcPr>
          <w:p>
            <w:r>
              <w:t>paris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-0.0016</w:t>
            </w:r>
          </w:p>
        </w:tc>
        <w:tc>
          <w:tcPr>
            <w:tcW w:type="dxa" w:w="1728"/>
          </w:tcPr>
          <w:p>
            <w:r>
              <w:t>-0.634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milan</w:t>
            </w:r>
          </w:p>
        </w:tc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-0.0026</w:t>
            </w:r>
          </w:p>
        </w:tc>
        <w:tc>
          <w:tcPr>
            <w:tcW w:type="dxa" w:w="1728"/>
          </w:tcPr>
          <w:p>
            <w:r>
              <w:t>-0.903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new_york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0.0051</w:t>
            </w:r>
          </w:p>
        </w:tc>
        <w:tc>
          <w:tcPr>
            <w:tcW w:type="dxa" w:w="1728"/>
          </w:tcPr>
          <w:p>
            <w:r>
              <w:t>1.285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london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-0.0028</w:t>
            </w:r>
          </w:p>
        </w:tc>
        <w:tc>
          <w:tcPr>
            <w:tcW w:type="dxa" w:w="1728"/>
          </w:tcPr>
          <w:p>
            <w:r>
              <w:t>-0.446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5. Index-Level Sanity Check + Confounding Analysis</w:t>
      </w:r>
    </w:p>
    <w:p>
      <w:r>
        <w:t>The index-level sanity check asks: does the local broad-market index itself drift abnormally during fashion week? If yes, individual stock CARs vs. the local index are confounded by the index's own move. Across the four cities: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City</w:t>
            </w:r>
          </w:p>
        </w:tc>
        <w:tc>
          <w:tcPr>
            <w:tcW w:type="dxa" w:w="1234"/>
          </w:tcPr>
          <w:p>
            <w:r>
              <w:t>Index</w:t>
            </w:r>
          </w:p>
        </w:tc>
        <w:tc>
          <w:tcPr>
            <w:tcW w:type="dxa" w:w="1234"/>
          </w:tcPr>
          <w:p>
            <w:r>
              <w:t>n_weeks</w:t>
            </w:r>
          </w:p>
        </w:tc>
        <w:tc>
          <w:tcPr>
            <w:tcW w:type="dxa" w:w="1234"/>
          </w:tcPr>
          <w:p>
            <w:r>
              <w:t>mean log return</w:t>
            </w:r>
          </w:p>
        </w:tc>
        <w:tc>
          <w:tcPr>
            <w:tcW w:type="dxa" w:w="1234"/>
          </w:tcPr>
          <w:p>
            <w:r>
              <w:t>t vs 0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flagged</w:t>
            </w:r>
          </w:p>
        </w:tc>
      </w:tr>
      <w:tr>
        <w:tc>
          <w:tcPr>
            <w:tcW w:type="dxa" w:w="1234"/>
          </w:tcPr>
          <w:p>
            <w:r>
              <w:t>paris</w:t>
            </w:r>
          </w:p>
        </w:tc>
        <w:tc>
          <w:tcPr>
            <w:tcW w:type="dxa" w:w="1234"/>
          </w:tcPr>
          <w:p>
            <w:r>
              <w:t>^FCHI</w:t>
            </w:r>
          </w:p>
        </w:tc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-0.055%</w:t>
            </w:r>
          </w:p>
        </w:tc>
        <w:tc>
          <w:tcPr>
            <w:tcW w:type="dxa" w:w="1234"/>
          </w:tcPr>
          <w:p>
            <w:r>
              <w:t>-0.131</w:t>
            </w:r>
          </w:p>
        </w:tc>
        <w:tc>
          <w:tcPr>
            <w:tcW w:type="dxa" w:w="1234"/>
          </w:tcPr>
          <w:p>
            <w:r>
              <w:t>0.8965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milan</w:t>
            </w:r>
          </w:p>
        </w:tc>
        <w:tc>
          <w:tcPr>
            <w:tcW w:type="dxa" w:w="1234"/>
          </w:tcPr>
          <w:p>
            <w:r>
              <w:t>FTSEMIB.MI</w:t>
            </w:r>
          </w:p>
        </w:tc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-0.473%</w:t>
            </w:r>
          </w:p>
        </w:tc>
        <w:tc>
          <w:tcPr>
            <w:tcW w:type="dxa" w:w="1234"/>
          </w:tcPr>
          <w:p>
            <w:r>
              <w:t>-1.148</w:t>
            </w:r>
          </w:p>
        </w:tc>
        <w:tc>
          <w:tcPr>
            <w:tcW w:type="dxa" w:w="1234"/>
          </w:tcPr>
          <w:p>
            <w:r>
              <w:t>0.2562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new_york</w:t>
            </w:r>
          </w:p>
        </w:tc>
        <w:tc>
          <w:tcPr>
            <w:tcW w:type="dxa" w:w="1234"/>
          </w:tcPr>
          <w:p>
            <w:r>
              <w:t>^GSPC</w:t>
            </w:r>
          </w:p>
        </w:tc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+0.464%</w:t>
            </w:r>
          </w:p>
        </w:tc>
        <w:tc>
          <w:tcPr>
            <w:tcW w:type="dxa" w:w="1234"/>
          </w:tcPr>
          <w:p>
            <w:r>
              <w:t>1.527</w:t>
            </w:r>
          </w:p>
        </w:tc>
        <w:tc>
          <w:tcPr>
            <w:tcW w:type="dxa" w:w="1234"/>
          </w:tcPr>
          <w:p>
            <w:r>
              <w:t>0.1330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london</w:t>
            </w:r>
          </w:p>
        </w:tc>
        <w:tc>
          <w:tcPr>
            <w:tcW w:type="dxa" w:w="1234"/>
          </w:tcPr>
          <w:p>
            <w:r>
              <w:t>^FTSE</w:t>
            </w:r>
          </w:p>
        </w:tc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-0.505%</w:t>
            </w:r>
          </w:p>
        </w:tc>
        <w:tc>
          <w:tcPr>
            <w:tcW w:type="dxa" w:w="1234"/>
          </w:tcPr>
          <w:p>
            <w:r>
              <w:t>-2.064</w:t>
            </w:r>
          </w:p>
        </w:tc>
        <w:tc>
          <w:tcPr>
            <w:tcW w:type="dxa" w:w="1234"/>
          </w:tcPr>
          <w:p>
            <w:r>
              <w:t>0.0441</w:t>
            </w:r>
          </w:p>
        </w:tc>
        <w:tc>
          <w:tcPr>
            <w:tcW w:type="dxa" w:w="1234"/>
          </w:tcPr>
          <w:p>
            <w:r>
              <w:t>Y</w:t>
            </w:r>
          </w:p>
        </w:tc>
      </w:tr>
    </w:tbl>
    <w:p>
      <w:r>
        <w:t>Earnings confounders: 31 of 600 panel events fall within ±10 trading days of an earnings release. Many fashion weeks coincide with earnings season (Feb FW + Q4 reports, Sept SS + Q3 reports), which is one reason the panel is not 'clean'.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10_index_san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Limitations</w:t>
      </w:r>
    </w:p>
    <w:p>
      <w:pPr>
        <w:pStyle w:val="ListBullet"/>
      </w:pPr>
      <w:r>
        <w:t>Synthetic calendar — fashion week start dates are generated from convention, not scraped from the four governing bodies. Real dates can drift ±3 days year-over-year.</w:t>
      </w:r>
    </w:p>
    <w:p>
      <w:pPr>
        <w:pStyle w:val="ListBullet"/>
      </w:pPr>
      <w:r>
        <w:t>Conglomerate dilution: parents with brands across multiple cities (MC.PA in Paris+Milan, KER.PA in Paris+Milan) appear in multiple cohorts; their stock can't separately react to each.</w:t>
      </w:r>
    </w:p>
    <w:p>
      <w:pPr>
        <w:pStyle w:val="ListBullet"/>
      </w:pPr>
      <w:r>
        <w:t>Local broad-market benchmark only. Sector benchmark (e.g., S&amp;P Global Luxury) was not fetched; sector rotation is not isolated.</w:t>
      </w:r>
    </w:p>
    <w:p>
      <w:pPr>
        <w:pStyle w:val="ListBullet"/>
      </w:pPr>
      <w:r>
        <w:t>Fashion weeks are calendared and anticipated to the day — markets price calendared events at scheduling, not occurrence — so a flat aggregate would be unsurprising.</w:t>
      </w:r>
    </w:p>
    <w:p>
      <w:pPr>
        <w:pStyle w:val="ListBullet"/>
      </w:pPr>
      <w:r>
        <w:t>(Parent x week) panel rows are not statistically independent: weekly fashion calendars stack within a single month, and the same parent appears multiple times within a quarter.</w:t>
      </w:r>
    </w:p>
    <w:p>
      <w:pPr>
        <w:pStyle w:val="ListBullet"/>
      </w:pPr>
      <w:r>
        <w:t>TOD.MI not in panel because no price data (delisted Sep 2024).</w:t>
      </w:r>
    </w:p>
    <w:p>
      <w:pPr>
        <w:pStyle w:val="Heading1"/>
      </w:pPr>
      <w:r>
        <w:t>7. Phase 2 Hypotheses</w:t>
      </w:r>
    </w:p>
    <w:p>
      <w:pPr>
        <w:pStyle w:val="ListBullet"/>
      </w:pPr>
      <w:r>
        <w:t>Replace synthetic calendar with scraped governing-body archives (FHCM, CMI, CFDA, BFC) where available; reconcile against BoF and Vogue Runway for older dates.</w:t>
      </w:r>
    </w:p>
    <w:p>
      <w:pPr>
        <w:pStyle w:val="ListBullet"/>
      </w:pPr>
      <w:r>
        <w:t>Add S&amp;P Global Luxury Index (LXLU) as a sector benchmark and recompute (stock − local) − (LXLU − local) sector rotation.</w:t>
      </w:r>
    </w:p>
    <w:p>
      <w:pPr>
        <w:pStyle w:val="ListBullet"/>
      </w:pPr>
      <w:r>
        <w:t>Single-show event study (Phase 1's runway brief) joined to fashion-week panel — does the aggregate week effect attribute back to specific shows?</w:t>
      </w:r>
    </w:p>
    <w:p>
      <w:pPr>
        <w:pStyle w:val="ListBullet"/>
      </w:pPr>
      <w:r>
        <w:t>Drop overlapping events (parent appears in multiple weeks within 30 trading days) to address non-independence.</w:t>
      </w:r>
    </w:p>
    <w:p>
      <w:pPr>
        <w:pStyle w:val="ListBullet"/>
      </w:pPr>
      <w:r>
        <w:t>Designer-debut interaction: weeks featuring a CD's debut runway should show stronger signal than steady-state weeks.</w:t>
      </w:r>
    </w:p>
    <w:p>
      <w:pPr>
        <w:pStyle w:val="ListBullet"/>
      </w:pPr>
      <w:r>
        <w:t>Macro-control regression: control for VIX / 10y yield / FX (EUR-USD, USD-CNY) which move during European-vs-American fashion weeks.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1_ag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9_by_c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7_confou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6_pure_vs_co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