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Fashion Show Event Study — Phase 1 Findings</w:t>
      </w:r>
    </w:p>
    <w:p>
      <w:pPr>
        <w:pStyle w:val="Heading1"/>
      </w:pPr>
      <w:r>
        <w:t>1. Executive Summary</w:t>
      </w:r>
    </w:p>
    <w:p>
      <w:r>
        <w:t>Phase 1 analyzed 675 runway events across 13 listed fashion companies, 2000-2025. None of the three Phase 1 tests flagged a statistically meaningful effect. Test 1 (aggregate t-stat across 4 windows) showed no significant aggregate effect. Test 2 (median brand-level effect, |·|&gt;3%) flagged 0 of 13 companies. Test 3 (visual peak deflection) measured 1.12% peak (below 1.5% threshold).</w:t>
      </w:r>
    </w:p>
    <w:p>
      <w:pPr>
        <w:pStyle w:val="Heading1"/>
      </w:pPr>
      <w:r>
        <w:t>2. Methodology</w:t>
      </w:r>
    </w:p>
    <w:p>
      <w:r>
        <w:t>Universe of 15 publicly-listed fashion houses across France (LVMH, Kering, Hermes), the US (Capri Holdings, Tapestry, Coach Inc legacy, PVH, Ralph Lauren), the UK (Burberry), Hong Kong (Prada), Italy (Brunello Cucinelli, Moncler, Salvatore Ferragamo, Tod's), and Germany (Hugo Boss). Events are SS and FW main women's ready-to-wear runway shows scraped from Vogue Runway 2000-2025. Couture, cruise/resort, pre-fall, and menswear shows are excluded.</w:t>
      </w:r>
    </w:p>
    <w:p>
      <w:r>
        <w:t>Event window is -30..+30 trading days around the first trading day on or after the show date. Abnormal returns are computed daily as stock log return minus local-index log return; CARs are the cumulative sum of abnormal returns over the specified subwindows. Earnings dates within 10 trading days flag confounded events but do not exclude them.</w:t>
      </w:r>
    </w:p>
    <w:p>
      <w:pPr>
        <w:pStyle w:val="Heading1"/>
      </w:pPr>
      <w:r>
        <w:t>3. Headline Findings</w:t>
      </w:r>
    </w:p>
    <w:p>
      <w:pPr>
        <w:pStyle w:val="Heading2"/>
      </w:pPr>
      <w:r>
        <w:t>3.1 Test 1 — Aggregate t-stats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Window</w:t>
            </w:r>
          </w:p>
        </w:tc>
        <w:tc>
          <w:tcPr>
            <w:tcW w:type="dxa" w:w="1440"/>
          </w:tcPr>
          <w:p>
            <w:r>
              <w:t>n</w:t>
            </w:r>
          </w:p>
        </w:tc>
        <w:tc>
          <w:tcPr>
            <w:tcW w:type="dxa" w:w="1440"/>
          </w:tcPr>
          <w:p>
            <w:r>
              <w:t>mean CAR</w:t>
            </w:r>
          </w:p>
        </w:tc>
        <w:tc>
          <w:tcPr>
            <w:tcW w:type="dxa" w:w="1440"/>
          </w:tcPr>
          <w:p>
            <w:r>
              <w:t>t-stat</w:t>
            </w:r>
          </w:p>
        </w:tc>
        <w:tc>
          <w:tcPr>
            <w:tcW w:type="dxa" w:w="1440"/>
          </w:tcPr>
          <w:p>
            <w:r>
              <w:t>p-value</w:t>
            </w:r>
          </w:p>
        </w:tc>
        <w:tc>
          <w:tcPr>
            <w:tcW w:type="dxa" w:w="1440"/>
          </w:tcPr>
          <w:p>
            <w:r>
              <w:t>flagged</w:t>
            </w:r>
          </w:p>
        </w:tc>
      </w:tr>
      <w:tr>
        <w:tc>
          <w:tcPr>
            <w:tcW w:type="dxa" w:w="1440"/>
          </w:tcPr>
          <w:p>
            <w:r>
              <w:t>CAR_pre10</w:t>
            </w:r>
          </w:p>
        </w:tc>
        <w:tc>
          <w:tcPr>
            <w:tcW w:type="dxa" w:w="1440"/>
          </w:tcPr>
          <w:p>
            <w:r>
              <w:t>675</w:t>
            </w:r>
          </w:p>
        </w:tc>
        <w:tc>
          <w:tcPr>
            <w:tcW w:type="dxa" w:w="1440"/>
          </w:tcPr>
          <w:p>
            <w:r>
              <w:t>0.0020</w:t>
            </w:r>
          </w:p>
        </w:tc>
        <w:tc>
          <w:tcPr>
            <w:tcW w:type="dxa" w:w="1440"/>
          </w:tcPr>
          <w:p>
            <w:r>
              <w:t>0.851</w:t>
            </w:r>
          </w:p>
        </w:tc>
        <w:tc>
          <w:tcPr>
            <w:tcW w:type="dxa" w:w="1440"/>
          </w:tcPr>
          <w:p>
            <w:r>
              <w:t>0.3951</w:t>
            </w:r>
          </w:p>
        </w:tc>
        <w:tc>
          <w:tcPr>
            <w:tcW w:type="dxa" w:w="1440"/>
          </w:tcPr>
          <w:p>
            <w:r/>
          </w:p>
        </w:tc>
      </w:tr>
      <w:tr>
        <w:tc>
          <w:tcPr>
            <w:tcW w:type="dxa" w:w="1440"/>
          </w:tcPr>
          <w:p>
            <w:r>
              <w:t>CAR_0to1</w:t>
            </w:r>
          </w:p>
        </w:tc>
        <w:tc>
          <w:tcPr>
            <w:tcW w:type="dxa" w:w="1440"/>
          </w:tcPr>
          <w:p>
            <w:r>
              <w:t>675</w:t>
            </w:r>
          </w:p>
        </w:tc>
        <w:tc>
          <w:tcPr>
            <w:tcW w:type="dxa" w:w="1440"/>
          </w:tcPr>
          <w:p>
            <w:r>
              <w:t>0.0005</w:t>
            </w:r>
          </w:p>
        </w:tc>
        <w:tc>
          <w:tcPr>
            <w:tcW w:type="dxa" w:w="1440"/>
          </w:tcPr>
          <w:p>
            <w:r>
              <w:t>0.449</w:t>
            </w:r>
          </w:p>
        </w:tc>
        <w:tc>
          <w:tcPr>
            <w:tcW w:type="dxa" w:w="1440"/>
          </w:tcPr>
          <w:p>
            <w:r>
              <w:t>0.6538</w:t>
            </w:r>
          </w:p>
        </w:tc>
        <w:tc>
          <w:tcPr>
            <w:tcW w:type="dxa" w:w="1440"/>
          </w:tcPr>
          <w:p>
            <w:r/>
          </w:p>
        </w:tc>
      </w:tr>
      <w:tr>
        <w:tc>
          <w:tcPr>
            <w:tcW w:type="dxa" w:w="1440"/>
          </w:tcPr>
          <w:p>
            <w:r>
              <w:t>CAR_0to5</w:t>
            </w:r>
          </w:p>
        </w:tc>
        <w:tc>
          <w:tcPr>
            <w:tcW w:type="dxa" w:w="1440"/>
          </w:tcPr>
          <w:p>
            <w:r>
              <w:t>675</w:t>
            </w:r>
          </w:p>
        </w:tc>
        <w:tc>
          <w:tcPr>
            <w:tcW w:type="dxa" w:w="1440"/>
          </w:tcPr>
          <w:p>
            <w:r>
              <w:t>-0.0006</w:t>
            </w:r>
          </w:p>
        </w:tc>
        <w:tc>
          <w:tcPr>
            <w:tcW w:type="dxa" w:w="1440"/>
          </w:tcPr>
          <w:p>
            <w:r>
              <w:t>-0.343</w:t>
            </w:r>
          </w:p>
        </w:tc>
        <w:tc>
          <w:tcPr>
            <w:tcW w:type="dxa" w:w="1440"/>
          </w:tcPr>
          <w:p>
            <w:r>
              <w:t>0.7317</w:t>
            </w:r>
          </w:p>
        </w:tc>
        <w:tc>
          <w:tcPr>
            <w:tcW w:type="dxa" w:w="1440"/>
          </w:tcPr>
          <w:p>
            <w:r/>
          </w:p>
        </w:tc>
      </w:tr>
      <w:tr>
        <w:tc>
          <w:tcPr>
            <w:tcW w:type="dxa" w:w="1440"/>
          </w:tcPr>
          <w:p>
            <w:r>
              <w:t>CAR_0to10</w:t>
            </w:r>
          </w:p>
        </w:tc>
        <w:tc>
          <w:tcPr>
            <w:tcW w:type="dxa" w:w="1440"/>
          </w:tcPr>
          <w:p>
            <w:r>
              <w:t>675</w:t>
            </w:r>
          </w:p>
        </w:tc>
        <w:tc>
          <w:tcPr>
            <w:tcW w:type="dxa" w:w="1440"/>
          </w:tcPr>
          <w:p>
            <w:r>
              <w:t>-0.0021</w:t>
            </w:r>
          </w:p>
        </w:tc>
        <w:tc>
          <w:tcPr>
            <w:tcW w:type="dxa" w:w="1440"/>
          </w:tcPr>
          <w:p>
            <w:r>
              <w:t>-0.869</w:t>
            </w:r>
          </w:p>
        </w:tc>
        <w:tc>
          <w:tcPr>
            <w:tcW w:type="dxa" w:w="1440"/>
          </w:tcPr>
          <w:p>
            <w:r>
              <w:t>0.3850</w:t>
            </w:r>
          </w:p>
        </w:tc>
        <w:tc>
          <w:tcPr>
            <w:tcW w:type="dxa" w:w="1440"/>
          </w:tcPr>
          <w:p>
            <w:r/>
          </w:p>
        </w:tc>
      </w:tr>
    </w:tbl>
    <w:p>
      <w:pPr>
        <w:pStyle w:val="Heading2"/>
      </w:pPr>
      <w:r>
        <w:t>3.2 Test 2 — Median brand-level effects</w:t>
      </w:r>
    </w:p>
    <w:p>
      <w:r>
        <w:t>No company exceeded the 3% median CAR_0to5 threshold.</w:t>
      </w:r>
    </w:p>
    <w:p>
      <w:pPr>
        <w:pStyle w:val="Heading2"/>
      </w:pPr>
      <w:r>
        <w:t>3.3 Test 3 — Aggregate CAR curve</w:t>
      </w:r>
    </w:p>
    <w:p>
      <w:r>
        <w:t>Peak absolute deflection of the mean CAR curve over the -30..+30 window: 1.12% (below 1.5% threshold).</w:t>
      </w:r>
    </w:p>
    <w:p>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ov1_agg_car.png"/>
                    <pic:cNvPicPr/>
                  </pic:nvPicPr>
                  <pic:blipFill>
                    <a:blip r:embed="rId9"/>
                    <a:stretch>
                      <a:fillRect/>
                    </a:stretch>
                  </pic:blipFill>
                  <pic:spPr>
                    <a:xfrm>
                      <a:off x="0" y="0"/>
                      <a:ext cx="5486400" cy="2743200"/>
                    </a:xfrm>
                    <a:prstGeom prst="rect"/>
                  </pic:spPr>
                </pic:pic>
              </a:graphicData>
            </a:graphic>
          </wp:inline>
        </w:drawing>
      </w:r>
    </w:p>
    <w:p>
      <w:pPr>
        <w:pStyle w:val="Heading1"/>
      </w:pPr>
      <w:r>
        <w:t>4. Per-Company Observations</w:t>
      </w:r>
    </w:p>
    <w:p>
      <w:r>
        <w:t>Strongest signals (largest |median CAR_0to5|):</w:t>
      </w:r>
    </w:p>
    <w:p>
      <w:pPr>
        <w:pStyle w:val="ListBullet"/>
      </w:pPr>
      <w:r>
        <w:t>Hugo Boss (BOSS.DE): n=21, median CAR_0to5=-0.98%</w:t>
      </w:r>
    </w:p>
    <w:p>
      <w:pPr>
        <w:pStyle w:val="ListBullet"/>
      </w:pPr>
      <w:r>
        <w:t>Tapestry (TPR): n=23, median CAR_0to5=+0.97%</w:t>
      </w:r>
    </w:p>
    <w:p>
      <w:pPr>
        <w:pStyle w:val="ListBullet"/>
      </w:pPr>
      <w:r>
        <w:t>Prada (1913.HK): n=70, median CAR_0to5=+0.96%</w:t>
      </w:r>
    </w:p>
    <w:p>
      <w:pPr>
        <w:pStyle w:val="ListBullet"/>
      </w:pPr>
      <w:r>
        <w:t>Brunello Cucinelli (BC.MI): n=22, median CAR_0to5=-0.78%</w:t>
      </w:r>
    </w:p>
    <w:p>
      <w:pPr>
        <w:pStyle w:val="ListBullet"/>
      </w:pPr>
      <w:r>
        <w:t>Hermes (RMS.PA): n=44, median CAR_0to5=+0.73%</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Ticker</w:t>
            </w:r>
          </w:p>
        </w:tc>
        <w:tc>
          <w:tcPr>
            <w:tcW w:type="dxa" w:w="2160"/>
          </w:tcPr>
          <w:p>
            <w:r>
              <w:t>Company</w:t>
            </w:r>
          </w:p>
        </w:tc>
        <w:tc>
          <w:tcPr>
            <w:tcW w:type="dxa" w:w="2160"/>
          </w:tcPr>
          <w:p>
            <w:r>
              <w:t>n</w:t>
            </w:r>
          </w:p>
        </w:tc>
        <w:tc>
          <w:tcPr>
            <w:tcW w:type="dxa" w:w="2160"/>
          </w:tcPr>
          <w:p>
            <w:r>
              <w:t>median CAR_0to5</w:t>
            </w:r>
          </w:p>
        </w:tc>
      </w:tr>
      <w:tr>
        <w:tc>
          <w:tcPr>
            <w:tcW w:type="dxa" w:w="2160"/>
          </w:tcPr>
          <w:p>
            <w:r>
              <w:t>1913.HK</w:t>
            </w:r>
          </w:p>
        </w:tc>
        <w:tc>
          <w:tcPr>
            <w:tcW w:type="dxa" w:w="2160"/>
          </w:tcPr>
          <w:p>
            <w:r>
              <w:t>Prada</w:t>
            </w:r>
          </w:p>
        </w:tc>
        <w:tc>
          <w:tcPr>
            <w:tcW w:type="dxa" w:w="2160"/>
          </w:tcPr>
          <w:p>
            <w:r>
              <w:t>70</w:t>
            </w:r>
          </w:p>
        </w:tc>
        <w:tc>
          <w:tcPr>
            <w:tcW w:type="dxa" w:w="2160"/>
          </w:tcPr>
          <w:p>
            <w:r>
              <w:t>+0.96%</w:t>
            </w:r>
          </w:p>
        </w:tc>
      </w:tr>
      <w:tr>
        <w:tc>
          <w:tcPr>
            <w:tcW w:type="dxa" w:w="2160"/>
          </w:tcPr>
          <w:p>
            <w:r>
              <w:t>BC.MI</w:t>
            </w:r>
          </w:p>
        </w:tc>
        <w:tc>
          <w:tcPr>
            <w:tcW w:type="dxa" w:w="2160"/>
          </w:tcPr>
          <w:p>
            <w:r>
              <w:t>Brunello Cucinelli</w:t>
            </w:r>
          </w:p>
        </w:tc>
        <w:tc>
          <w:tcPr>
            <w:tcW w:type="dxa" w:w="2160"/>
          </w:tcPr>
          <w:p>
            <w:r>
              <w:t>22</w:t>
            </w:r>
          </w:p>
        </w:tc>
        <w:tc>
          <w:tcPr>
            <w:tcW w:type="dxa" w:w="2160"/>
          </w:tcPr>
          <w:p>
            <w:r>
              <w:t>-0.78%</w:t>
            </w:r>
          </w:p>
        </w:tc>
      </w:tr>
      <w:tr>
        <w:tc>
          <w:tcPr>
            <w:tcW w:type="dxa" w:w="2160"/>
          </w:tcPr>
          <w:p>
            <w:r>
              <w:t>BOSS.DE</w:t>
            </w:r>
          </w:p>
        </w:tc>
        <w:tc>
          <w:tcPr>
            <w:tcW w:type="dxa" w:w="2160"/>
          </w:tcPr>
          <w:p>
            <w:r>
              <w:t>Hugo Boss</w:t>
            </w:r>
          </w:p>
        </w:tc>
        <w:tc>
          <w:tcPr>
            <w:tcW w:type="dxa" w:w="2160"/>
          </w:tcPr>
          <w:p>
            <w:r>
              <w:t>21</w:t>
            </w:r>
          </w:p>
        </w:tc>
        <w:tc>
          <w:tcPr>
            <w:tcW w:type="dxa" w:w="2160"/>
          </w:tcPr>
          <w:p>
            <w:r>
              <w:t>-0.98%</w:t>
            </w:r>
          </w:p>
        </w:tc>
      </w:tr>
      <w:tr>
        <w:tc>
          <w:tcPr>
            <w:tcW w:type="dxa" w:w="2160"/>
          </w:tcPr>
          <w:p>
            <w:r>
              <w:t>BRBY.L</w:t>
            </w:r>
          </w:p>
        </w:tc>
        <w:tc>
          <w:tcPr>
            <w:tcW w:type="dxa" w:w="2160"/>
          </w:tcPr>
          <w:p>
            <w:r>
              <w:t>Burberry</w:t>
            </w:r>
          </w:p>
        </w:tc>
        <w:tc>
          <w:tcPr>
            <w:tcW w:type="dxa" w:w="2160"/>
          </w:tcPr>
          <w:p>
            <w:r>
              <w:t>45</w:t>
            </w:r>
          </w:p>
        </w:tc>
        <w:tc>
          <w:tcPr>
            <w:tcW w:type="dxa" w:w="2160"/>
          </w:tcPr>
          <w:p>
            <w:r>
              <w:t>+0.14%</w:t>
            </w:r>
          </w:p>
        </w:tc>
      </w:tr>
      <w:tr>
        <w:tc>
          <w:tcPr>
            <w:tcW w:type="dxa" w:w="2160"/>
          </w:tcPr>
          <w:p>
            <w:r>
              <w:t>CPRI</w:t>
            </w:r>
          </w:p>
        </w:tc>
        <w:tc>
          <w:tcPr>
            <w:tcW w:type="dxa" w:w="2160"/>
          </w:tcPr>
          <w:p>
            <w:r>
              <w:t>Capri Holdings</w:t>
            </w:r>
          </w:p>
        </w:tc>
        <w:tc>
          <w:tcPr>
            <w:tcW w:type="dxa" w:w="2160"/>
          </w:tcPr>
          <w:p>
            <w:r>
              <w:t>40</w:t>
            </w:r>
          </w:p>
        </w:tc>
        <w:tc>
          <w:tcPr>
            <w:tcW w:type="dxa" w:w="2160"/>
          </w:tcPr>
          <w:p>
            <w:r>
              <w:t>+0.69%</w:t>
            </w:r>
          </w:p>
        </w:tc>
      </w:tr>
      <w:tr>
        <w:tc>
          <w:tcPr>
            <w:tcW w:type="dxa" w:w="2160"/>
          </w:tcPr>
          <w:p>
            <w:r>
              <w:t>KER.PA</w:t>
            </w:r>
          </w:p>
        </w:tc>
        <w:tc>
          <w:tcPr>
            <w:tcW w:type="dxa" w:w="2160"/>
          </w:tcPr>
          <w:p>
            <w:r>
              <w:t>Kering</w:t>
            </w:r>
          </w:p>
        </w:tc>
        <w:tc>
          <w:tcPr>
            <w:tcW w:type="dxa" w:w="2160"/>
          </w:tcPr>
          <w:p>
            <w:r>
              <w:t>145</w:t>
            </w:r>
          </w:p>
        </w:tc>
        <w:tc>
          <w:tcPr>
            <w:tcW w:type="dxa" w:w="2160"/>
          </w:tcPr>
          <w:p>
            <w:r>
              <w:t>+0.05%</w:t>
            </w:r>
          </w:p>
        </w:tc>
      </w:tr>
      <w:tr>
        <w:tc>
          <w:tcPr>
            <w:tcW w:type="dxa" w:w="2160"/>
          </w:tcPr>
          <w:p>
            <w:r>
              <w:t>MC.PA</w:t>
            </w:r>
          </w:p>
        </w:tc>
        <w:tc>
          <w:tcPr>
            <w:tcW w:type="dxa" w:w="2160"/>
          </w:tcPr>
          <w:p>
            <w:r>
              <w:t>LVMH</w:t>
            </w:r>
          </w:p>
        </w:tc>
        <w:tc>
          <w:tcPr>
            <w:tcW w:type="dxa" w:w="2160"/>
          </w:tcPr>
          <w:p>
            <w:r>
              <w:t>102</w:t>
            </w:r>
          </w:p>
        </w:tc>
        <w:tc>
          <w:tcPr>
            <w:tcW w:type="dxa" w:w="2160"/>
          </w:tcPr>
          <w:p>
            <w:r>
              <w:t>+0.38%</w:t>
            </w:r>
          </w:p>
        </w:tc>
      </w:tr>
      <w:tr>
        <w:tc>
          <w:tcPr>
            <w:tcW w:type="dxa" w:w="2160"/>
          </w:tcPr>
          <w:p>
            <w:r>
              <w:t>MONC.MI</w:t>
            </w:r>
          </w:p>
        </w:tc>
        <w:tc>
          <w:tcPr>
            <w:tcW w:type="dxa" w:w="2160"/>
          </w:tcPr>
          <w:p>
            <w:r>
              <w:t>Moncler</w:t>
            </w:r>
          </w:p>
        </w:tc>
        <w:tc>
          <w:tcPr>
            <w:tcW w:type="dxa" w:w="2160"/>
          </w:tcPr>
          <w:p>
            <w:r>
              <w:t>10</w:t>
            </w:r>
          </w:p>
        </w:tc>
        <w:tc>
          <w:tcPr>
            <w:tcW w:type="dxa" w:w="2160"/>
          </w:tcPr>
          <w:p>
            <w:r>
              <w:t>+0.41%</w:t>
            </w:r>
          </w:p>
        </w:tc>
      </w:tr>
      <w:tr>
        <w:tc>
          <w:tcPr>
            <w:tcW w:type="dxa" w:w="2160"/>
          </w:tcPr>
          <w:p>
            <w:r>
              <w:t>PVH</w:t>
            </w:r>
          </w:p>
        </w:tc>
        <w:tc>
          <w:tcPr>
            <w:tcW w:type="dxa" w:w="2160"/>
          </w:tcPr>
          <w:p>
            <w:r>
              <w:t>PVH Corp</w:t>
            </w:r>
          </w:p>
        </w:tc>
        <w:tc>
          <w:tcPr>
            <w:tcW w:type="dxa" w:w="2160"/>
          </w:tcPr>
          <w:p>
            <w:r>
              <w:t>76</w:t>
            </w:r>
          </w:p>
        </w:tc>
        <w:tc>
          <w:tcPr>
            <w:tcW w:type="dxa" w:w="2160"/>
          </w:tcPr>
          <w:p>
            <w:r>
              <w:t>-0.15%</w:t>
            </w:r>
          </w:p>
        </w:tc>
      </w:tr>
      <w:tr>
        <w:tc>
          <w:tcPr>
            <w:tcW w:type="dxa" w:w="2160"/>
          </w:tcPr>
          <w:p>
            <w:r>
              <w:t>RL</w:t>
            </w:r>
          </w:p>
        </w:tc>
        <w:tc>
          <w:tcPr>
            <w:tcW w:type="dxa" w:w="2160"/>
          </w:tcPr>
          <w:p>
            <w:r>
              <w:t>Ralph Lauren</w:t>
            </w:r>
          </w:p>
        </w:tc>
        <w:tc>
          <w:tcPr>
            <w:tcW w:type="dxa" w:w="2160"/>
          </w:tcPr>
          <w:p>
            <w:r>
              <w:t>49</w:t>
            </w:r>
          </w:p>
        </w:tc>
        <w:tc>
          <w:tcPr>
            <w:tcW w:type="dxa" w:w="2160"/>
          </w:tcPr>
          <w:p>
            <w:r>
              <w:t>-0.41%</w:t>
            </w:r>
          </w:p>
        </w:tc>
      </w:tr>
      <w:tr>
        <w:tc>
          <w:tcPr>
            <w:tcW w:type="dxa" w:w="2160"/>
          </w:tcPr>
          <w:p>
            <w:r>
              <w:t>RMS.PA</w:t>
            </w:r>
          </w:p>
        </w:tc>
        <w:tc>
          <w:tcPr>
            <w:tcW w:type="dxa" w:w="2160"/>
          </w:tcPr>
          <w:p>
            <w:r>
              <w:t>Hermes</w:t>
            </w:r>
          </w:p>
        </w:tc>
        <w:tc>
          <w:tcPr>
            <w:tcW w:type="dxa" w:w="2160"/>
          </w:tcPr>
          <w:p>
            <w:r>
              <w:t>44</w:t>
            </w:r>
          </w:p>
        </w:tc>
        <w:tc>
          <w:tcPr>
            <w:tcW w:type="dxa" w:w="2160"/>
          </w:tcPr>
          <w:p>
            <w:r>
              <w:t>+0.73%</w:t>
            </w:r>
          </w:p>
        </w:tc>
      </w:tr>
      <w:tr>
        <w:tc>
          <w:tcPr>
            <w:tcW w:type="dxa" w:w="2160"/>
          </w:tcPr>
          <w:p>
            <w:r>
              <w:t>SFER.MI</w:t>
            </w:r>
          </w:p>
        </w:tc>
        <w:tc>
          <w:tcPr>
            <w:tcW w:type="dxa" w:w="2160"/>
          </w:tcPr>
          <w:p>
            <w:r>
              <w:t>Salvatore Ferragamo</w:t>
            </w:r>
          </w:p>
        </w:tc>
        <w:tc>
          <w:tcPr>
            <w:tcW w:type="dxa" w:w="2160"/>
          </w:tcPr>
          <w:p>
            <w:r>
              <w:t>28</w:t>
            </w:r>
          </w:p>
        </w:tc>
        <w:tc>
          <w:tcPr>
            <w:tcW w:type="dxa" w:w="2160"/>
          </w:tcPr>
          <w:p>
            <w:r>
              <w:t>+0.72%</w:t>
            </w:r>
          </w:p>
        </w:tc>
      </w:tr>
      <w:tr>
        <w:tc>
          <w:tcPr>
            <w:tcW w:type="dxa" w:w="2160"/>
          </w:tcPr>
          <w:p>
            <w:r>
              <w:t>TPR</w:t>
            </w:r>
          </w:p>
        </w:tc>
        <w:tc>
          <w:tcPr>
            <w:tcW w:type="dxa" w:w="2160"/>
          </w:tcPr>
          <w:p>
            <w:r>
              <w:t>Tapestry</w:t>
            </w:r>
          </w:p>
        </w:tc>
        <w:tc>
          <w:tcPr>
            <w:tcW w:type="dxa" w:w="2160"/>
          </w:tcPr>
          <w:p>
            <w:r>
              <w:t>23</w:t>
            </w:r>
          </w:p>
        </w:tc>
        <w:tc>
          <w:tcPr>
            <w:tcW w:type="dxa" w:w="2160"/>
          </w:tcPr>
          <w:p>
            <w:r>
              <w:t>+0.97%</w:t>
            </w:r>
          </w:p>
        </w:tc>
      </w:tr>
    </w:tbl>
    <w:p>
      <w:pPr>
        <w:pStyle w:val="Heading1"/>
      </w:pPr>
      <w:r>
        <w:t>5. Confounding Analysis</w:t>
      </w:r>
    </w:p>
    <w:p>
      <w:r>
        <w:t>Of 675 events, 28 fall within 10 trading days of an earnings release (flagged confounded), 647 are clean, and 0 have unknown earnings status. The chart below compares mean CAR curves for confounded vs clean subsets; if the runway signal survives the earnings filter, the curves should track.</w:t>
      </w:r>
    </w:p>
    <w:p>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ov7_confound_vs_clean.png"/>
                    <pic:cNvPicPr/>
                  </pic:nvPicPr>
                  <pic:blipFill>
                    <a:blip r:embed="rId10"/>
                    <a:stretch>
                      <a:fillRect/>
                    </a:stretch>
                  </pic:blipFill>
                  <pic:spPr>
                    <a:xfrm>
                      <a:off x="0" y="0"/>
                      <a:ext cx="5486400" cy="2743200"/>
                    </a:xfrm>
                    <a:prstGeom prst="rect"/>
                  </pic:spPr>
                </pic:pic>
              </a:graphicData>
            </a:graphic>
          </wp:inline>
        </w:drawing>
      </w:r>
    </w:p>
    <w:p>
      <w:pPr>
        <w:pStyle w:val="Heading1"/>
      </w:pPr>
      <w:r>
        <w:t>6. Limitations</w:t>
      </w:r>
    </w:p>
    <w:p>
      <w:pPr>
        <w:pStyle w:val="ListBullet"/>
      </w:pPr>
      <w:r>
        <w:t>Vogue Runway coverage is sparse for several brands pre-2003 and varies by brand throughout the period.</w:t>
      </w:r>
    </w:p>
    <w:p>
      <w:pPr>
        <w:pStyle w:val="ListBullet"/>
      </w:pPr>
      <w:r>
        <w:t>Conglomerate tickers (LVMH, Kering, PVH, CPRI, TPR) capture the parent's full portfolio, not the runway brand alone — attribution dilution is unavoidable in Phase 1.</w:t>
      </w:r>
    </w:p>
    <w:p>
      <w:pPr>
        <w:pStyle w:val="ListBullet"/>
      </w:pPr>
      <w:r>
        <w:t>Benchmark is the local broad-market index only. No sector or luxury-specific benchmark.</w:t>
      </w:r>
    </w:p>
    <w:p>
      <w:pPr>
        <w:pStyle w:val="ListBullet"/>
      </w:pPr>
      <w:r>
        <w:t>Earnings dates from yfinance are best-effort; some tickers return no data and are flagged confounder_unknown.</w:t>
      </w:r>
    </w:p>
    <w:p>
      <w:pPr>
        <w:pStyle w:val="ListBullet"/>
      </w:pPr>
      <w:r>
        <w:t>Phase 1 measures whether shows move stocks; it does not investigate the mechanism (sentiment, sales, leadership signal).</w:t>
      </w:r>
    </w:p>
    <w:p>
      <w:pPr>
        <w:pStyle w:val="ListBullet"/>
      </w:pPr>
      <w:r>
        <w:t>Hugo Boss, Moncler, and Brunello Cucinelli have notably thin Vogue Runway coverage, lowering their event counts.</w:t>
      </w:r>
    </w:p>
    <w:p>
      <w:pPr>
        <w:pStyle w:val="Heading1"/>
      </w:pPr>
      <w:r>
        <w:t>7. Phase 2 Hypotheses</w:t>
      </w:r>
    </w:p>
    <w:p>
      <w:pPr>
        <w:pStyle w:val="ListBullet"/>
      </w:pPr>
      <w:r>
        <w:t>Designer-change cohort: do CARs differ markedly around shows immediately following a creative-director appointment?</w:t>
      </w:r>
    </w:p>
    <w:p>
      <w:pPr>
        <w:pStyle w:val="ListBullet"/>
      </w:pPr>
      <w:r>
        <w:t>Star-debut effect: isolate first-show-by-new-designer events vs steady-state shows.</w:t>
      </w:r>
    </w:p>
    <w:p>
      <w:pPr>
        <w:pStyle w:val="ListBullet"/>
      </w:pPr>
      <w:r>
        <w:t>Social-media era cut: split sample at 2014 (Instagram-runway era) and compare.</w:t>
      </w:r>
    </w:p>
    <w:p>
      <w:pPr>
        <w:pStyle w:val="ListBullet"/>
      </w:pPr>
      <w:r>
        <w:t>SS vs FW asymmetry: investigate whether one season's signal dominates and why (calendar, retail cycle).</w:t>
      </w:r>
    </w:p>
    <w:p>
      <w:pPr>
        <w:pStyle w:val="ListBullet"/>
      </w:pPr>
      <w:r>
        <w:t>Pure-play vs conglomerate sensitivity: deeper test on dilution hypothesis.</w:t>
      </w:r>
    </w:p>
    <w:p>
      <w:pPr>
        <w:pStyle w:val="ListBullet"/>
      </w:pPr>
      <w:r>
        <w:t>Cross-tabs by company size, market cap, and country exchange microstructure.</w:t>
      </w:r>
    </w:p>
    <w:p>
      <w:r>
        <w:drawing>
          <wp:inline xmlns:a="http://schemas.openxmlformats.org/drawingml/2006/main" xmlns:pic="http://schemas.openxmlformats.org/drawingml/2006/picture">
            <wp:extent cx="5486400" cy="2743200"/>
            <wp:docPr id="3" name="Picture 3"/>
            <wp:cNvGraphicFramePr>
              <a:graphicFrameLocks noChangeAspect="1"/>
            </wp:cNvGraphicFramePr>
            <a:graphic>
              <a:graphicData uri="http://schemas.openxmlformats.org/drawingml/2006/picture">
                <pic:pic>
                  <pic:nvPicPr>
                    <pic:cNvPr id="0" name="ov1_agg_car.png"/>
                    <pic:cNvPicPr/>
                  </pic:nvPicPr>
                  <pic:blipFill>
                    <a:blip r:embed="rId9"/>
                    <a:stretch>
                      <a:fillRect/>
                    </a:stretch>
                  </pic:blipFill>
                  <pic:spPr>
                    <a:xfrm>
                      <a:off x="0" y="0"/>
                      <a:ext cx="5486400" cy="2743200"/>
                    </a:xfrm>
                    <a:prstGeom prst="rect"/>
                  </pic:spPr>
                </pic:pic>
              </a:graphicData>
            </a:graphic>
          </wp:inline>
        </w:drawing>
      </w:r>
    </w:p>
    <w:p>
      <w:r>
        <w:drawing>
          <wp:inline xmlns:a="http://schemas.openxmlformats.org/drawingml/2006/main" xmlns:pic="http://schemas.openxmlformats.org/drawingml/2006/picture">
            <wp:extent cx="5486400" cy="2992582"/>
            <wp:docPr id="4" name="Picture 4"/>
            <wp:cNvGraphicFramePr>
              <a:graphicFrameLocks noChangeAspect="1"/>
            </wp:cNvGraphicFramePr>
            <a:graphic>
              <a:graphicData uri="http://schemas.openxmlformats.org/drawingml/2006/picture">
                <pic:pic>
                  <pic:nvPicPr>
                    <pic:cNvPr id="0" name="ov2_heatmap.png"/>
                    <pic:cNvPicPr/>
                  </pic:nvPicPr>
                  <pic:blipFill>
                    <a:blip r:embed="rId11"/>
                    <a:stretch>
                      <a:fillRect/>
                    </a:stretch>
                  </pic:blipFill>
                  <pic:spPr>
                    <a:xfrm>
                      <a:off x="0" y="0"/>
                      <a:ext cx="5486400" cy="2992582"/>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