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55967" w:rsidRPr="00A87144" w:rsidTr="0081064E">
        <w:trPr>
          <w:cantSplit/>
          <w:jc w:val="center"/>
        </w:trPr>
        <w:tc>
          <w:tcPr>
            <w:tcW w:w="1134" w:type="dxa"/>
            <w:vMerge w:val="restart"/>
            <w:vAlign w:val="center"/>
          </w:tcPr>
          <w:p w:rsidR="00E55967" w:rsidRPr="00567F52" w:rsidRDefault="00E55967" w:rsidP="0081064E">
            <w:pPr>
              <w:spacing w:before="0"/>
              <w:jc w:val="center"/>
            </w:pPr>
            <w:bookmarkStart w:id="0" w:name="_GoBack"/>
            <w:bookmarkEnd w:id="0"/>
            <w:r>
              <w:rPr>
                <w:noProof/>
                <w:lang w:val="en-US" w:eastAsia="en-US" w:bidi="hi-IN"/>
              </w:rPr>
              <w:drawing>
                <wp:inline distT="0" distB="0" distL="0" distR="0">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rsidR="00E55967" w:rsidRPr="00F70513" w:rsidRDefault="00E55967" w:rsidP="009F42B3">
            <w:pPr>
              <w:rPr>
                <w:sz w:val="16"/>
                <w:szCs w:val="16"/>
              </w:rPr>
            </w:pPr>
            <w:r w:rsidRPr="00F70513">
              <w:rPr>
                <w:sz w:val="16"/>
                <w:szCs w:val="16"/>
              </w:rPr>
              <w:t>INTERNATIONAL TELECOMMUNICATION UNION</w:t>
            </w:r>
          </w:p>
          <w:p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rsidR="00E55967" w:rsidRPr="008E4071" w:rsidRDefault="00E55967" w:rsidP="00406740">
            <w:pPr>
              <w:pStyle w:val="Docnumber"/>
              <w:rPr>
                <w:lang w:val="ru-RU"/>
              </w:rPr>
            </w:pPr>
            <w:r w:rsidRPr="00A87144">
              <w:rPr>
                <w:noProof/>
              </w:rPr>
              <w:t>SG2</w:t>
            </w:r>
            <w:r w:rsidRPr="00A87144">
              <w:t>-</w:t>
            </w:r>
          </w:p>
        </w:tc>
      </w:tr>
      <w:tr w:rsidR="00E55967" w:rsidRPr="00A87144" w:rsidTr="009B75B3">
        <w:trPr>
          <w:cantSplit/>
          <w:jc w:val="center"/>
        </w:trPr>
        <w:tc>
          <w:tcPr>
            <w:tcW w:w="1134" w:type="dxa"/>
            <w:vMerge/>
          </w:tcPr>
          <w:p w:rsidR="00E55967" w:rsidRPr="00072A4E" w:rsidRDefault="00E55967" w:rsidP="00FD35D4">
            <w:pPr>
              <w:rPr>
                <w:smallCaps/>
                <w:sz w:val="20"/>
              </w:rPr>
            </w:pPr>
          </w:p>
        </w:tc>
        <w:tc>
          <w:tcPr>
            <w:tcW w:w="3969" w:type="dxa"/>
            <w:gridSpan w:val="2"/>
            <w:vMerge/>
          </w:tcPr>
          <w:p w:rsidR="00E55967" w:rsidRPr="00072A4E" w:rsidRDefault="00E55967" w:rsidP="00FD35D4">
            <w:pPr>
              <w:rPr>
                <w:smallCaps/>
                <w:sz w:val="20"/>
              </w:rPr>
            </w:pPr>
          </w:p>
        </w:tc>
        <w:tc>
          <w:tcPr>
            <w:tcW w:w="4537" w:type="dxa"/>
            <w:gridSpan w:val="3"/>
          </w:tcPr>
          <w:p w:rsidR="00E55967" w:rsidRPr="00A87144" w:rsidRDefault="00E55967" w:rsidP="00FD35D4">
            <w:pPr>
              <w:pStyle w:val="TSBHeaderRight14"/>
            </w:pPr>
            <w:r w:rsidRPr="00A87144">
              <w:rPr>
                <w:noProof/>
              </w:rPr>
              <w:t>STUDY GROUP 2</w:t>
            </w:r>
          </w:p>
        </w:tc>
      </w:tr>
      <w:tr w:rsidR="00E55967" w:rsidRPr="00A87144" w:rsidTr="009B75B3">
        <w:trPr>
          <w:cantSplit/>
          <w:jc w:val="center"/>
        </w:trPr>
        <w:tc>
          <w:tcPr>
            <w:tcW w:w="1134" w:type="dxa"/>
            <w:vMerge/>
            <w:tcBorders>
              <w:bottom w:val="single" w:sz="12" w:space="0" w:color="auto"/>
            </w:tcBorders>
          </w:tcPr>
          <w:p w:rsidR="00E55967" w:rsidRPr="0037415F" w:rsidRDefault="00E55967" w:rsidP="00691C94">
            <w:pPr>
              <w:rPr>
                <w:b/>
                <w:bCs/>
                <w:sz w:val="26"/>
              </w:rPr>
            </w:pPr>
          </w:p>
        </w:tc>
        <w:tc>
          <w:tcPr>
            <w:tcW w:w="3969" w:type="dxa"/>
            <w:gridSpan w:val="2"/>
            <w:vMerge/>
            <w:tcBorders>
              <w:bottom w:val="single" w:sz="12" w:space="0" w:color="auto"/>
            </w:tcBorders>
          </w:tcPr>
          <w:p w:rsidR="00E55967" w:rsidRPr="0037415F" w:rsidRDefault="00E55967" w:rsidP="00691C94">
            <w:pPr>
              <w:rPr>
                <w:b/>
                <w:bCs/>
                <w:sz w:val="26"/>
              </w:rPr>
            </w:pPr>
          </w:p>
        </w:tc>
        <w:tc>
          <w:tcPr>
            <w:tcW w:w="4537" w:type="dxa"/>
            <w:gridSpan w:val="3"/>
            <w:tcBorders>
              <w:bottom w:val="single" w:sz="12" w:space="0" w:color="auto"/>
            </w:tcBorders>
            <w:vAlign w:val="center"/>
          </w:tcPr>
          <w:p w:rsidR="00E55967" w:rsidRPr="00A87144" w:rsidRDefault="00E55967" w:rsidP="006F4361">
            <w:pPr>
              <w:pStyle w:val="TSBHeaderRight14"/>
            </w:pPr>
            <w:r w:rsidRPr="00A87144">
              <w:t>Original: English</w:t>
            </w:r>
          </w:p>
        </w:tc>
      </w:tr>
      <w:tr w:rsidR="00E55967" w:rsidRPr="0037415F" w:rsidTr="00D57D7F">
        <w:trPr>
          <w:cantSplit/>
          <w:jc w:val="center"/>
        </w:trPr>
        <w:tc>
          <w:tcPr>
            <w:tcW w:w="1418" w:type="dxa"/>
            <w:gridSpan w:val="2"/>
          </w:tcPr>
          <w:p w:rsidR="00E55967" w:rsidRPr="0037415F" w:rsidRDefault="00E55967" w:rsidP="00691C94">
            <w:pPr>
              <w:rPr>
                <w:b/>
                <w:bCs/>
              </w:rPr>
            </w:pPr>
            <w:r w:rsidRPr="0037415F">
              <w:rPr>
                <w:b/>
                <w:bCs/>
              </w:rPr>
              <w:t>Question(s):</w:t>
            </w:r>
          </w:p>
        </w:tc>
        <w:tc>
          <w:tcPr>
            <w:tcW w:w="3827" w:type="dxa"/>
            <w:gridSpan w:val="2"/>
          </w:tcPr>
          <w:p w:rsidR="00E55967" w:rsidRPr="00120D00" w:rsidRDefault="00E55967" w:rsidP="00120D00">
            <w:pPr>
              <w:pStyle w:val="TSBHeaderQuestion"/>
            </w:pPr>
            <w:r w:rsidRPr="00120D00">
              <w:rPr>
                <w:noProof/>
              </w:rPr>
              <w:t>1/2</w:t>
            </w:r>
          </w:p>
        </w:tc>
        <w:tc>
          <w:tcPr>
            <w:tcW w:w="4395" w:type="dxa"/>
            <w:gridSpan w:val="2"/>
          </w:tcPr>
          <w:p w:rsidR="00E55967" w:rsidRPr="0037415F" w:rsidRDefault="00406740" w:rsidP="009506EF">
            <w:pPr>
              <w:pStyle w:val="VenueDate"/>
            </w:pPr>
            <w:r>
              <w:t>Virtual</w:t>
            </w:r>
            <w:r w:rsidR="00120D00" w:rsidRPr="005A6E50">
              <w:t>, 1</w:t>
            </w:r>
            <w:r>
              <w:rPr>
                <w:lang w:val="en-IN"/>
              </w:rPr>
              <w:t>3</w:t>
            </w:r>
            <w:r>
              <w:t>-22 March</w:t>
            </w:r>
            <w:r w:rsidR="00120D00" w:rsidRPr="005A6E50">
              <w:t xml:space="preserve"> 202</w:t>
            </w:r>
            <w:r>
              <w:t>3</w:t>
            </w:r>
          </w:p>
        </w:tc>
      </w:tr>
      <w:tr w:rsidR="00E55967" w:rsidRPr="00A4045F" w:rsidTr="00BC1FAE">
        <w:trPr>
          <w:cantSplit/>
          <w:jc w:val="center"/>
        </w:trPr>
        <w:tc>
          <w:tcPr>
            <w:tcW w:w="9640" w:type="dxa"/>
            <w:gridSpan w:val="6"/>
          </w:tcPr>
          <w:p w:rsidR="00E55967" w:rsidRPr="002534C9" w:rsidRDefault="00E55967" w:rsidP="0095099F">
            <w:pPr>
              <w:jc w:val="center"/>
              <w:rPr>
                <w:b/>
                <w:bCs/>
              </w:rPr>
            </w:pPr>
            <w:r w:rsidRPr="002534C9">
              <w:rPr>
                <w:b/>
                <w:bCs/>
              </w:rPr>
              <w:t>CONTRIBUTION</w:t>
            </w:r>
          </w:p>
        </w:tc>
      </w:tr>
      <w:tr w:rsidR="00E55967" w:rsidRPr="0037415F" w:rsidTr="00D57D7F">
        <w:trPr>
          <w:cantSplit/>
          <w:jc w:val="center"/>
        </w:trPr>
        <w:tc>
          <w:tcPr>
            <w:tcW w:w="1418" w:type="dxa"/>
            <w:gridSpan w:val="2"/>
          </w:tcPr>
          <w:p w:rsidR="00E55967" w:rsidRPr="0037415F" w:rsidRDefault="00E55967" w:rsidP="00691C94">
            <w:pPr>
              <w:rPr>
                <w:b/>
                <w:bCs/>
              </w:rPr>
            </w:pPr>
            <w:r>
              <w:rPr>
                <w:b/>
                <w:bCs/>
              </w:rPr>
              <w:t>Source:</w:t>
            </w:r>
          </w:p>
        </w:tc>
        <w:tc>
          <w:tcPr>
            <w:tcW w:w="8222" w:type="dxa"/>
            <w:gridSpan w:val="4"/>
          </w:tcPr>
          <w:p w:rsidR="00E55967" w:rsidRPr="00FA2E6D" w:rsidRDefault="00275668" w:rsidP="00120D00">
            <w:pPr>
              <w:pStyle w:val="TSBHeaderSource"/>
              <w:rPr>
                <w:highlight w:val="yellow"/>
              </w:rPr>
            </w:pPr>
            <w:r>
              <w:t>India</w:t>
            </w:r>
          </w:p>
        </w:tc>
      </w:tr>
      <w:tr w:rsidR="00E55967" w:rsidRPr="0037415F" w:rsidTr="00D57D7F">
        <w:trPr>
          <w:cantSplit/>
          <w:jc w:val="center"/>
        </w:trPr>
        <w:tc>
          <w:tcPr>
            <w:tcW w:w="1418" w:type="dxa"/>
            <w:gridSpan w:val="2"/>
          </w:tcPr>
          <w:p w:rsidR="00E55967" w:rsidRPr="0037415F" w:rsidRDefault="00E55967" w:rsidP="00691C94">
            <w:r w:rsidRPr="0037415F">
              <w:rPr>
                <w:b/>
                <w:bCs/>
              </w:rPr>
              <w:t>Title:</w:t>
            </w:r>
          </w:p>
        </w:tc>
        <w:tc>
          <w:tcPr>
            <w:tcW w:w="8222" w:type="dxa"/>
            <w:gridSpan w:val="4"/>
          </w:tcPr>
          <w:p w:rsidR="00E55967" w:rsidRPr="00A12386" w:rsidRDefault="00120D00" w:rsidP="00275668">
            <w:pPr>
              <w:pStyle w:val="TSBHeaderTitle"/>
              <w:rPr>
                <w:highlight w:val="yellow"/>
                <w:lang w:val="en-US"/>
              </w:rPr>
            </w:pPr>
            <w:r>
              <w:t>E.156 amendments</w:t>
            </w:r>
          </w:p>
        </w:tc>
      </w:tr>
      <w:tr w:rsidR="00051961" w:rsidRPr="0037415F" w:rsidTr="0081064E">
        <w:trPr>
          <w:cantSplit/>
          <w:jc w:val="center"/>
        </w:trPr>
        <w:tc>
          <w:tcPr>
            <w:tcW w:w="1418" w:type="dxa"/>
            <w:gridSpan w:val="2"/>
            <w:tcBorders>
              <w:top w:val="single" w:sz="6" w:space="0" w:color="auto"/>
              <w:bottom w:val="single" w:sz="6" w:space="0" w:color="auto"/>
            </w:tcBorders>
          </w:tcPr>
          <w:p w:rsidR="00051961" w:rsidRPr="008F7104" w:rsidRDefault="00051961" w:rsidP="005C4F27">
            <w:pPr>
              <w:rPr>
                <w:b/>
                <w:bCs/>
              </w:rPr>
            </w:pPr>
            <w:r w:rsidRPr="008F7104">
              <w:rPr>
                <w:b/>
                <w:bCs/>
              </w:rPr>
              <w:t>Contact:</w:t>
            </w:r>
          </w:p>
        </w:tc>
        <w:tc>
          <w:tcPr>
            <w:tcW w:w="4111" w:type="dxa"/>
            <w:gridSpan w:val="3"/>
            <w:tcBorders>
              <w:top w:val="single" w:sz="6" w:space="0" w:color="auto"/>
              <w:bottom w:val="single" w:sz="6" w:space="0" w:color="auto"/>
            </w:tcBorders>
          </w:tcPr>
          <w:p w:rsidR="00051961" w:rsidRPr="00972DFE" w:rsidRDefault="00275668" w:rsidP="00275668">
            <w:r>
              <w:t>Tejpal Singh</w:t>
            </w:r>
            <w:r w:rsidR="00051961" w:rsidRPr="00972DFE">
              <w:br/>
            </w:r>
            <w:r>
              <w:t>India</w:t>
            </w:r>
          </w:p>
        </w:tc>
        <w:tc>
          <w:tcPr>
            <w:tcW w:w="4111" w:type="dxa"/>
            <w:tcBorders>
              <w:top w:val="single" w:sz="6" w:space="0" w:color="auto"/>
              <w:bottom w:val="single" w:sz="6" w:space="0" w:color="auto"/>
            </w:tcBorders>
          </w:tcPr>
          <w:p w:rsidR="00051961" w:rsidRPr="00972DFE" w:rsidRDefault="00051961" w:rsidP="00275668">
            <w:pPr>
              <w:tabs>
                <w:tab w:val="left" w:pos="794"/>
              </w:tabs>
            </w:pPr>
            <w:r w:rsidRPr="00972DFE">
              <w:t>Tel:</w:t>
            </w:r>
            <w:r w:rsidRPr="00972DFE">
              <w:tab/>
            </w:r>
            <w:r w:rsidRPr="001D7E90">
              <w:t>+</w:t>
            </w:r>
            <w:r w:rsidR="00275668">
              <w:t>919818885790</w:t>
            </w:r>
            <w:r w:rsidRPr="00972DFE">
              <w:br/>
              <w:t>E-mail:</w:t>
            </w:r>
            <w:r w:rsidRPr="00972DFE">
              <w:tab/>
            </w:r>
            <w:hyperlink r:id="rId12" w:history="1">
              <w:r w:rsidR="00275668" w:rsidRPr="00DF5705">
                <w:rPr>
                  <w:rStyle w:val="Hyperlink"/>
                </w:rPr>
                <w:t>tejpal.singh70@gov.in</w:t>
              </w:r>
            </w:hyperlink>
          </w:p>
        </w:tc>
      </w:tr>
    </w:tbl>
    <w:p w:rsidR="00E55967" w:rsidRDefault="00E55967"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55967" w:rsidRPr="0037415F" w:rsidTr="00D57D7F">
        <w:trPr>
          <w:cantSplit/>
          <w:jc w:val="center"/>
        </w:trPr>
        <w:tc>
          <w:tcPr>
            <w:tcW w:w="1418" w:type="dxa"/>
          </w:tcPr>
          <w:p w:rsidR="00E55967" w:rsidRPr="00A12386" w:rsidRDefault="00E55967" w:rsidP="00EB6775">
            <w:pPr>
              <w:rPr>
                <w:b/>
                <w:bCs/>
              </w:rPr>
            </w:pPr>
            <w:r w:rsidRPr="00A12386">
              <w:rPr>
                <w:b/>
                <w:bCs/>
              </w:rPr>
              <w:t>Abstract:</w:t>
            </w:r>
          </w:p>
        </w:tc>
        <w:tc>
          <w:tcPr>
            <w:tcW w:w="8222" w:type="dxa"/>
          </w:tcPr>
          <w:p w:rsidR="00E55967" w:rsidRPr="00A12386" w:rsidRDefault="0083330D" w:rsidP="00275668">
            <w:pPr>
              <w:pStyle w:val="TSBHeaderSummary"/>
            </w:pPr>
            <w:r>
              <w:t xml:space="preserve"> This </w:t>
            </w:r>
            <w:r w:rsidR="00275668">
              <w:t xml:space="preserve">contribution </w:t>
            </w:r>
            <w:r>
              <w:t xml:space="preserve">proposes to revise Appendix I </w:t>
            </w:r>
            <w:r w:rsidR="00275668">
              <w:t xml:space="preserve">and Appendix II </w:t>
            </w:r>
            <w:r>
              <w:t>of E.156</w:t>
            </w:r>
            <w:r w:rsidR="001E637E">
              <w:t xml:space="preserve"> under work item E.156</w:t>
            </w:r>
            <w:r>
              <w:t>.</w:t>
            </w:r>
          </w:p>
        </w:tc>
      </w:tr>
    </w:tbl>
    <w:p w:rsidR="00E55967" w:rsidRDefault="00E55967" w:rsidP="0089088E"/>
    <w:p w:rsidR="0083330D" w:rsidRPr="00CA214D" w:rsidRDefault="00CA214D" w:rsidP="0089088E">
      <w:pPr>
        <w:rPr>
          <w:b/>
        </w:rPr>
      </w:pPr>
      <w:r w:rsidRPr="00CA214D">
        <w:rPr>
          <w:b/>
        </w:rPr>
        <w:t>Proposals</w:t>
      </w:r>
    </w:p>
    <w:p w:rsidR="00653A4B" w:rsidRDefault="00653A4B" w:rsidP="00653A4B">
      <w:pPr>
        <w:pStyle w:val="ListParagraph"/>
        <w:spacing w:line="360" w:lineRule="auto"/>
        <w:jc w:val="both"/>
      </w:pPr>
    </w:p>
    <w:p w:rsidR="006C4F36" w:rsidRDefault="001D32B8" w:rsidP="00653A4B">
      <w:pPr>
        <w:pStyle w:val="ListParagraph"/>
        <w:numPr>
          <w:ilvl w:val="0"/>
          <w:numId w:val="11"/>
        </w:numPr>
        <w:spacing w:line="360" w:lineRule="auto"/>
        <w:ind w:hanging="720"/>
        <w:jc w:val="both"/>
      </w:pPr>
      <w:r>
        <w:t>ITU-T E.156 define misuse as ‘</w:t>
      </w:r>
      <w:r w:rsidRPr="001D32B8">
        <w:rPr>
          <w:i/>
          <w:iCs/>
        </w:rPr>
        <w:t>The use of international telecommunication numbering resources specified in ITU-T Recommendations other than by the assignee or for purposes other than those for which they were assigned or use of unassigned resources</w:t>
      </w:r>
      <w:r>
        <w:t>.’</w:t>
      </w:r>
      <w:r w:rsidR="00436367">
        <w:t xml:space="preserve"> </w:t>
      </w:r>
    </w:p>
    <w:p w:rsidR="001D32B8" w:rsidRDefault="00271D2F" w:rsidP="006C4F36">
      <w:pPr>
        <w:pStyle w:val="ListParagraph"/>
        <w:spacing w:line="360" w:lineRule="auto"/>
        <w:jc w:val="both"/>
      </w:pPr>
      <w:r>
        <w:t>Therefore</w:t>
      </w:r>
      <w:r w:rsidR="00436367">
        <w:t xml:space="preserve">, </w:t>
      </w:r>
      <w:r>
        <w:t xml:space="preserve">‘spoofing’ and ‘tampering’ of International Calling Party Number </w:t>
      </w:r>
      <w:r w:rsidR="00653A4B">
        <w:t>Delivery (</w:t>
      </w:r>
      <w:r>
        <w:t xml:space="preserve">ICPND) is </w:t>
      </w:r>
      <w:r w:rsidR="006C4F36">
        <w:t xml:space="preserve">also a </w:t>
      </w:r>
      <w:r>
        <w:t>misuse of numbering resources and</w:t>
      </w:r>
      <w:r w:rsidR="006C4F36">
        <w:t xml:space="preserve"> also a</w:t>
      </w:r>
      <w:r>
        <w:t xml:space="preserve"> non-compliance of ITU-T Recommendation E.157.  Misuse of ICPND through </w:t>
      </w:r>
      <w:r w:rsidR="006C4F36">
        <w:t>‘</w:t>
      </w:r>
      <w:r>
        <w:t>spoofing</w:t>
      </w:r>
      <w:r w:rsidR="006C4F36">
        <w:t>’</w:t>
      </w:r>
      <w:r>
        <w:t xml:space="preserve"> and </w:t>
      </w:r>
      <w:r w:rsidR="006C4F36">
        <w:t>‘</w:t>
      </w:r>
      <w:r>
        <w:t>tampering</w:t>
      </w:r>
      <w:r w:rsidR="006C4F36">
        <w:t>’</w:t>
      </w:r>
      <w:r>
        <w:t xml:space="preserve"> may </w:t>
      </w:r>
      <w:r w:rsidR="006C4F36">
        <w:t>result</w:t>
      </w:r>
      <w:r>
        <w:t xml:space="preserve"> in many frauds and </w:t>
      </w:r>
      <w:r w:rsidR="00653A4B">
        <w:t>affects national security. Therefore, the Appendix II should also include possible actions for this scenario of misuse.</w:t>
      </w:r>
    </w:p>
    <w:p w:rsidR="00B31461" w:rsidRDefault="00B31461" w:rsidP="00B31461">
      <w:pPr>
        <w:pStyle w:val="ListParagraph"/>
        <w:numPr>
          <w:ilvl w:val="0"/>
          <w:numId w:val="11"/>
        </w:numPr>
        <w:spacing w:line="360" w:lineRule="auto"/>
        <w:ind w:hanging="720"/>
        <w:jc w:val="both"/>
      </w:pPr>
      <w:r>
        <w:t>Appendix I uses two terms i.e. ‘calling party’ in section 1 and ‘calling subscriber’ in remaining sections. These terms are neither defined nor any distinction explained. It is proposed to use the same term i.e. ‘calling party’ for consistency. This term is also used in Appendix IV.</w:t>
      </w:r>
    </w:p>
    <w:p w:rsidR="00FB3E3F" w:rsidRDefault="00FB3E3F">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406740" w:rsidRPr="00406740" w:rsidRDefault="00406740" w:rsidP="00406740">
      <w:pPr>
        <w:jc w:val="center"/>
        <w:rPr>
          <w:b/>
          <w:bCs/>
        </w:rPr>
      </w:pPr>
      <w:r w:rsidRPr="00406740">
        <w:rPr>
          <w:b/>
          <w:bCs/>
        </w:rPr>
        <w:lastRenderedPageBreak/>
        <w:t>Appendix I</w:t>
      </w:r>
    </w:p>
    <w:p w:rsidR="00406740" w:rsidRDefault="00406740" w:rsidP="00406740">
      <w:pPr>
        <w:jc w:val="center"/>
      </w:pPr>
      <w:r>
        <w:t>Examples of number resource misuse</w:t>
      </w:r>
    </w:p>
    <w:p w:rsidR="00406740" w:rsidRDefault="00406740" w:rsidP="00406740">
      <w:pPr>
        <w:jc w:val="center"/>
      </w:pPr>
      <w:r>
        <w:t>(This appendix does not form an integral part of this Recommendation.)</w:t>
      </w:r>
    </w:p>
    <w:p w:rsidR="00406740" w:rsidRDefault="00406740" w:rsidP="00406740">
      <w:r>
        <w:t>The following constitute examples of misuse.</w:t>
      </w:r>
    </w:p>
    <w:p w:rsidR="00406740" w:rsidRDefault="00406740" w:rsidP="00406740">
      <w:pPr>
        <w:jc w:val="both"/>
      </w:pPr>
      <w:r>
        <w:t xml:space="preserve">1. The calling party does not have any reserved or allocated number (e.g., when delivering web or voice over Internet protocol communication services) </w:t>
      </w:r>
      <w:del w:id="1" w:author="Tejpal Singh" w:date="2023-01-15T19:04:00Z">
        <w:r w:rsidDel="006A7EBF">
          <w:delText xml:space="preserve">with </w:delText>
        </w:r>
      </w:del>
      <w:ins w:id="2" w:author="Tejpal Singh" w:date="2023-01-15T19:04:00Z">
        <w:r w:rsidR="006A7EBF">
          <w:t xml:space="preserve"> for </w:t>
        </w:r>
      </w:ins>
      <w:r>
        <w:t xml:space="preserve">access to public telephone networks, and for call handling requires that an operator or service provider assign that party an ITU-T E.164 number that is random or does not belong to that </w:t>
      </w:r>
      <w:ins w:id="3" w:author="Tejpal Singh" w:date="2023-01-15T19:04:00Z">
        <w:r w:rsidR="006A7EBF">
          <w:t xml:space="preserve">calling </w:t>
        </w:r>
      </w:ins>
      <w:r>
        <w:t>party or is not bound to a user, and the number is transferred over the network.</w:t>
      </w:r>
    </w:p>
    <w:p w:rsidR="00406740" w:rsidRDefault="00406740" w:rsidP="00406740">
      <w:pPr>
        <w:jc w:val="both"/>
      </w:pPr>
      <w:r>
        <w:t xml:space="preserve">2. The calling </w:t>
      </w:r>
      <w:del w:id="4" w:author="Tejpal Singh" w:date="2023-01-15T19:04:00Z">
        <w:r w:rsidDel="006A7EBF">
          <w:delText xml:space="preserve">subscriber </w:delText>
        </w:r>
      </w:del>
      <w:ins w:id="5" w:author="Tejpal Singh" w:date="2023-01-15T19:04:00Z">
        <w:r w:rsidR="006A7EBF">
          <w:t xml:space="preserve"> party </w:t>
        </w:r>
      </w:ins>
      <w:r>
        <w:t>has a reserved or allocated number, but during call handling</w:t>
      </w:r>
      <w:ins w:id="6" w:author="Tejpal Singh" w:date="2023-01-15T19:05:00Z">
        <w:r w:rsidR="006A7EBF">
          <w:t>,</w:t>
        </w:r>
      </w:ins>
      <w:r>
        <w:t xml:space="preserve"> </w:t>
      </w:r>
      <w:del w:id="7" w:author="Tejpal Singh" w:date="2023-01-15T19:05:00Z">
        <w:r w:rsidDel="006A7EBF">
          <w:delText xml:space="preserve">that </w:delText>
        </w:r>
      </w:del>
      <w:ins w:id="8" w:author="Tejpal Singh" w:date="2023-01-15T19:05:00Z">
        <w:r w:rsidR="006A7EBF">
          <w:t>calling</w:t>
        </w:r>
      </w:ins>
      <w:del w:id="9" w:author="Tejpal Singh" w:date="2023-01-15T19:04:00Z">
        <w:r w:rsidDel="006A7EBF">
          <w:delText xml:space="preserve">subscriber’s </w:delText>
        </w:r>
      </w:del>
      <w:ins w:id="10" w:author="Tejpal Singh" w:date="2023-01-15T19:04:00Z">
        <w:r w:rsidR="006A7EBF">
          <w:t xml:space="preserve"> party </w:t>
        </w:r>
      </w:ins>
      <w:r>
        <w:t>number is substituted with another number without any justification or agreement</w:t>
      </w:r>
      <w:ins w:id="11" w:author="Tejpal Singh" w:date="2023-01-15T19:09:00Z">
        <w:r w:rsidR="00402842">
          <w:t xml:space="preserve"> in accordance with ITU-T E.157</w:t>
        </w:r>
      </w:ins>
      <w:r>
        <w:t>.</w:t>
      </w:r>
    </w:p>
    <w:p w:rsidR="00406740" w:rsidRDefault="00406740" w:rsidP="00406740">
      <w:pPr>
        <w:jc w:val="both"/>
      </w:pPr>
      <w:r>
        <w:t xml:space="preserve">3. The calling </w:t>
      </w:r>
      <w:del w:id="12" w:author="Tejpal Singh" w:date="2023-01-15T19:05:00Z">
        <w:r w:rsidDel="006A7EBF">
          <w:delText xml:space="preserve">subscriber </w:delText>
        </w:r>
      </w:del>
      <w:ins w:id="13" w:author="Tejpal Singh" w:date="2023-01-15T19:05:00Z">
        <w:r w:rsidR="006A7EBF">
          <w:t xml:space="preserve"> party </w:t>
        </w:r>
      </w:ins>
      <w:r>
        <w:t xml:space="preserve">has no reserved or allocated number; in routing an operator or a service provider </w:t>
      </w:r>
      <w:del w:id="14" w:author="Tejpal Singh" w:date="2023-01-15T19:06:00Z">
        <w:r w:rsidDel="006A7EBF">
          <w:delText xml:space="preserve">shall </w:delText>
        </w:r>
      </w:del>
      <w:ins w:id="15" w:author="Tejpal Singh" w:date="2023-01-15T19:06:00Z">
        <w:r w:rsidR="006A7EBF">
          <w:t xml:space="preserve"> does </w:t>
        </w:r>
      </w:ins>
      <w:r>
        <w:t xml:space="preserve">not transfer any identifiers of a calling </w:t>
      </w:r>
      <w:del w:id="16" w:author="Tejpal Singh" w:date="2023-01-15T19:06:00Z">
        <w:r w:rsidDel="006A7EBF">
          <w:delText xml:space="preserve">subscriber </w:delText>
        </w:r>
      </w:del>
      <w:ins w:id="17" w:author="Tejpal Singh" w:date="2023-01-15T19:06:00Z">
        <w:r w:rsidR="006A7EBF">
          <w:t xml:space="preserve"> party </w:t>
        </w:r>
      </w:ins>
      <w:r>
        <w:t>(nor transfer it partly).</w:t>
      </w:r>
    </w:p>
    <w:p w:rsidR="00E55967" w:rsidRDefault="00406740" w:rsidP="00406740">
      <w:pPr>
        <w:jc w:val="both"/>
        <w:rPr>
          <w:ins w:id="18" w:author="Tejpal Singh" w:date="2023-01-15T19:48:00Z"/>
        </w:rPr>
      </w:pPr>
      <w:r>
        <w:t xml:space="preserve">4. The calling </w:t>
      </w:r>
      <w:del w:id="19" w:author="Tejpal Singh" w:date="2023-01-15T19:06:00Z">
        <w:r w:rsidDel="006A7EBF">
          <w:delText xml:space="preserve">subscriber </w:delText>
        </w:r>
      </w:del>
      <w:ins w:id="20" w:author="Tejpal Singh" w:date="2023-01-15T19:06:00Z">
        <w:r w:rsidR="006A7EBF">
          <w:t xml:space="preserve"> party </w:t>
        </w:r>
      </w:ins>
      <w:r>
        <w:t xml:space="preserve">has a reserved or allocated number and during call handling an operator or a service provider ceases the transfer of such a number as an identifier of that </w:t>
      </w:r>
      <w:del w:id="21" w:author="Tejpal Singh" w:date="2023-01-15T19:07:00Z">
        <w:r w:rsidDel="006A7EBF">
          <w:delText>subscriber</w:delText>
        </w:r>
      </w:del>
      <w:ins w:id="22" w:author="Tejpal Singh" w:date="2023-01-15T19:07:00Z">
        <w:r w:rsidR="006A7EBF">
          <w:t xml:space="preserve"> calling party</w:t>
        </w:r>
      </w:ins>
    </w:p>
    <w:p w:rsidR="00304C5B" w:rsidRDefault="00304C5B" w:rsidP="00406740">
      <w:pPr>
        <w:jc w:val="both"/>
        <w:rPr>
          <w:ins w:id="23" w:author="Tejpal Singh" w:date="2023-01-15T19:48:00Z"/>
        </w:rPr>
      </w:pPr>
      <w:ins w:id="24" w:author="Tejpal Singh" w:date="2023-01-15T19:48:00Z">
        <w:r>
          <w:t>5. Calling party uses rented number</w:t>
        </w:r>
      </w:ins>
      <w:ins w:id="25" w:author="Tejpal Singh" w:date="2023-01-15T19:49:00Z">
        <w:r>
          <w:t>ing resource from other party</w:t>
        </w:r>
      </w:ins>
      <w:ins w:id="26" w:author="Tejpal Singh" w:date="2023-01-15T19:48:00Z">
        <w:r>
          <w:t xml:space="preserve"> for making call</w:t>
        </w:r>
      </w:ins>
      <w:ins w:id="27" w:author="Tejpal Singh" w:date="2023-01-15T19:50:00Z">
        <w:r>
          <w:t>s</w:t>
        </w:r>
      </w:ins>
      <w:ins w:id="28" w:author="Tejpal Singh" w:date="2023-01-15T19:48:00Z">
        <w:r>
          <w:t xml:space="preserve"> </w:t>
        </w:r>
      </w:ins>
      <w:ins w:id="29" w:author="Tejpal Singh" w:date="2023-01-15T19:50:00Z">
        <w:r>
          <w:t xml:space="preserve">for the purpose of concealing the delivery of </w:t>
        </w:r>
      </w:ins>
      <w:ins w:id="30" w:author="Tejpal Singh" w:date="2023-01-15T19:51:00Z">
        <w:r>
          <w:t>International Calling Party Number delivery in violation of ITU-T Recommendation E.157</w:t>
        </w:r>
      </w:ins>
    </w:p>
    <w:p w:rsidR="00304C5B" w:rsidRDefault="00304C5B" w:rsidP="00406740">
      <w:pPr>
        <w:jc w:val="both"/>
      </w:pPr>
      <w:ins w:id="31" w:author="Tejpal Singh" w:date="2023-01-15T19:49:00Z">
        <w:r>
          <w:t xml:space="preserve">6. The </w:t>
        </w:r>
      </w:ins>
      <w:ins w:id="32" w:author="Tejpal Singh" w:date="2023-01-15T19:52:00Z">
        <w:r>
          <w:t>International Calling Party Number delivery is ‘spoofed’ or ‘tampered’</w:t>
        </w:r>
        <w:r w:rsidR="006A3564">
          <w:t xml:space="preserve"> by calling party or any other </w:t>
        </w:r>
      </w:ins>
      <w:ins w:id="33" w:author="Tejpal Singh" w:date="2023-01-15T21:17:00Z">
        <w:r w:rsidR="00E77FD6">
          <w:t>transit operators</w:t>
        </w:r>
      </w:ins>
      <w:ins w:id="34" w:author="Tejpal Singh" w:date="2023-01-15T19:52:00Z">
        <w:r w:rsidR="00E77FD6">
          <w:t xml:space="preserve"> in</w:t>
        </w:r>
      </w:ins>
      <w:ins w:id="35" w:author="Tejpal Singh" w:date="2023-01-15T21:17:00Z">
        <w:r w:rsidR="00E77FD6">
          <w:t xml:space="preserve"> the call completion</w:t>
        </w:r>
      </w:ins>
      <w:ins w:id="36" w:author="Tejpal Singh" w:date="2023-01-15T19:52:00Z">
        <w:r w:rsidR="006A3564">
          <w:t>.</w:t>
        </w:r>
        <w:r>
          <w:t xml:space="preserve"> </w:t>
        </w:r>
      </w:ins>
    </w:p>
    <w:p w:rsidR="00E55967" w:rsidRDefault="00E55967" w:rsidP="00394DBF">
      <w:pPr>
        <w:jc w:val="center"/>
      </w:pPr>
      <w:r>
        <w:t>_______________________</w:t>
      </w:r>
    </w:p>
    <w:p w:rsidR="00E55967" w:rsidRDefault="00E55967"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Pr="00406740" w:rsidRDefault="00406740" w:rsidP="00406740">
      <w:pPr>
        <w:jc w:val="center"/>
        <w:rPr>
          <w:b/>
          <w:bCs/>
        </w:rPr>
      </w:pPr>
      <w:r w:rsidRPr="00406740">
        <w:rPr>
          <w:b/>
          <w:bCs/>
        </w:rPr>
        <w:lastRenderedPageBreak/>
        <w:t>Appendix II</w:t>
      </w:r>
    </w:p>
    <w:p w:rsidR="00406740" w:rsidRPr="00406740" w:rsidRDefault="00406740" w:rsidP="00406740">
      <w:pPr>
        <w:jc w:val="center"/>
        <w:rPr>
          <w:b/>
          <w:bCs/>
        </w:rPr>
      </w:pPr>
      <w:r w:rsidRPr="00406740">
        <w:rPr>
          <w:b/>
          <w:bCs/>
        </w:rPr>
        <w:t>Possible national actions in case of misuse of indirectly assigned resources</w:t>
      </w:r>
    </w:p>
    <w:p w:rsidR="00406740" w:rsidRDefault="00406740" w:rsidP="00406740">
      <w:pPr>
        <w:jc w:val="center"/>
      </w:pPr>
      <w:r>
        <w:t>(This appendix does not form an integral part of this Recommendation.)</w:t>
      </w:r>
    </w:p>
    <w:p w:rsidR="00406740" w:rsidRDefault="00406740" w:rsidP="00406740"/>
    <w:p w:rsidR="00406740" w:rsidRDefault="00406740" w:rsidP="00406740">
      <w:pPr>
        <w:jc w:val="both"/>
      </w:pPr>
      <w:r>
        <w:t>Administrations may consider taking the following actions in the case of misuse.</w:t>
      </w:r>
    </w:p>
    <w:p w:rsidR="00406740" w:rsidRDefault="00406740" w:rsidP="00406740">
      <w:pPr>
        <w:spacing w:line="276" w:lineRule="auto"/>
        <w:jc w:val="both"/>
      </w:pPr>
      <w:r>
        <w:t>1) Initiate an investigation that initially will include the following:</w:t>
      </w:r>
    </w:p>
    <w:p w:rsidR="00406740" w:rsidRDefault="00406740" w:rsidP="00406740">
      <w:pPr>
        <w:spacing w:line="276" w:lineRule="auto"/>
        <w:ind w:left="720"/>
        <w:jc w:val="both"/>
      </w:pPr>
      <w:r>
        <w:t xml:space="preserve">a. requesting information from the OA regarding how the disputed calls have been transited to </w:t>
      </w:r>
      <w:del w:id="37" w:author="Tejpal Singh" w:date="2023-01-15T19:11:00Z">
        <w:r w:rsidDel="00561936">
          <w:delText xml:space="preserve">their </w:delText>
        </w:r>
      </w:del>
      <w:ins w:id="38" w:author="Tejpal Singh" w:date="2023-01-15T19:11:00Z">
        <w:r w:rsidR="00561936">
          <w:t xml:space="preserve">the  </w:t>
        </w:r>
      </w:ins>
      <w:r>
        <w:t>destination;</w:t>
      </w:r>
    </w:p>
    <w:p w:rsidR="00406740" w:rsidRDefault="00406740" w:rsidP="00406740">
      <w:pPr>
        <w:spacing w:line="276" w:lineRule="auto"/>
        <w:ind w:left="720"/>
        <w:jc w:val="both"/>
      </w:pPr>
      <w:r>
        <w:t>b. requesting information from the number</w:t>
      </w:r>
      <w:ins w:id="39" w:author="Tejpal Singh" w:date="2023-01-15T19:12:00Z">
        <w:r w:rsidR="00561936">
          <w:t>ing resource</w:t>
        </w:r>
      </w:ins>
      <w:r>
        <w:t xml:space="preserve"> </w:t>
      </w:r>
      <w:del w:id="40" w:author="Tejpal Singh" w:date="2023-01-15T19:12:00Z">
        <w:r w:rsidDel="00561936">
          <w:delText xml:space="preserve">range </w:delText>
        </w:r>
      </w:del>
      <w:ins w:id="41" w:author="Tejpal Singh" w:date="2023-01-15T19:12:00Z">
        <w:r w:rsidR="00561936">
          <w:t xml:space="preserve">  </w:t>
        </w:r>
      </w:ins>
      <w:r>
        <w:t>owner to determine whether the calls had terminated through their switch;</w:t>
      </w:r>
    </w:p>
    <w:p w:rsidR="00406740" w:rsidRDefault="00406740" w:rsidP="00406740">
      <w:pPr>
        <w:spacing w:line="276" w:lineRule="auto"/>
        <w:ind w:left="720"/>
        <w:jc w:val="both"/>
      </w:pPr>
      <w:r>
        <w:t>c. obtaining full call records from the OA operator so that these can be examined to determine whether there is evidence of traffic inflation (overlapping calls etc.);</w:t>
      </w:r>
    </w:p>
    <w:p w:rsidR="00406740" w:rsidRDefault="00406740" w:rsidP="00406740">
      <w:pPr>
        <w:spacing w:line="276" w:lineRule="auto"/>
        <w:ind w:left="720"/>
        <w:jc w:val="both"/>
      </w:pPr>
      <w:r>
        <w:t>d. if the alleged misuse involves a private branch exchange (PBX) or international call forwarding, checking with any third party carriers to determine whether the calling line identities (CLIs) are genuine or "spoofed".</w:t>
      </w:r>
    </w:p>
    <w:p w:rsidR="00406740" w:rsidRDefault="00406740" w:rsidP="00406740">
      <w:pPr>
        <w:spacing w:line="276" w:lineRule="auto"/>
        <w:jc w:val="both"/>
      </w:pPr>
      <w:r>
        <w:t>2) From these investigations, which should be completed as soon as possible, the administration may determine whether this is misuse or misappropriation and also whether the misuse of misappropriation has occurred using number hijacking (i.e., the misuse of a valid number in order to generate revenue for the originator of the misuse).</w:t>
      </w:r>
    </w:p>
    <w:p w:rsidR="00406740" w:rsidRDefault="00406740" w:rsidP="00406740">
      <w:pPr>
        <w:spacing w:line="276" w:lineRule="auto"/>
        <w:jc w:val="both"/>
      </w:pPr>
      <w:r>
        <w:t>3) If it involves number hijacking, the administration may recommend that payment be stopped on the basis that the service being charged for has never been delivered, e.g., a call billed to a specific country has been “short-stopped” elsewhere.</w:t>
      </w:r>
    </w:p>
    <w:p w:rsidR="00406740" w:rsidRDefault="00406740" w:rsidP="00406740">
      <w:pPr>
        <w:spacing w:line="276" w:lineRule="auto"/>
        <w:jc w:val="both"/>
        <w:rPr>
          <w:ins w:id="42" w:author="Tejpal Singh" w:date="2023-01-15T19:15:00Z"/>
        </w:rPr>
      </w:pPr>
      <w:r>
        <w:t>4) If the incident involves obvious misuse or misappropriation (traffic inflation, multiple overlapping calls etc.) and involves numbers from the operators who make numbers available for international premium rate number (IPRN) services, then it is also recommended that payment be stopped, and that the IPRN provider who has been assigned these numbers is advised that payment will be withheld.</w:t>
      </w:r>
    </w:p>
    <w:p w:rsidR="00561936" w:rsidRDefault="00561936" w:rsidP="00406740">
      <w:pPr>
        <w:spacing w:line="276" w:lineRule="auto"/>
        <w:jc w:val="both"/>
      </w:pPr>
      <w:ins w:id="43" w:author="Tejpal Singh" w:date="2023-01-15T19:15:00Z">
        <w:r>
          <w:t>5)</w:t>
        </w:r>
      </w:ins>
      <w:ins w:id="44" w:author="Tejpal Singh" w:date="2023-01-15T21:06:00Z">
        <w:r w:rsidR="00B31461">
          <w:t xml:space="preserve"> If the incident involves spoofing or tampering </w:t>
        </w:r>
      </w:ins>
      <w:ins w:id="45" w:author="Tejpal Singh" w:date="2023-01-15T21:09:00Z">
        <w:r w:rsidR="00B31461">
          <w:t>of International</w:t>
        </w:r>
      </w:ins>
      <w:ins w:id="46" w:author="Tejpal Singh" w:date="2023-01-15T21:08:00Z">
        <w:r w:rsidR="00B31461">
          <w:t xml:space="preserve"> Calling Party Number Delivery (ICPND)</w:t>
        </w:r>
      </w:ins>
      <w:ins w:id="47" w:author="Tejpal Singh" w:date="2023-01-15T21:09:00Z">
        <w:r w:rsidR="00B31461">
          <w:t xml:space="preserve"> using national numbering resources of Member State</w:t>
        </w:r>
      </w:ins>
      <w:ins w:id="48" w:author="Tejpal Singh" w:date="2023-01-15T21:08:00Z">
        <w:r w:rsidR="00B31461">
          <w:t xml:space="preserve">, then it is recommended that </w:t>
        </w:r>
      </w:ins>
      <w:ins w:id="49" w:author="Tejpal Singh" w:date="2023-01-15T21:09:00Z">
        <w:r w:rsidR="00B31461">
          <w:t xml:space="preserve">Member States may </w:t>
        </w:r>
      </w:ins>
      <w:ins w:id="50" w:author="Tejpal Singh" w:date="2023-01-15T21:10:00Z">
        <w:r w:rsidR="00B31461">
          <w:t>implement</w:t>
        </w:r>
      </w:ins>
      <w:ins w:id="51" w:author="Tejpal Singh" w:date="2023-01-15T21:09:00Z">
        <w:r w:rsidR="00B31461">
          <w:t xml:space="preserve"> technical measures to </w:t>
        </w:r>
      </w:ins>
      <w:ins w:id="52" w:author="Tejpal Singh" w:date="2023-01-15T21:10:00Z">
        <w:r w:rsidR="00B31461">
          <w:t xml:space="preserve">drop the calls at International Gateway while allowing calls </w:t>
        </w:r>
      </w:ins>
      <w:ins w:id="53" w:author="Tejpal Singh" w:date="2023-01-15T21:11:00Z">
        <w:r w:rsidR="00B31461">
          <w:t xml:space="preserve">with calling line identification </w:t>
        </w:r>
      </w:ins>
      <w:ins w:id="54" w:author="Tejpal Singh" w:date="2023-01-15T21:13:00Z">
        <w:r w:rsidR="00B31461">
          <w:t>of</w:t>
        </w:r>
      </w:ins>
      <w:ins w:id="55" w:author="Tejpal Singh" w:date="2023-01-15T21:10:00Z">
        <w:r w:rsidR="00B31461">
          <w:t xml:space="preserve"> mobile </w:t>
        </w:r>
      </w:ins>
      <w:ins w:id="56" w:author="Tejpal Singh" w:date="2023-01-15T21:12:00Z">
        <w:r w:rsidR="00B31461">
          <w:t>numbers roaming outside the Member State.</w:t>
        </w:r>
      </w:ins>
    </w:p>
    <w:sectPr w:rsidR="00561936" w:rsidSect="009E75D6">
      <w:headerReference w:type="default" r:id="rId13"/>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7389" w:rsidRDefault="00967389" w:rsidP="00C42125">
      <w:pPr>
        <w:spacing w:before="0"/>
      </w:pPr>
      <w:r>
        <w:separator/>
      </w:r>
    </w:p>
  </w:endnote>
  <w:endnote w:type="continuationSeparator" w:id="0">
    <w:p w:rsidR="00967389" w:rsidRDefault="00967389"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7389" w:rsidRDefault="00967389" w:rsidP="00C42125">
      <w:pPr>
        <w:spacing w:before="0"/>
      </w:pPr>
      <w:r>
        <w:separator/>
      </w:r>
    </w:p>
  </w:footnote>
  <w:footnote w:type="continuationSeparator" w:id="0">
    <w:p w:rsidR="00967389" w:rsidRDefault="00967389"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125" w:rsidRPr="00C42125" w:rsidRDefault="00C42125" w:rsidP="007E53E4">
    <w:pPr>
      <w:pStyle w:val="Header"/>
    </w:pPr>
    <w:r w:rsidRPr="00C42125">
      <w:t xml:space="preserve">- </w:t>
    </w:r>
    <w:r w:rsidR="0069451E" w:rsidRPr="00C42125">
      <w:fldChar w:fldCharType="begin"/>
    </w:r>
    <w:r w:rsidRPr="00C42125">
      <w:instrText xml:space="preserve"> PAGE  \* MERGEFORMAT </w:instrText>
    </w:r>
    <w:r w:rsidR="0069451E" w:rsidRPr="00C42125">
      <w:fldChar w:fldCharType="separate"/>
    </w:r>
    <w:r w:rsidR="00C4038E">
      <w:rPr>
        <w:noProof/>
      </w:rPr>
      <w:t>2</w:t>
    </w:r>
    <w:r w:rsidR="0069451E" w:rsidRPr="00C42125">
      <w:fldChar w:fldCharType="end"/>
    </w:r>
    <w:r w:rsidRPr="00C42125">
      <w:t xml:space="preserve"> -</w:t>
    </w:r>
  </w:p>
  <w:p w:rsidR="00C42125" w:rsidRPr="00C42125" w:rsidRDefault="00C42125" w:rsidP="00406740">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42101AA"/>
    <w:multiLevelType w:val="hybridMultilevel"/>
    <w:tmpl w:val="CC521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C0300"/>
    <w:rsid w:val="000171DB"/>
    <w:rsid w:val="00023D9A"/>
    <w:rsid w:val="0002490E"/>
    <w:rsid w:val="00037538"/>
    <w:rsid w:val="00043D75"/>
    <w:rsid w:val="00051961"/>
    <w:rsid w:val="00054813"/>
    <w:rsid w:val="00057000"/>
    <w:rsid w:val="000640E0"/>
    <w:rsid w:val="00064226"/>
    <w:rsid w:val="00095CE3"/>
    <w:rsid w:val="000A5A3F"/>
    <w:rsid w:val="000A5CA2"/>
    <w:rsid w:val="000B25B1"/>
    <w:rsid w:val="000B4523"/>
    <w:rsid w:val="000C3DDD"/>
    <w:rsid w:val="0011153E"/>
    <w:rsid w:val="00120D00"/>
    <w:rsid w:val="001251DA"/>
    <w:rsid w:val="00125432"/>
    <w:rsid w:val="00137F40"/>
    <w:rsid w:val="00165942"/>
    <w:rsid w:val="0017240B"/>
    <w:rsid w:val="001871EC"/>
    <w:rsid w:val="001A670F"/>
    <w:rsid w:val="001C3FE2"/>
    <w:rsid w:val="001C62B8"/>
    <w:rsid w:val="001D32B8"/>
    <w:rsid w:val="001E637E"/>
    <w:rsid w:val="001E7B0E"/>
    <w:rsid w:val="001F141D"/>
    <w:rsid w:val="00200A06"/>
    <w:rsid w:val="00225175"/>
    <w:rsid w:val="00231DC5"/>
    <w:rsid w:val="00233CE4"/>
    <w:rsid w:val="00241832"/>
    <w:rsid w:val="002534C9"/>
    <w:rsid w:val="00253DBE"/>
    <w:rsid w:val="002622FA"/>
    <w:rsid w:val="00263518"/>
    <w:rsid w:val="00271D2F"/>
    <w:rsid w:val="00275668"/>
    <w:rsid w:val="002759E7"/>
    <w:rsid w:val="00275ED1"/>
    <w:rsid w:val="00277326"/>
    <w:rsid w:val="002A49E0"/>
    <w:rsid w:val="002C015C"/>
    <w:rsid w:val="002C26C0"/>
    <w:rsid w:val="002C2BC5"/>
    <w:rsid w:val="002E021D"/>
    <w:rsid w:val="002E2053"/>
    <w:rsid w:val="002E79CB"/>
    <w:rsid w:val="002F1CFE"/>
    <w:rsid w:val="002F7F55"/>
    <w:rsid w:val="00304C5B"/>
    <w:rsid w:val="0030745F"/>
    <w:rsid w:val="00314630"/>
    <w:rsid w:val="0032090A"/>
    <w:rsid w:val="00321CDE"/>
    <w:rsid w:val="00333E15"/>
    <w:rsid w:val="00336046"/>
    <w:rsid w:val="00345FDC"/>
    <w:rsid w:val="00350492"/>
    <w:rsid w:val="0035343D"/>
    <w:rsid w:val="0037422B"/>
    <w:rsid w:val="0038715D"/>
    <w:rsid w:val="00394DBF"/>
    <w:rsid w:val="003957A6"/>
    <w:rsid w:val="00395C05"/>
    <w:rsid w:val="003A43EF"/>
    <w:rsid w:val="003A5982"/>
    <w:rsid w:val="003C7445"/>
    <w:rsid w:val="003D2CC8"/>
    <w:rsid w:val="003F2BED"/>
    <w:rsid w:val="00402842"/>
    <w:rsid w:val="00404998"/>
    <w:rsid w:val="00406740"/>
    <w:rsid w:val="00436367"/>
    <w:rsid w:val="00443878"/>
    <w:rsid w:val="0044609F"/>
    <w:rsid w:val="004539A8"/>
    <w:rsid w:val="004712CA"/>
    <w:rsid w:val="0047422E"/>
    <w:rsid w:val="0049674B"/>
    <w:rsid w:val="004C0673"/>
    <w:rsid w:val="004C4E4E"/>
    <w:rsid w:val="004D7C9A"/>
    <w:rsid w:val="004F3816"/>
    <w:rsid w:val="004F6151"/>
    <w:rsid w:val="005155ED"/>
    <w:rsid w:val="00543D41"/>
    <w:rsid w:val="00552142"/>
    <w:rsid w:val="0055782F"/>
    <w:rsid w:val="00561936"/>
    <w:rsid w:val="00566EDA"/>
    <w:rsid w:val="00567F52"/>
    <w:rsid w:val="00572654"/>
    <w:rsid w:val="00577559"/>
    <w:rsid w:val="00583CED"/>
    <w:rsid w:val="005B3023"/>
    <w:rsid w:val="005B5629"/>
    <w:rsid w:val="005C0300"/>
    <w:rsid w:val="005C4F27"/>
    <w:rsid w:val="005F4B6A"/>
    <w:rsid w:val="006010F3"/>
    <w:rsid w:val="00604127"/>
    <w:rsid w:val="00610EB4"/>
    <w:rsid w:val="00615A0A"/>
    <w:rsid w:val="006243D6"/>
    <w:rsid w:val="006333D4"/>
    <w:rsid w:val="006369B2"/>
    <w:rsid w:val="00642D16"/>
    <w:rsid w:val="00647525"/>
    <w:rsid w:val="00653927"/>
    <w:rsid w:val="00653A4B"/>
    <w:rsid w:val="006567D6"/>
    <w:rsid w:val="006570B0"/>
    <w:rsid w:val="0069180E"/>
    <w:rsid w:val="00691C94"/>
    <w:rsid w:val="0069210B"/>
    <w:rsid w:val="0069451E"/>
    <w:rsid w:val="006A3564"/>
    <w:rsid w:val="006A4055"/>
    <w:rsid w:val="006A7457"/>
    <w:rsid w:val="006A7EBF"/>
    <w:rsid w:val="006C34D2"/>
    <w:rsid w:val="006C4F36"/>
    <w:rsid w:val="006C5641"/>
    <w:rsid w:val="006D1089"/>
    <w:rsid w:val="006D1B86"/>
    <w:rsid w:val="006D7355"/>
    <w:rsid w:val="006E24CF"/>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3330D"/>
    <w:rsid w:val="0083773E"/>
    <w:rsid w:val="00841217"/>
    <w:rsid w:val="00842137"/>
    <w:rsid w:val="00855D14"/>
    <w:rsid w:val="00864D45"/>
    <w:rsid w:val="00887ED8"/>
    <w:rsid w:val="0089088E"/>
    <w:rsid w:val="00892297"/>
    <w:rsid w:val="00893996"/>
    <w:rsid w:val="008B6F4A"/>
    <w:rsid w:val="008D0C7E"/>
    <w:rsid w:val="008D68C3"/>
    <w:rsid w:val="008D6E9E"/>
    <w:rsid w:val="008E0172"/>
    <w:rsid w:val="008E31DC"/>
    <w:rsid w:val="008E370F"/>
    <w:rsid w:val="008E4071"/>
    <w:rsid w:val="00914912"/>
    <w:rsid w:val="00932AB7"/>
    <w:rsid w:val="00934405"/>
    <w:rsid w:val="00934C5D"/>
    <w:rsid w:val="009406B5"/>
    <w:rsid w:val="00943FFC"/>
    <w:rsid w:val="00946166"/>
    <w:rsid w:val="00947A28"/>
    <w:rsid w:val="009506EF"/>
    <w:rsid w:val="0095099F"/>
    <w:rsid w:val="00967389"/>
    <w:rsid w:val="00983164"/>
    <w:rsid w:val="009972EF"/>
    <w:rsid w:val="009B75B3"/>
    <w:rsid w:val="009C3160"/>
    <w:rsid w:val="009E75D6"/>
    <w:rsid w:val="009E766E"/>
    <w:rsid w:val="009F1960"/>
    <w:rsid w:val="009F42B3"/>
    <w:rsid w:val="009F715E"/>
    <w:rsid w:val="00A10DBB"/>
    <w:rsid w:val="00A12386"/>
    <w:rsid w:val="00A16253"/>
    <w:rsid w:val="00A304DD"/>
    <w:rsid w:val="00A31D47"/>
    <w:rsid w:val="00A4013E"/>
    <w:rsid w:val="00A4045F"/>
    <w:rsid w:val="00A427CD"/>
    <w:rsid w:val="00A4600B"/>
    <w:rsid w:val="00A50506"/>
    <w:rsid w:val="00A51EF0"/>
    <w:rsid w:val="00A67A81"/>
    <w:rsid w:val="00A730A6"/>
    <w:rsid w:val="00A84C94"/>
    <w:rsid w:val="00A87144"/>
    <w:rsid w:val="00A971A0"/>
    <w:rsid w:val="00AA1F22"/>
    <w:rsid w:val="00AA203F"/>
    <w:rsid w:val="00AB0B51"/>
    <w:rsid w:val="00AB7B0F"/>
    <w:rsid w:val="00AC1950"/>
    <w:rsid w:val="00AC6FE4"/>
    <w:rsid w:val="00AE38E1"/>
    <w:rsid w:val="00B05821"/>
    <w:rsid w:val="00B26C28"/>
    <w:rsid w:val="00B31461"/>
    <w:rsid w:val="00B4174C"/>
    <w:rsid w:val="00B453F5"/>
    <w:rsid w:val="00B52517"/>
    <w:rsid w:val="00B56FD7"/>
    <w:rsid w:val="00B57342"/>
    <w:rsid w:val="00B61624"/>
    <w:rsid w:val="00B718A5"/>
    <w:rsid w:val="00B8261A"/>
    <w:rsid w:val="00BC1FAE"/>
    <w:rsid w:val="00BC62E2"/>
    <w:rsid w:val="00BE36F8"/>
    <w:rsid w:val="00BF0E60"/>
    <w:rsid w:val="00C01673"/>
    <w:rsid w:val="00C22C5F"/>
    <w:rsid w:val="00C37FDD"/>
    <w:rsid w:val="00C4038E"/>
    <w:rsid w:val="00C42125"/>
    <w:rsid w:val="00C62814"/>
    <w:rsid w:val="00C74937"/>
    <w:rsid w:val="00CA214D"/>
    <w:rsid w:val="00CB381C"/>
    <w:rsid w:val="00CF34A7"/>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4D43"/>
    <w:rsid w:val="00E353EC"/>
    <w:rsid w:val="00E53C24"/>
    <w:rsid w:val="00E55967"/>
    <w:rsid w:val="00E625BC"/>
    <w:rsid w:val="00E77FD6"/>
    <w:rsid w:val="00EB444A"/>
    <w:rsid w:val="00EB444D"/>
    <w:rsid w:val="00ED369D"/>
    <w:rsid w:val="00F02294"/>
    <w:rsid w:val="00F02937"/>
    <w:rsid w:val="00F25254"/>
    <w:rsid w:val="00F30BF0"/>
    <w:rsid w:val="00F3364A"/>
    <w:rsid w:val="00F35F57"/>
    <w:rsid w:val="00F403F5"/>
    <w:rsid w:val="00F50467"/>
    <w:rsid w:val="00F562A0"/>
    <w:rsid w:val="00F8791A"/>
    <w:rsid w:val="00FA2177"/>
    <w:rsid w:val="00FA2E6D"/>
    <w:rsid w:val="00FB0A28"/>
    <w:rsid w:val="00FB3E3F"/>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39D436-DE50-42E6-A6FE-41882EC6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ppendixNoTitle0">
    <w:name w:val="Appendix_NoTitle"/>
    <w:basedOn w:val="Normal"/>
    <w:next w:val="Normalaftertitle"/>
    <w:rsid w:val="0083330D"/>
    <w:pPr>
      <w:keepNext/>
      <w:keepLines/>
      <w:tabs>
        <w:tab w:val="left" w:pos="794"/>
        <w:tab w:val="left" w:pos="1191"/>
        <w:tab w:val="left" w:pos="1588"/>
        <w:tab w:val="left" w:pos="1985"/>
      </w:tabs>
      <w:overflowPunct w:val="0"/>
      <w:autoSpaceDE w:val="0"/>
      <w:autoSpaceDN w:val="0"/>
      <w:adjustRightInd w:val="0"/>
      <w:spacing w:before="720"/>
      <w:jc w:val="center"/>
      <w:textAlignment w:val="baseline"/>
      <w:outlineLvl w:val="0"/>
    </w:pPr>
    <w:rPr>
      <w:rFonts w:eastAsia="Times New Roman"/>
      <w:b/>
      <w:sz w:val="28"/>
      <w:szCs w:val="20"/>
      <w:lang w:eastAsia="en-US"/>
    </w:rPr>
  </w:style>
  <w:style w:type="paragraph" w:customStyle="1" w:styleId="Normalaftertitle">
    <w:name w:val="Normal_after_title"/>
    <w:basedOn w:val="Normal"/>
    <w:next w:val="Normal"/>
    <w:rsid w:val="0083330D"/>
    <w:pPr>
      <w:tabs>
        <w:tab w:val="left" w:pos="794"/>
        <w:tab w:val="left" w:pos="1191"/>
        <w:tab w:val="left" w:pos="1588"/>
        <w:tab w:val="left" w:pos="1985"/>
      </w:tabs>
      <w:overflowPunct w:val="0"/>
      <w:autoSpaceDE w:val="0"/>
      <w:autoSpaceDN w:val="0"/>
      <w:adjustRightInd w:val="0"/>
      <w:spacing w:before="360"/>
      <w:jc w:val="both"/>
      <w:textAlignment w:val="baseline"/>
    </w:pPr>
    <w:rPr>
      <w:rFonts w:eastAsia="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ejpal.singh70@gov.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1753EE-1043-4484-8EF1-0B35E6D35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808</Words>
  <Characters>4606</Characters>
  <Application>Microsoft Office Word</Application>
  <DocSecurity>0</DocSecurity>
  <Lines>38</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DDP template for SG02 (2022-2024 study period)</vt:lpstr>
      <vt:lpstr>DDP template for SG02 (2022-2024 study period)</vt:lpstr>
    </vt:vector>
  </TitlesOfParts>
  <Manager>ITU-T</Manager>
  <Company>International Telecommunication Union (ITU)</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creator>TSB (2022-03-15);Tejpal Singh</dc:creator>
  <dc:description>DDP-SG02.docx  For: _x000d_Document date: _x000d_Saved by ITU51014895 at 16:14:57 on 15/03/2022</dc:description>
  <cp:lastModifiedBy>tec</cp:lastModifiedBy>
  <cp:revision>18</cp:revision>
  <cp:lastPrinted>2023-02-01T03:43:00Z</cp:lastPrinted>
  <dcterms:created xsi:type="dcterms:W3CDTF">2023-01-15T10:07:00Z</dcterms:created>
  <dcterms:modified xsi:type="dcterms:W3CDTF">2023-02-01T03:43:00Z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