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0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tblHeader w:val="true"/>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Scrubbed PNG/output; Clone only via a safe official Make scenario link. Raw blueprint stays private</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the automatic one-time course-policy grant at V1 receipt, monthly cap, latest-eligible grading, and 10-day expiry.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receipt</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System automatically grants one immutable V2; instructor does not open it manually.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The V2 grant is automatic, one-time course policy at V1 receipt; it is not instructor discretion. It expires 10 calendar days after the section V1 deadline. The instructor may extend the existing deadline or return a version for repair only through the documented exception/correction route; never create V3 or a second V2 grant. For a verified outage, use V1 +24 hours after service recovery. For a verified monthly cap, V1 is due 24 hours after the first accessible build day following the displayed reset; if no grant appears, extend through the first observed post-reset grant. V2 then expires 10 calendar days after that personal V1 deadline.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+10 days from exception V1.</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+10 days.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receipt triggered the automatic one-time V2 grant and its deadline is correct; instructor action is limited to documented extension or repair.</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a team may nominate, but the instructor alone selects exactly one existing finalised individual submission version. Do not combine submissions into an integrated package or give the team selection authority. Usefulness/execution and verified sign-off may then be team-level;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Existing submission version finalised + privacy cleared + PNG/output; official Make public-scenario link safe or withheld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alone selects one version; expose Clone only for the approved Make link. Raw blueprint remains private.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 on the selected version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Allow a team to nominate, then require the instructor alone to select exactly one existing finalised submission version for the company-facing component. Do not assemble an integrated package or treat nomination as authority.</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raw blueprint,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 The blueprint remains roster-gated private evidence even after scrubbing.</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instructor feature selection; teams may nominate only. Withhold dynamic links after any post-review save until re-reviewed.</w:t>
      </w:r>
    </w:p>
    <w:p>
      <w:pPr>
        <w:pStyle w:val="MUChecklist"/>
        <w:numPr>
          <w:ilvl w:val="0"/>
          <w:numId w:val="11"/>
        </w:numPr>
      </w:pPr>
      <w:r>
        <w:t>Select exactly one existing finalised individual submission version; do not merge an integrated package or delegate selection authority to the team.</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and every blueprint roster-gated; public artifacts contain only the scrubbed PNG, redacted sample output, and an approved official Make public-scenario link when safe.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950"/>
        <w:gridCol w:w="2100"/>
        <w:gridCol w:w="1900"/>
        <w:gridCol w:w="4410"/>
      </w:tblGrid>
      <w:tr>
        <w:trPr>
          <w:tblHeader w:val="true"/>
          <w:cantSplit/>
        </w:trPr>
        <w:tc>
          <w:tcPr>
            <w:tcW w:type="dxa" w:w="9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19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4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 runbook rehearsal pending</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rPr>
          <w:cantSplit/>
        </w:trPr>
        <w:tc>
          <w:tcPr>
            <w:tcW w:type="dxa" w:w="9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 loaded, deployed, piloted, or rehearsed; rubric uncalibrated; fallback Build path awaits T-7 golden run</w:t>
            </w:r>
          </w:p>
        </w:tc>
        <w:tc>
          <w:tcPr>
            <w:tcW w:type="dxa" w:w="19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4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 MEDIAN, and 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