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B6EC" w14:textId="6808832A" w:rsidR="00B23B7A" w:rsidRPr="00AB3005" w:rsidRDefault="00A2703A">
      <w:pPr>
        <w:rPr>
          <w:b/>
          <w:bCs/>
          <w:sz w:val="24"/>
          <w:szCs w:val="24"/>
        </w:rPr>
      </w:pPr>
      <w:r w:rsidRPr="00AB3005">
        <w:rPr>
          <w:b/>
          <w:bCs/>
          <w:sz w:val="24"/>
          <w:szCs w:val="24"/>
        </w:rPr>
        <w:t xml:space="preserve">Scenarios </w:t>
      </w:r>
      <w:r w:rsidR="00D90645" w:rsidRPr="00AB3005">
        <w:rPr>
          <w:b/>
          <w:bCs/>
          <w:sz w:val="24"/>
          <w:szCs w:val="24"/>
        </w:rPr>
        <w:t xml:space="preserve">specific to Industry </w:t>
      </w:r>
      <w:r w:rsidRPr="00AB3005">
        <w:rPr>
          <w:b/>
          <w:bCs/>
          <w:sz w:val="24"/>
          <w:szCs w:val="24"/>
        </w:rPr>
        <w:t>sector</w:t>
      </w:r>
    </w:p>
    <w:p w14:paraId="4FB17D5A" w14:textId="04101FE7" w:rsidR="00D90645" w:rsidRDefault="0091041B" w:rsidP="00D90645">
      <w:r>
        <w:t xml:space="preserve">We have </w:t>
      </w:r>
      <w:r w:rsidR="00D90645">
        <w:t>one</w:t>
      </w:r>
      <w:r>
        <w:t xml:space="preserve"> scenario</w:t>
      </w:r>
      <w:r w:rsidR="00D90645">
        <w:t xml:space="preserve"> (STEEL_NSP) </w:t>
      </w:r>
      <w:r w:rsidR="00D9597A">
        <w:t xml:space="preserve">specific to the Steel Industry </w:t>
      </w:r>
      <w:r w:rsidR="00D90645">
        <w:t>and one calibration run</w:t>
      </w:r>
      <w:r>
        <w:t xml:space="preserve"> </w:t>
      </w:r>
      <w:r w:rsidR="00A17D93">
        <w:t>for the bottom</w:t>
      </w:r>
      <w:r w:rsidR="00F97EDB">
        <w:t>-</w:t>
      </w:r>
      <w:r w:rsidR="00A17D93">
        <w:t xml:space="preserve">up Industry sector </w:t>
      </w:r>
      <w:r>
        <w:t>as described below –</w:t>
      </w:r>
    </w:p>
    <w:p w14:paraId="3859BD16" w14:textId="3F678AC3" w:rsidR="00934629" w:rsidRPr="00AB3005" w:rsidRDefault="00934629" w:rsidP="00D90645">
      <w:pPr>
        <w:rPr>
          <w:b/>
          <w:bCs/>
        </w:rPr>
      </w:pPr>
      <w:r w:rsidRPr="00AB3005">
        <w:rPr>
          <w:b/>
          <w:bCs/>
        </w:rPr>
        <w:t>STEEL_NSP Scenario –</w:t>
      </w:r>
    </w:p>
    <w:p w14:paraId="47B0B9A1" w14:textId="45B18F9F" w:rsidR="00934629" w:rsidRDefault="00934629" w:rsidP="00D90645">
      <w:r>
        <w:t xml:space="preserve">This is a scenario specific to Steel industry which is based on the targets that have been set in the National Steel Policy 2017 (NSP) by the Ministry of Steel. </w:t>
      </w:r>
      <w:r w:rsidR="00DD3238">
        <w:t xml:space="preserve">Salient features of the policy are - </w:t>
      </w:r>
    </w:p>
    <w:p w14:paraId="22179843" w14:textId="1F03E092" w:rsidR="00934629" w:rsidRDefault="00DD3238" w:rsidP="00DD3238">
      <w:pPr>
        <w:pStyle w:val="ListParagraph"/>
        <w:numPr>
          <w:ilvl w:val="0"/>
          <w:numId w:val="4"/>
        </w:numPr>
      </w:pPr>
      <w:r>
        <w:t xml:space="preserve">Target of achieving crude steel capacity of 300 MT by 2030 with a capacity utilization factor of 85%. Based on these, the production target for FY31 in this run is 255 MT. </w:t>
      </w:r>
    </w:p>
    <w:p w14:paraId="59D81EC6" w14:textId="50540F84" w:rsidR="00DD3238" w:rsidRDefault="00DD3238" w:rsidP="00DD3238">
      <w:pPr>
        <w:pStyle w:val="ListParagraph"/>
        <w:numPr>
          <w:ilvl w:val="0"/>
          <w:numId w:val="4"/>
        </w:numPr>
      </w:pPr>
      <w:r>
        <w:t>Share of the Blast furnace</w:t>
      </w:r>
      <w:r w:rsidR="00AB3005">
        <w:t xml:space="preserve"> </w:t>
      </w:r>
      <w:r>
        <w:t>-</w:t>
      </w:r>
      <w:r w:rsidR="00AB3005">
        <w:t xml:space="preserve"> </w:t>
      </w:r>
      <w:r>
        <w:t>Basic oxygen furnace (BF-BOF) route to be increased to 60-65% of total production. For this run</w:t>
      </w:r>
      <w:r w:rsidR="00AB3005">
        <w:t>,</w:t>
      </w:r>
      <w:r>
        <w:t xml:space="preserve"> the BOF share is assumed </w:t>
      </w:r>
      <w:r w:rsidR="00AB3005">
        <w:t xml:space="preserve">as </w:t>
      </w:r>
      <w:r>
        <w:t>60%.</w:t>
      </w:r>
    </w:p>
    <w:p w14:paraId="20F2D66D" w14:textId="5BED1B1C" w:rsidR="00A17D93" w:rsidRDefault="00A17D93" w:rsidP="00A17D93">
      <w:pPr>
        <w:pStyle w:val="ListParagraph"/>
        <w:numPr>
          <w:ilvl w:val="0"/>
          <w:numId w:val="4"/>
        </w:numPr>
      </w:pPr>
      <w:r>
        <w:t xml:space="preserve">Balance production 35- 40% is from the other routes viz. </w:t>
      </w:r>
      <w:r w:rsidR="00F97EDB">
        <w:t>EAF (Electric Arc furnace)</w:t>
      </w:r>
      <w:r>
        <w:t xml:space="preserve"> &amp; IF </w:t>
      </w:r>
      <w:r w:rsidR="00F97EDB">
        <w:t xml:space="preserve">(Induction furnace) </w:t>
      </w:r>
      <w:r>
        <w:t>based.</w:t>
      </w:r>
    </w:p>
    <w:p w14:paraId="0CBB1B14" w14:textId="6D869D6D" w:rsidR="00EF74AF" w:rsidRDefault="00EF74AF" w:rsidP="00DD3238">
      <w:pPr>
        <w:pStyle w:val="ListParagraph"/>
        <w:numPr>
          <w:ilvl w:val="0"/>
          <w:numId w:val="4"/>
        </w:numPr>
      </w:pPr>
      <w:r>
        <w:t>The capacity target for 2047 is 500 MT</w:t>
      </w:r>
      <w:r w:rsidR="00A17D93">
        <w:t>. F</w:t>
      </w:r>
      <w:r>
        <w:t xml:space="preserve">or NSP run, the target for 2041 is suitably interpolated and it is assumed that BOF share stays around 58-60%. </w:t>
      </w:r>
    </w:p>
    <w:p w14:paraId="6A06B629" w14:textId="3359F47D" w:rsidR="00DD3238" w:rsidRDefault="00DD3238" w:rsidP="00DD3238">
      <w:pPr>
        <w:pStyle w:val="ListParagraph"/>
        <w:numPr>
          <w:ilvl w:val="0"/>
          <w:numId w:val="4"/>
        </w:numPr>
      </w:pPr>
      <w:r>
        <w:t xml:space="preserve">Per capita steel consumption to reach 158 kg from current levels of ~ 70 kg. </w:t>
      </w:r>
    </w:p>
    <w:p w14:paraId="408C4594" w14:textId="6B7983F7" w:rsidR="001067D4" w:rsidRDefault="001067D4" w:rsidP="00DD3238">
      <w:pPr>
        <w:pStyle w:val="ListParagraph"/>
        <w:numPr>
          <w:ilvl w:val="0"/>
          <w:numId w:val="4"/>
        </w:numPr>
      </w:pPr>
      <w:r>
        <w:t xml:space="preserve">Targets for techno-economic performance (including SEC) are as given in table below – </w:t>
      </w:r>
    </w:p>
    <w:p w14:paraId="32A896E4" w14:textId="77777777" w:rsidR="001067D4" w:rsidRDefault="001067D4" w:rsidP="001067D4">
      <w:pPr>
        <w:pStyle w:val="ListParagraph"/>
      </w:pPr>
    </w:p>
    <w:p w14:paraId="43577A1D" w14:textId="6020ED1D" w:rsidR="001067D4" w:rsidRDefault="00AB3005" w:rsidP="001067D4">
      <w:pPr>
        <w:pStyle w:val="ListParagraph"/>
      </w:pPr>
      <w:r>
        <w:rPr>
          <w:noProof/>
        </w:rPr>
        <w:drawing>
          <wp:inline distT="0" distB="0" distL="0" distR="0" wp14:anchorId="65193FC3" wp14:editId="1EF42AF4">
            <wp:extent cx="4820458" cy="1241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47" cy="125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54886" w14:textId="77777777" w:rsidR="00F97EDB" w:rsidRDefault="00F97EDB" w:rsidP="001067D4">
      <w:pPr>
        <w:pStyle w:val="ListParagraph"/>
      </w:pPr>
    </w:p>
    <w:p w14:paraId="1190D2AA" w14:textId="5401B245" w:rsidR="00F97EDB" w:rsidRDefault="00F97EDB" w:rsidP="001067D4">
      <w:pPr>
        <w:pStyle w:val="ListParagraph"/>
      </w:pPr>
      <w:r>
        <w:t xml:space="preserve">Further, it is assumed that - </w:t>
      </w:r>
    </w:p>
    <w:p w14:paraId="42D46993" w14:textId="0164C890" w:rsidR="00F97EDB" w:rsidRDefault="00F97EDB" w:rsidP="00F97EDB">
      <w:pPr>
        <w:pStyle w:val="ListParagraph"/>
        <w:numPr>
          <w:ilvl w:val="0"/>
          <w:numId w:val="4"/>
        </w:numPr>
      </w:pPr>
      <w:r>
        <w:t xml:space="preserve">SEC improvement rate is to be faster </w:t>
      </w:r>
      <w:r w:rsidRPr="00D8614E">
        <w:t>and SEC achieves current best available technology levels</w:t>
      </w:r>
      <w:r>
        <w:t xml:space="preserve"> </w:t>
      </w:r>
      <w:r>
        <w:t xml:space="preserve">in 2041 </w:t>
      </w:r>
      <w:r>
        <w:t>(same as Vikasit Bharat scenario)</w:t>
      </w:r>
    </w:p>
    <w:p w14:paraId="69E30DA8" w14:textId="77777777" w:rsidR="00F97EDB" w:rsidRDefault="00F97EDB" w:rsidP="00F97EDB">
      <w:pPr>
        <w:pStyle w:val="ListParagraph"/>
        <w:numPr>
          <w:ilvl w:val="0"/>
          <w:numId w:val="4"/>
        </w:numPr>
      </w:pPr>
      <w:r>
        <w:t>U</w:t>
      </w:r>
      <w:r w:rsidRPr="00D8614E">
        <w:t xml:space="preserve">ptake for decarbonising levers like green hydrogen </w:t>
      </w:r>
      <w:r>
        <w:t xml:space="preserve">based DRI-EAF route </w:t>
      </w:r>
      <w:r w:rsidRPr="00D8614E">
        <w:t>and CCUS</w:t>
      </w:r>
      <w:r>
        <w:t xml:space="preserve"> are slower and same as Reference scenario.</w:t>
      </w:r>
    </w:p>
    <w:p w14:paraId="38874134" w14:textId="6A7EEF64" w:rsidR="00D9597A" w:rsidRDefault="00D9597A" w:rsidP="00D9597A">
      <w:pPr>
        <w:ind w:left="360"/>
      </w:pPr>
    </w:p>
    <w:p w14:paraId="1F1DF0C0" w14:textId="323A774E" w:rsidR="000B3BCB" w:rsidRPr="00AB3005" w:rsidRDefault="000B3BCB" w:rsidP="000B3BCB">
      <w:pPr>
        <w:rPr>
          <w:b/>
          <w:bCs/>
        </w:rPr>
      </w:pPr>
      <w:r w:rsidRPr="00AB3005">
        <w:rPr>
          <w:b/>
          <w:bCs/>
        </w:rPr>
        <w:t>BU_IND_Calibration –</w:t>
      </w:r>
    </w:p>
    <w:p w14:paraId="3E4C830C" w14:textId="4DD93E22" w:rsidR="00D9597A" w:rsidRDefault="00D9597A" w:rsidP="00D9597A">
      <w:r>
        <w:t>The calibration run is carried out for the three bottom-up industry sectors</w:t>
      </w:r>
      <w:r w:rsidR="000B3BCB">
        <w:t xml:space="preserve"> (Steel, Cement &amp; Aluminium) </w:t>
      </w:r>
      <w:r>
        <w:t xml:space="preserve">with model period starting from 2022 to obtain the demand figures for all energy carriers and calibrate them with actual consumption figures for 2022 / 2023 for those carriers whose data is available. </w:t>
      </w:r>
    </w:p>
    <w:p w14:paraId="22B2BEC0" w14:textId="77777777" w:rsidR="00D9597A" w:rsidRDefault="00D9597A" w:rsidP="00D9597A">
      <w:pPr>
        <w:ind w:left="360"/>
      </w:pPr>
    </w:p>
    <w:p w14:paraId="51EB87C6" w14:textId="77777777" w:rsidR="00DD3238" w:rsidRDefault="00DD3238" w:rsidP="00D90645"/>
    <w:p w14:paraId="17A8A9CC" w14:textId="77777777" w:rsidR="00934629" w:rsidRDefault="00934629" w:rsidP="00D90645"/>
    <w:p w14:paraId="1D7CA06B" w14:textId="34732140" w:rsidR="008B7F0A" w:rsidRDefault="008B7F0A" w:rsidP="008B7F0A"/>
    <w:p w14:paraId="4F753EFA" w14:textId="6ABD3679" w:rsidR="00435209" w:rsidRDefault="00435209" w:rsidP="00435209"/>
    <w:sectPr w:rsidR="0043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5C1B"/>
    <w:multiLevelType w:val="hybridMultilevel"/>
    <w:tmpl w:val="7D5A5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F2996"/>
    <w:multiLevelType w:val="hybridMultilevel"/>
    <w:tmpl w:val="3994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3131"/>
    <w:multiLevelType w:val="hybridMultilevel"/>
    <w:tmpl w:val="A392C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77151"/>
    <w:multiLevelType w:val="hybridMultilevel"/>
    <w:tmpl w:val="F36CF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60"/>
    <w:rsid w:val="00045E73"/>
    <w:rsid w:val="00046D7D"/>
    <w:rsid w:val="0008179B"/>
    <w:rsid w:val="000B3BCB"/>
    <w:rsid w:val="001067D4"/>
    <w:rsid w:val="00116A7B"/>
    <w:rsid w:val="001B2788"/>
    <w:rsid w:val="001B5E5C"/>
    <w:rsid w:val="002662F2"/>
    <w:rsid w:val="00280778"/>
    <w:rsid w:val="002E3423"/>
    <w:rsid w:val="00316A30"/>
    <w:rsid w:val="003246C5"/>
    <w:rsid w:val="00333BE0"/>
    <w:rsid w:val="0034076E"/>
    <w:rsid w:val="00353360"/>
    <w:rsid w:val="00383990"/>
    <w:rsid w:val="00392737"/>
    <w:rsid w:val="00423EC1"/>
    <w:rsid w:val="00435209"/>
    <w:rsid w:val="004C5DA4"/>
    <w:rsid w:val="004E278B"/>
    <w:rsid w:val="004F5C43"/>
    <w:rsid w:val="00525E58"/>
    <w:rsid w:val="00541412"/>
    <w:rsid w:val="005D153E"/>
    <w:rsid w:val="00623F8C"/>
    <w:rsid w:val="00630E5F"/>
    <w:rsid w:val="006D5520"/>
    <w:rsid w:val="007C1129"/>
    <w:rsid w:val="008069B0"/>
    <w:rsid w:val="0083300C"/>
    <w:rsid w:val="008726B4"/>
    <w:rsid w:val="008847C7"/>
    <w:rsid w:val="008B7F0A"/>
    <w:rsid w:val="0091041B"/>
    <w:rsid w:val="00934629"/>
    <w:rsid w:val="00965BA9"/>
    <w:rsid w:val="009E45FB"/>
    <w:rsid w:val="00A17D93"/>
    <w:rsid w:val="00A202AD"/>
    <w:rsid w:val="00A250D0"/>
    <w:rsid w:val="00A2703A"/>
    <w:rsid w:val="00A56A99"/>
    <w:rsid w:val="00A66806"/>
    <w:rsid w:val="00AB3005"/>
    <w:rsid w:val="00AC2C2F"/>
    <w:rsid w:val="00AC4EE5"/>
    <w:rsid w:val="00B23B7A"/>
    <w:rsid w:val="00B81A1A"/>
    <w:rsid w:val="00C02A4E"/>
    <w:rsid w:val="00C2231A"/>
    <w:rsid w:val="00C30165"/>
    <w:rsid w:val="00C93748"/>
    <w:rsid w:val="00CC6130"/>
    <w:rsid w:val="00D83E80"/>
    <w:rsid w:val="00D8614E"/>
    <w:rsid w:val="00D90645"/>
    <w:rsid w:val="00D9597A"/>
    <w:rsid w:val="00DD3238"/>
    <w:rsid w:val="00DF4AC1"/>
    <w:rsid w:val="00E123E0"/>
    <w:rsid w:val="00E36892"/>
    <w:rsid w:val="00E430EF"/>
    <w:rsid w:val="00E635D5"/>
    <w:rsid w:val="00EA37D4"/>
    <w:rsid w:val="00ED532B"/>
    <w:rsid w:val="00EF3C19"/>
    <w:rsid w:val="00EF74AF"/>
    <w:rsid w:val="00F07563"/>
    <w:rsid w:val="00F97EA7"/>
    <w:rsid w:val="00F97EDB"/>
    <w:rsid w:val="00FA3E1A"/>
    <w:rsid w:val="00FE173B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F100"/>
  <w15:chartTrackingRefBased/>
  <w15:docId w15:val="{C97CD6F0-2E9C-46C8-A7EF-796F5657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3A"/>
    <w:pPr>
      <w:ind w:left="720"/>
      <w:contextualSpacing/>
    </w:pPr>
  </w:style>
  <w:style w:type="table" w:styleId="TableGrid">
    <w:name w:val="Table Grid"/>
    <w:basedOn w:val="TableNormal"/>
    <w:uiPriority w:val="39"/>
    <w:rsid w:val="004F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Sreenivas</dc:creator>
  <cp:keywords/>
  <dc:description/>
  <cp:lastModifiedBy>Anirudha</cp:lastModifiedBy>
  <cp:revision>8</cp:revision>
  <dcterms:created xsi:type="dcterms:W3CDTF">2024-09-11T09:56:00Z</dcterms:created>
  <dcterms:modified xsi:type="dcterms:W3CDTF">2024-09-18T10:25:00Z</dcterms:modified>
</cp:coreProperties>
</file>