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890B2" w14:textId="7D94AFB4" w:rsidR="00E16DAA" w:rsidRDefault="00285F93">
      <w:r>
        <w:rPr>
          <w:b/>
          <w:bCs/>
        </w:rPr>
        <w:t>Desired</w:t>
      </w:r>
      <w:r w:rsidR="00FE72E4">
        <w:rPr>
          <w:b/>
          <w:bCs/>
        </w:rPr>
        <w:t xml:space="preserve"> Efficiency </w:t>
      </w:r>
      <w:r w:rsidR="0038663C">
        <w:rPr>
          <w:b/>
          <w:bCs/>
        </w:rPr>
        <w:t xml:space="preserve">Trend </w:t>
      </w:r>
      <w:r w:rsidR="00FE72E4">
        <w:rPr>
          <w:b/>
          <w:bCs/>
        </w:rPr>
        <w:t>scenario d</w:t>
      </w:r>
      <w:r w:rsidR="00B85255">
        <w:rPr>
          <w:b/>
          <w:bCs/>
        </w:rPr>
        <w:t>escription</w:t>
      </w:r>
      <w:r w:rsidR="00E16DAA">
        <w:rPr>
          <w:b/>
          <w:bCs/>
        </w:rPr>
        <w:t>:</w:t>
      </w:r>
    </w:p>
    <w:p w14:paraId="5117C4DF" w14:textId="3C0D06E5" w:rsidR="00B85255" w:rsidRDefault="00B85255" w:rsidP="00497C18">
      <w:r>
        <w:t xml:space="preserve">This scenario represents one in which the future is as modelled in the ‘default’ case - </w:t>
      </w:r>
      <w:proofErr w:type="gramStart"/>
      <w:r>
        <w:t>i.e.</w:t>
      </w:r>
      <w:proofErr w:type="gramEnd"/>
      <w:r>
        <w:t xml:space="preserve"> all inputs are as in the </w:t>
      </w:r>
      <w:r w:rsidRPr="00285F93">
        <w:t xml:space="preserve">‘Default </w:t>
      </w:r>
      <w:r w:rsidR="0038663C" w:rsidRPr="00285F93">
        <w:t>Data</w:t>
      </w:r>
      <w:r w:rsidRPr="00285F93">
        <w:t>’</w:t>
      </w:r>
      <w:r>
        <w:t xml:space="preserve"> folder</w:t>
      </w:r>
      <w:r w:rsidR="00285F93">
        <w:t xml:space="preserve">, except for </w:t>
      </w:r>
      <w:r>
        <w:t>specific energy consumption (SEC)</w:t>
      </w:r>
      <w:r w:rsidR="00285F93">
        <w:t xml:space="preserve">. </w:t>
      </w:r>
      <w:r w:rsidR="006B4E21">
        <w:t xml:space="preserve">For SEC, this scenario </w:t>
      </w:r>
      <w:r w:rsidR="00A34B5F">
        <w:t>represents a desired trajectory of efficiency improvement</w:t>
      </w:r>
      <w:r w:rsidR="004402B3">
        <w:t xml:space="preserve"> which is a bit more aggressive than the </w:t>
      </w:r>
      <w:r w:rsidR="00735754">
        <w:t>default case</w:t>
      </w:r>
      <w:r w:rsidR="00A34B5F">
        <w:t xml:space="preserve">. </w:t>
      </w:r>
      <w:r w:rsidR="00285F93">
        <w:t>Th</w:t>
      </w:r>
      <w:r w:rsidR="006B4E21">
        <w:t xml:space="preserve">is is </w:t>
      </w:r>
      <w:r w:rsidR="009160F7">
        <w:t xml:space="preserve">modelled </w:t>
      </w:r>
      <w:r>
        <w:t xml:space="preserve">as follows: </w:t>
      </w:r>
    </w:p>
    <w:p w14:paraId="7994EB20" w14:textId="645F074F" w:rsidR="00B64336" w:rsidRDefault="00B85255" w:rsidP="00B85255">
      <w:pPr>
        <w:pStyle w:val="ListParagraph"/>
        <w:numPr>
          <w:ilvl w:val="0"/>
          <w:numId w:val="9"/>
        </w:numPr>
      </w:pPr>
      <w:r>
        <w:t>These notifications are expected to be updated roughly every four years</w:t>
      </w:r>
      <w:r w:rsidR="00B64336">
        <w:t xml:space="preserve"> for all appliances (including fans – unlike in the </w:t>
      </w:r>
      <w:r w:rsidR="00735754">
        <w:t>default case</w:t>
      </w:r>
      <w:r w:rsidR="00B64336">
        <w:t xml:space="preserve">). </w:t>
      </w:r>
    </w:p>
    <w:p w14:paraId="00610CD8" w14:textId="6A44939C" w:rsidR="00B85255" w:rsidRDefault="009160F7" w:rsidP="00B85255">
      <w:pPr>
        <w:pStyle w:val="ListParagraph"/>
        <w:numPr>
          <w:ilvl w:val="0"/>
          <w:numId w:val="9"/>
        </w:numPr>
      </w:pPr>
      <w:r>
        <w:t>T</w:t>
      </w:r>
      <w:r w:rsidR="00CA253F">
        <w:t xml:space="preserve">he ‘market efficiency’ – </w:t>
      </w:r>
      <w:proofErr w:type="gramStart"/>
      <w:r w:rsidR="00CA253F">
        <w:t>i.e.</w:t>
      </w:r>
      <w:proofErr w:type="gramEnd"/>
      <w:r w:rsidR="00CA253F">
        <w:t xml:space="preserve"> the efficiency actually experienced in appliance usage – is assumed to be 80% of the notified efficiency. </w:t>
      </w:r>
      <w:r w:rsidR="00B64336">
        <w:t xml:space="preserve">For fans, it is assumed to be </w:t>
      </w:r>
      <w:r w:rsidR="009637CC">
        <w:t xml:space="preserve">90% of </w:t>
      </w:r>
      <w:r w:rsidR="00B64336">
        <w:t>the notified efficiency</w:t>
      </w:r>
      <w:r w:rsidR="006B4E21">
        <w:t xml:space="preserve">. </w:t>
      </w:r>
    </w:p>
    <w:p w14:paraId="209D4A27" w14:textId="4977F4B8" w:rsidR="00CB7231" w:rsidRDefault="00CB7231" w:rsidP="00CB7231">
      <w:pPr>
        <w:pStyle w:val="ListParagraph"/>
        <w:numPr>
          <w:ilvl w:val="0"/>
          <w:numId w:val="9"/>
        </w:numPr>
      </w:pPr>
      <w:r>
        <w:t xml:space="preserve">Consumers migrate gradually </w:t>
      </w:r>
      <w:r w:rsidR="009160F7">
        <w:t xml:space="preserve">over time </w:t>
      </w:r>
      <w:r w:rsidR="006B4E21">
        <w:t xml:space="preserve">– but </w:t>
      </w:r>
      <w:r w:rsidR="009160F7">
        <w:t xml:space="preserve">a little </w:t>
      </w:r>
      <w:r w:rsidR="006B4E21">
        <w:t xml:space="preserve">faster than </w:t>
      </w:r>
      <w:r w:rsidR="009160F7">
        <w:t xml:space="preserve">in the </w:t>
      </w:r>
      <w:r w:rsidR="00735754">
        <w:t xml:space="preserve">default case </w:t>
      </w:r>
      <w:r w:rsidR="006B4E21">
        <w:t>–</w:t>
      </w:r>
      <w:r w:rsidR="009160F7">
        <w:t xml:space="preserve"> </w:t>
      </w:r>
      <w:r>
        <w:t xml:space="preserve">to higher-star rated appliances. The share of consumers purchasing the least efficient of the 3 levels reduces </w:t>
      </w:r>
      <w:r w:rsidR="00D1022F">
        <w:t xml:space="preserve">by 5% each year </w:t>
      </w:r>
      <w:r>
        <w:t>and the share of those purchasing the most efficient of the 3 levels increases over time</w:t>
      </w:r>
      <w:r w:rsidR="00D1022F">
        <w:t xml:space="preserve"> to compensate</w:t>
      </w:r>
      <w:r>
        <w:t>.</w:t>
      </w:r>
      <w:r w:rsidR="007E5BCD">
        <w:t xml:space="preserve"> This affects the </w:t>
      </w:r>
      <w:proofErr w:type="spellStart"/>
      <w:r w:rsidR="007E5BCD">
        <w:t>EfficiencySplitRatio</w:t>
      </w:r>
      <w:proofErr w:type="spellEnd"/>
      <w:r w:rsidR="007E5BCD">
        <w:t xml:space="preserve"> parameter. </w:t>
      </w:r>
    </w:p>
    <w:p w14:paraId="269F7A48" w14:textId="4CA0DC0F" w:rsidR="00B85255" w:rsidRDefault="009160F7" w:rsidP="00B85255">
      <w:pPr>
        <w:pStyle w:val="ListParagraph"/>
        <w:numPr>
          <w:ilvl w:val="0"/>
          <w:numId w:val="9"/>
        </w:numPr>
      </w:pPr>
      <w:r>
        <w:t xml:space="preserve">All other aspects of SEC are the same as in the </w:t>
      </w:r>
      <w:r w:rsidR="00735754">
        <w:t>default case</w:t>
      </w:r>
      <w:r>
        <w:t xml:space="preserve">. </w:t>
      </w:r>
    </w:p>
    <w:p w14:paraId="522701B1" w14:textId="4DC732BB" w:rsidR="00E2507B" w:rsidRDefault="00E2507B" w:rsidP="00B85255">
      <w:pPr>
        <w:pStyle w:val="ListParagraph"/>
        <w:numPr>
          <w:ilvl w:val="0"/>
          <w:numId w:val="9"/>
        </w:numPr>
      </w:pPr>
      <w:r>
        <w:t xml:space="preserve">Given greater efficiency and behavioural changes in this scenario, it is assumed that RES_OTHER demand will also grow somewhat slower in this scenario than in the default. </w:t>
      </w:r>
    </w:p>
    <w:p w14:paraId="0FB5ED33" w14:textId="7A1C3C19" w:rsidR="00735754" w:rsidRDefault="00735754" w:rsidP="00B85255">
      <w:pPr>
        <w:pStyle w:val="ListParagraph"/>
        <w:numPr>
          <w:ilvl w:val="0"/>
          <w:numId w:val="9"/>
        </w:numPr>
      </w:pPr>
      <w:r>
        <w:t xml:space="preserve">Note that </w:t>
      </w:r>
      <w:r w:rsidR="00E2507B">
        <w:t xml:space="preserve">all </w:t>
      </w:r>
      <w:r>
        <w:t>the above changes only kick in from FY2025 though the file is modelled to compute SEC from FY2022</w:t>
      </w:r>
      <w:r w:rsidR="00E2507B">
        <w:t xml:space="preserve">. So, </w:t>
      </w:r>
      <w:r w:rsidR="00E2507B">
        <w:t>for FY22-FY24</w:t>
      </w:r>
      <w:r w:rsidR="00E2507B">
        <w:t>,</w:t>
      </w:r>
      <w:r>
        <w:t xml:space="preserve"> SEC </w:t>
      </w:r>
      <w:r w:rsidR="00E2507B">
        <w:t xml:space="preserve">and RES_OTHER are </w:t>
      </w:r>
      <w:r>
        <w:t>identical to the default case</w:t>
      </w:r>
      <w:r w:rsidR="00E2507B">
        <w:t xml:space="preserve">; and the above changes are only relevant </w:t>
      </w:r>
      <w:r>
        <w:t xml:space="preserve">from FY25. </w:t>
      </w:r>
    </w:p>
    <w:p w14:paraId="0A0A4EA1" w14:textId="5B78DAFD" w:rsidR="00CA253F" w:rsidRDefault="00DF51A2" w:rsidP="00CA253F">
      <w:r>
        <w:rPr>
          <w:b/>
          <w:bCs/>
        </w:rPr>
        <w:t xml:space="preserve">Scenario specific </w:t>
      </w:r>
      <w:r w:rsidR="00FA0E07">
        <w:rPr>
          <w:b/>
          <w:bCs/>
        </w:rPr>
        <w:t xml:space="preserve">source </w:t>
      </w:r>
      <w:r>
        <w:rPr>
          <w:b/>
          <w:bCs/>
        </w:rPr>
        <w:t>data files</w:t>
      </w:r>
      <w:r w:rsidR="00CA253F">
        <w:rPr>
          <w:b/>
          <w:bCs/>
        </w:rPr>
        <w:t>:</w:t>
      </w:r>
    </w:p>
    <w:p w14:paraId="562AB28B" w14:textId="21576E0E" w:rsidR="00CA253F" w:rsidRDefault="00CA253F" w:rsidP="00CA253F">
      <w:pPr>
        <w:pStyle w:val="ListParagraph"/>
        <w:numPr>
          <w:ilvl w:val="0"/>
          <w:numId w:val="10"/>
        </w:numPr>
      </w:pPr>
      <w:r w:rsidRPr="00CA253F">
        <w:t>Res-ST-SEC.xlsx</w:t>
      </w:r>
    </w:p>
    <w:p w14:paraId="3225CB54" w14:textId="4767BE47" w:rsidR="007E5BCD" w:rsidRDefault="007E5BCD" w:rsidP="00CA253F">
      <w:pPr>
        <w:pStyle w:val="ListParagraph"/>
        <w:numPr>
          <w:ilvl w:val="0"/>
          <w:numId w:val="10"/>
        </w:numPr>
      </w:pPr>
      <w:r w:rsidRPr="007E5BCD">
        <w:t>Res-ST-stock-flow-TSR-ELS.xlsx</w:t>
      </w:r>
    </w:p>
    <w:p w14:paraId="71FB74A5" w14:textId="0B567631" w:rsidR="001300B8" w:rsidRDefault="001300B8" w:rsidP="00CA253F">
      <w:pPr>
        <w:pStyle w:val="ListParagraph"/>
        <w:numPr>
          <w:ilvl w:val="0"/>
          <w:numId w:val="10"/>
        </w:numPr>
      </w:pPr>
      <w:r>
        <w:t>OtherResElecDemand.xlsx</w:t>
      </w:r>
    </w:p>
    <w:p w14:paraId="0F00F904" w14:textId="77777777" w:rsidR="001300B8" w:rsidRDefault="001300B8" w:rsidP="001300B8"/>
    <w:p w14:paraId="421935BF" w14:textId="77777777" w:rsidR="00FA0E07" w:rsidRDefault="00FA0E07" w:rsidP="00FA0E07"/>
    <w:sectPr w:rsidR="00FA0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04A5"/>
    <w:multiLevelType w:val="hybridMultilevel"/>
    <w:tmpl w:val="DEAE6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10A0B"/>
    <w:multiLevelType w:val="hybridMultilevel"/>
    <w:tmpl w:val="0D38A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84FA9"/>
    <w:multiLevelType w:val="hybridMultilevel"/>
    <w:tmpl w:val="83C6C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B2D18"/>
    <w:multiLevelType w:val="hybridMultilevel"/>
    <w:tmpl w:val="4D345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F70FE"/>
    <w:multiLevelType w:val="hybridMultilevel"/>
    <w:tmpl w:val="41221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A6804"/>
    <w:multiLevelType w:val="hybridMultilevel"/>
    <w:tmpl w:val="73DC6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121A7"/>
    <w:multiLevelType w:val="hybridMultilevel"/>
    <w:tmpl w:val="7E2CB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563A3"/>
    <w:multiLevelType w:val="hybridMultilevel"/>
    <w:tmpl w:val="5B8A2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F76D4"/>
    <w:multiLevelType w:val="hybridMultilevel"/>
    <w:tmpl w:val="092E8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151F6"/>
    <w:multiLevelType w:val="hybridMultilevel"/>
    <w:tmpl w:val="05169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88"/>
    <w:rsid w:val="0000085D"/>
    <w:rsid w:val="000249A9"/>
    <w:rsid w:val="00051B7C"/>
    <w:rsid w:val="000E07A1"/>
    <w:rsid w:val="001240CD"/>
    <w:rsid w:val="001300B8"/>
    <w:rsid w:val="00144EFD"/>
    <w:rsid w:val="00150480"/>
    <w:rsid w:val="0017721E"/>
    <w:rsid w:val="001C2D94"/>
    <w:rsid w:val="001C3F84"/>
    <w:rsid w:val="001D2F71"/>
    <w:rsid w:val="0024125F"/>
    <w:rsid w:val="0025641C"/>
    <w:rsid w:val="00285F93"/>
    <w:rsid w:val="002D52CE"/>
    <w:rsid w:val="00340319"/>
    <w:rsid w:val="0038663C"/>
    <w:rsid w:val="00394668"/>
    <w:rsid w:val="003C32C5"/>
    <w:rsid w:val="003F29F4"/>
    <w:rsid w:val="00434466"/>
    <w:rsid w:val="004402B3"/>
    <w:rsid w:val="004841BF"/>
    <w:rsid w:val="00497C18"/>
    <w:rsid w:val="00540456"/>
    <w:rsid w:val="00570AAA"/>
    <w:rsid w:val="00586779"/>
    <w:rsid w:val="00607F7A"/>
    <w:rsid w:val="006179A4"/>
    <w:rsid w:val="0064442F"/>
    <w:rsid w:val="006B4E21"/>
    <w:rsid w:val="006F5659"/>
    <w:rsid w:val="00716ABE"/>
    <w:rsid w:val="0073243C"/>
    <w:rsid w:val="00735754"/>
    <w:rsid w:val="00754A7F"/>
    <w:rsid w:val="007C531D"/>
    <w:rsid w:val="007E5BCD"/>
    <w:rsid w:val="00827ABD"/>
    <w:rsid w:val="009160F7"/>
    <w:rsid w:val="009637CC"/>
    <w:rsid w:val="00972A6B"/>
    <w:rsid w:val="009938BB"/>
    <w:rsid w:val="009A19F4"/>
    <w:rsid w:val="00A34B5F"/>
    <w:rsid w:val="00A54DB2"/>
    <w:rsid w:val="00B23B7A"/>
    <w:rsid w:val="00B63530"/>
    <w:rsid w:val="00B64336"/>
    <w:rsid w:val="00B85255"/>
    <w:rsid w:val="00BC6C5D"/>
    <w:rsid w:val="00C86CFA"/>
    <w:rsid w:val="00CA253F"/>
    <w:rsid w:val="00CB7231"/>
    <w:rsid w:val="00CF0D6B"/>
    <w:rsid w:val="00D1022F"/>
    <w:rsid w:val="00D921F5"/>
    <w:rsid w:val="00DF51A2"/>
    <w:rsid w:val="00E10688"/>
    <w:rsid w:val="00E1407C"/>
    <w:rsid w:val="00E16DAA"/>
    <w:rsid w:val="00E2507B"/>
    <w:rsid w:val="00EC1FCB"/>
    <w:rsid w:val="00EE408C"/>
    <w:rsid w:val="00F56CA2"/>
    <w:rsid w:val="00FA0E07"/>
    <w:rsid w:val="00FA6D9C"/>
    <w:rsid w:val="00FE72E4"/>
    <w:rsid w:val="00FF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DF49"/>
  <w15:chartTrackingRefBased/>
  <w15:docId w15:val="{C7B64612-6E8B-42C6-A777-93325E9F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42F"/>
    <w:pPr>
      <w:ind w:left="720"/>
      <w:contextualSpacing/>
    </w:pPr>
  </w:style>
  <w:style w:type="table" w:styleId="TableGrid">
    <w:name w:val="Table Grid"/>
    <w:basedOn w:val="TableNormal"/>
    <w:uiPriority w:val="39"/>
    <w:rsid w:val="00E16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72A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2A6B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2A6B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A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A6B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Sreenivas</dc:creator>
  <cp:keywords/>
  <dc:description/>
  <cp:lastModifiedBy>Ashok Sreenivas</cp:lastModifiedBy>
  <cp:revision>21</cp:revision>
  <dcterms:created xsi:type="dcterms:W3CDTF">2023-04-17T08:06:00Z</dcterms:created>
  <dcterms:modified xsi:type="dcterms:W3CDTF">2023-12-29T06:09:00Z</dcterms:modified>
</cp:coreProperties>
</file>