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10938" w14:textId="77777777" w:rsidR="0072745C" w:rsidRPr="0072745C" w:rsidRDefault="0072745C" w:rsidP="0072745C">
      <w:pPr>
        <w:jc w:val="center"/>
        <w:rPr>
          <w:rFonts w:ascii="Source Sans Pro" w:hAnsi="Source Sans Pro"/>
          <w:b/>
          <w:sz w:val="40"/>
          <w:szCs w:val="40"/>
        </w:rPr>
      </w:pPr>
      <w:r w:rsidRPr="0072745C">
        <w:rPr>
          <w:rFonts w:ascii="Source Sans Pro" w:hAnsi="Source Sans Pro"/>
          <w:b/>
          <w:sz w:val="40"/>
          <w:szCs w:val="40"/>
        </w:rPr>
        <w:t>Sprachniveaus</w:t>
      </w:r>
    </w:p>
    <w:tbl>
      <w:tblPr>
        <w:tblStyle w:val="TableGrid"/>
        <w:tblW w:w="14465" w:type="dxa"/>
        <w:tblLook w:val="04A0" w:firstRow="1" w:lastRow="0" w:firstColumn="1" w:lastColumn="0" w:noHBand="0" w:noVBand="1"/>
      </w:tblPr>
      <w:tblGrid>
        <w:gridCol w:w="4726"/>
        <w:gridCol w:w="5103"/>
        <w:gridCol w:w="4636"/>
      </w:tblGrid>
      <w:tr w:rsidR="007479D3" w:rsidRPr="0072745C" w14:paraId="3E1F3812" w14:textId="77777777" w:rsidTr="0072745C">
        <w:trPr>
          <w:trHeight w:val="289"/>
        </w:trPr>
        <w:tc>
          <w:tcPr>
            <w:tcW w:w="4726" w:type="dxa"/>
            <w:hideMark/>
          </w:tcPr>
          <w:p w14:paraId="143B6165" w14:textId="77777777" w:rsidR="007479D3" w:rsidRPr="0072745C" w:rsidRDefault="007479D3" w:rsidP="007479D3">
            <w:pPr>
              <w:spacing w:line="276" w:lineRule="auto"/>
              <w:jc w:val="center"/>
              <w:rPr>
                <w:rFonts w:ascii="Source Sans Pro" w:eastAsia="Times New Roman" w:hAnsi="Source Sans Pro" w:cs="Times New Roman"/>
                <w:b/>
                <w:bCs/>
                <w:color w:val="000000" w:themeColor="text1"/>
                <w:sz w:val="28"/>
                <w:szCs w:val="28"/>
              </w:rPr>
            </w:pPr>
            <w:r w:rsidRPr="0072745C">
              <w:rPr>
                <w:rFonts w:ascii="Source Sans Pro" w:eastAsia="Times New Roman" w:hAnsi="Source Sans Pro" w:cs="Times New Roman"/>
                <w:b/>
                <w:bCs/>
                <w:color w:val="000000" w:themeColor="text1"/>
                <w:sz w:val="28"/>
                <w:szCs w:val="28"/>
              </w:rPr>
              <w:t>A1</w:t>
            </w:r>
          </w:p>
        </w:tc>
        <w:tc>
          <w:tcPr>
            <w:tcW w:w="5103" w:type="dxa"/>
            <w:hideMark/>
          </w:tcPr>
          <w:p w14:paraId="45140E12" w14:textId="77777777" w:rsidR="007479D3" w:rsidRPr="0072745C" w:rsidRDefault="007479D3" w:rsidP="007479D3">
            <w:pPr>
              <w:spacing w:line="276" w:lineRule="auto"/>
              <w:jc w:val="center"/>
              <w:rPr>
                <w:rFonts w:ascii="Source Sans Pro" w:eastAsia="Times New Roman" w:hAnsi="Source Sans Pro" w:cs="Times New Roman"/>
                <w:b/>
                <w:bCs/>
                <w:color w:val="000000" w:themeColor="text1"/>
                <w:sz w:val="28"/>
                <w:szCs w:val="28"/>
              </w:rPr>
            </w:pPr>
            <w:r w:rsidRPr="0072745C">
              <w:rPr>
                <w:rFonts w:ascii="Source Sans Pro" w:eastAsia="Times New Roman" w:hAnsi="Source Sans Pro" w:cs="Times New Roman"/>
                <w:b/>
                <w:bCs/>
                <w:color w:val="000000" w:themeColor="text1"/>
                <w:sz w:val="28"/>
                <w:szCs w:val="28"/>
              </w:rPr>
              <w:t>B1</w:t>
            </w:r>
          </w:p>
        </w:tc>
        <w:tc>
          <w:tcPr>
            <w:tcW w:w="4636" w:type="dxa"/>
            <w:hideMark/>
          </w:tcPr>
          <w:p w14:paraId="2D6CB317" w14:textId="77777777" w:rsidR="007479D3" w:rsidRPr="0072745C" w:rsidRDefault="007479D3" w:rsidP="007479D3">
            <w:pPr>
              <w:spacing w:line="276" w:lineRule="auto"/>
              <w:jc w:val="center"/>
              <w:rPr>
                <w:rFonts w:ascii="Source Sans Pro" w:eastAsia="Times New Roman" w:hAnsi="Source Sans Pro" w:cs="Times New Roman"/>
                <w:b/>
                <w:bCs/>
                <w:color w:val="000000" w:themeColor="text1"/>
                <w:sz w:val="28"/>
                <w:szCs w:val="28"/>
              </w:rPr>
            </w:pPr>
            <w:r w:rsidRPr="0072745C">
              <w:rPr>
                <w:rFonts w:ascii="Source Sans Pro" w:eastAsia="Times New Roman" w:hAnsi="Source Sans Pro" w:cs="Times New Roman"/>
                <w:b/>
                <w:bCs/>
                <w:color w:val="000000" w:themeColor="text1"/>
                <w:sz w:val="28"/>
                <w:szCs w:val="28"/>
              </w:rPr>
              <w:t>C1</w:t>
            </w:r>
          </w:p>
        </w:tc>
      </w:tr>
      <w:tr w:rsidR="007479D3" w:rsidRPr="0072745C" w14:paraId="422FCCF1" w14:textId="77777777" w:rsidTr="0072745C">
        <w:tc>
          <w:tcPr>
            <w:tcW w:w="4726" w:type="dxa"/>
            <w:hideMark/>
          </w:tcPr>
          <w:p w14:paraId="4EB6E5A7" w14:textId="77777777" w:rsidR="007479D3" w:rsidRPr="0072745C" w:rsidRDefault="007479D3" w:rsidP="007479D3">
            <w:pPr>
              <w:spacing w:before="72" w:after="120" w:line="276" w:lineRule="auto"/>
              <w:rPr>
                <w:rFonts w:ascii="Source Sans Pro" w:hAnsi="Source Sans Pro" w:cs="Times New Roman"/>
                <w:color w:val="000000" w:themeColor="text1"/>
                <w:sz w:val="28"/>
                <w:szCs w:val="28"/>
              </w:rPr>
            </w:pPr>
            <w:r w:rsidRPr="0072745C">
              <w:rPr>
                <w:rFonts w:ascii="Source Sans Pro" w:hAnsi="Source Sans Pro" w:cs="Times New Roman"/>
                <w:color w:val="000000" w:themeColor="text1"/>
                <w:sz w:val="28"/>
                <w:szCs w:val="28"/>
              </w:rPr>
              <w:t>Kann vertraute, alltägliche Ausdrücke und ganz einfache Sätze verstehen und verwenden, die auf die Befriedigung konkreter Bedürfnisse zielen. Kann sich und andere vorstellen und anderen Leuten Fragen zu ihrer Person stellen - z. B. wo sie wohnen, was für Leute sie kennen oder was für Dinge sie haben - und kann auf Fragen dieser Art Antwort geben. Kann sich auf einfache Art verständigen, wenn die Gesprächspartnerinnen oder Gesprächspartner langsam und deutlich sprechen und bereit sind zu helfen</w:t>
            </w:r>
          </w:p>
        </w:tc>
        <w:tc>
          <w:tcPr>
            <w:tcW w:w="5103" w:type="dxa"/>
            <w:hideMark/>
          </w:tcPr>
          <w:p w14:paraId="59950CB6" w14:textId="77777777" w:rsidR="007479D3" w:rsidRPr="0072745C" w:rsidRDefault="007479D3" w:rsidP="007479D3">
            <w:pPr>
              <w:spacing w:before="72" w:after="120" w:line="276" w:lineRule="auto"/>
              <w:rPr>
                <w:rFonts w:ascii="Source Sans Pro" w:hAnsi="Source Sans Pro" w:cs="Times New Roman"/>
                <w:color w:val="000000" w:themeColor="text1"/>
                <w:sz w:val="28"/>
                <w:szCs w:val="28"/>
              </w:rPr>
            </w:pPr>
            <w:r w:rsidRPr="0072745C">
              <w:rPr>
                <w:rFonts w:ascii="Source Sans Pro" w:hAnsi="Source Sans Pro" w:cs="Times New Roman"/>
                <w:color w:val="000000" w:themeColor="text1"/>
                <w:sz w:val="28"/>
                <w:szCs w:val="28"/>
              </w:rPr>
              <w:t xml:space="preserve">Kann die Hauptpunkte verstehen, wenn klare Standardsprache verwendet wird und wenn es um vertraute Dinge aus Arbeit, Schule, Freizeit usw. </w:t>
            </w:r>
            <w:proofErr w:type="gramStart"/>
            <w:r w:rsidRPr="0072745C">
              <w:rPr>
                <w:rFonts w:ascii="Source Sans Pro" w:hAnsi="Source Sans Pro" w:cs="Times New Roman"/>
                <w:color w:val="000000" w:themeColor="text1"/>
                <w:sz w:val="28"/>
                <w:szCs w:val="28"/>
              </w:rPr>
              <w:t>geht</w:t>
            </w:r>
            <w:proofErr w:type="gramEnd"/>
            <w:r w:rsidRPr="0072745C">
              <w:rPr>
                <w:rFonts w:ascii="Source Sans Pro" w:hAnsi="Source Sans Pro" w:cs="Times New Roman"/>
                <w:color w:val="000000" w:themeColor="text1"/>
                <w:sz w:val="28"/>
                <w:szCs w:val="28"/>
              </w:rPr>
              <w:t>. Kann die meisten Situationen bewältigen, denen man auf Reisen im Sprachgebiet begegnet. Kann sich einfach und zusammenhängend über vertraute Themen und persönliche Interessengebiete äußern. Kann über Erfahrungen und Ereignisse berichten, Träume, Hoffnungen und Ziele beschreiben und zu Plänen und Ansichten kurze Begründungen oder Erklärungen geben.</w:t>
            </w:r>
          </w:p>
        </w:tc>
        <w:tc>
          <w:tcPr>
            <w:tcW w:w="4636" w:type="dxa"/>
            <w:hideMark/>
          </w:tcPr>
          <w:p w14:paraId="4615822D" w14:textId="77777777" w:rsidR="007479D3" w:rsidRPr="0072745C" w:rsidRDefault="007479D3" w:rsidP="007479D3">
            <w:pPr>
              <w:spacing w:before="72" w:after="120" w:line="276" w:lineRule="auto"/>
              <w:rPr>
                <w:rFonts w:ascii="Source Sans Pro" w:hAnsi="Source Sans Pro" w:cs="Times New Roman"/>
                <w:color w:val="000000" w:themeColor="text1"/>
                <w:sz w:val="28"/>
                <w:szCs w:val="28"/>
              </w:rPr>
            </w:pPr>
            <w:r w:rsidRPr="0072745C">
              <w:rPr>
                <w:rFonts w:ascii="Source Sans Pro" w:hAnsi="Source Sans Pro" w:cs="Times New Roman"/>
                <w:color w:val="000000" w:themeColor="text1"/>
                <w:sz w:val="28"/>
                <w:szCs w:val="28"/>
              </w:rPr>
              <w:t>Kann ein breites Spektrum anspruchsvoller, längerer Texte verstehen und auch implizite Bedeutungen erfassen. Kann sich spontan und fließend ausdrücken, ohne öfter deutlich erkennbar nach Worten suchen zu müssen. Kann die Sprache im gesellschaftlichen und beruflichen Leben oder in Ausbildung und Studium wirksam und flexibel gebrauchen. Kann sich klar, strukturiert und ausführlich zu komplexen Sachverhalten äußern und dabei verschiedene Mittel zur Textverknüpfung angemessen verwenden.</w:t>
            </w:r>
          </w:p>
        </w:tc>
      </w:tr>
    </w:tbl>
    <w:p w14:paraId="3ED6162A" w14:textId="77777777" w:rsidR="0027093A" w:rsidRPr="0072745C" w:rsidRDefault="0027093A">
      <w:pPr>
        <w:rPr>
          <w:rFonts w:ascii="Source Sans Pro" w:hAnsi="Source Sans Pro"/>
        </w:rPr>
      </w:pPr>
      <w:bookmarkStart w:id="0" w:name="_GoBack"/>
      <w:bookmarkEnd w:id="0"/>
    </w:p>
    <w:sectPr w:rsidR="0027093A" w:rsidRPr="0072745C" w:rsidSect="007479D3">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D3"/>
    <w:rsid w:val="0027093A"/>
    <w:rsid w:val="00505CE1"/>
    <w:rsid w:val="0072745C"/>
    <w:rsid w:val="0074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3E8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9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27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9D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274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0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225</Words>
  <Characters>1283</Characters>
  <Application>Microsoft Macintosh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Piccolotto</dc:creator>
  <cp:keywords/>
  <dc:description/>
  <cp:lastModifiedBy>Nikolaus Piccolotto</cp:lastModifiedBy>
  <cp:revision>2</cp:revision>
  <dcterms:created xsi:type="dcterms:W3CDTF">2013-10-12T21:06:00Z</dcterms:created>
  <dcterms:modified xsi:type="dcterms:W3CDTF">2013-10-14T12:36:00Z</dcterms:modified>
</cp:coreProperties>
</file>