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pct" w:w="60%"/>
        <w:jc w:val="center"/>
        <w:tblBorders>
          <w:top w:val="single" w:color="1F5FA8" w:sz="6"/>
          <w:left w:val="single" w:color="1F5FA8" w:sz="6"/>
          <w:bottom w:val="single" w:color="1F5FA8" w:sz="6"/>
          <w:right w:val="single" w:color="1F5FA8" w:sz="6"/>
          <w:insideH w:val="single" w:color="auto" w:sz="4"/>
          <w:insideV w:val="single" w:color="auto" w:sz="4"/>
        </w:tblBorders>
      </w:tblPr>
      <w:tblGrid>
        <w:gridCol w:w="100"/>
      </w:tblGrid>
      <w:tr>
        <w:tc>
          <w:tcPr>
            <w:shd w:fill="EAF2FB" w:val="clear"/>
            <w:tcMar>
              <w:top w:type="dxa" w:w="240"/>
              <w:left w:type="dxa" w:w="200"/>
              <w:bottom w:type="dxa" w:w="240"/>
              <w:right w:type="dxa" w:w="200"/>
            </w:tcMar>
          </w:tcPr>
          <w:p>
            <w:pPr>
              <w:jc w:val="center"/>
            </w:pPr>
            <w:r>
              <w:rPr>
                <w:sz w:val="72"/>
                <w:szCs w:val="72"/>
              </w:rPr>
              <w:t xml:space="preserve">🛡️</w:t>
            </w:r>
          </w:p>
        </w:tc>
      </w:tr>
    </w:tbl>
    <w:p>
      <w:pPr>
        <w:spacing w:after="120" w:before="600"/>
        <w:jc w:val="center"/>
      </w:pPr>
      <w:r>
        <w:rPr>
          <w:rFonts w:ascii="Calibri" w:cs="Calibri" w:eastAsia="Calibri" w:hAnsi="Calibri"/>
          <w:b/>
          <w:bCs/>
          <w:color w:val="0B1F3A"/>
          <w:sz w:val="56"/>
          <w:szCs w:val="56"/>
        </w:rPr>
        <w:t xml:space="preserve">PHISHING EMAIL</w:t>
      </w:r>
    </w:p>
    <w:p>
      <w:pPr>
        <w:spacing w:after="400"/>
        <w:jc w:val="center"/>
      </w:pPr>
      <w:r>
        <w:rPr>
          <w:rFonts w:ascii="Calibri" w:cs="Calibri" w:eastAsia="Calibri" w:hAnsi="Calibri"/>
          <w:b/>
          <w:bCs/>
          <w:color w:val="1F5FA8"/>
          <w:sz w:val="40"/>
          <w:szCs w:val="40"/>
        </w:rPr>
        <w:t xml:space="preserve">DETECTION &amp; AWARENESS REPORT</w:t>
      </w:r>
    </w:p>
    <w:p>
      <w:pPr>
        <w:spacing w:after="60"/>
        <w:jc w:val="center"/>
      </w:pPr>
      <w:r>
        <w:rPr>
          <w:rFonts w:ascii="Calibri" w:cs="Calibri" w:eastAsia="Calibri" w:hAnsi="Calibri"/>
          <w:i/>
          <w:iCs/>
          <w:color w:val="44494F"/>
          <w:sz w:val="22"/>
          <w:szCs w:val="22"/>
        </w:rPr>
        <w:t xml:space="preserve">A Technical Cybersecurity Analysis Submitted for Internship Evaluation</w:t>
      </w:r>
    </w:p>
    <w:p>
      <w:pPr>
        <w:spacing w:after="60" w:before="900"/>
        <w:jc w:val="center"/>
      </w:pPr>
      <w:r>
        <w:rPr>
          <w:rFonts w:ascii="Calibri" w:cs="Calibri" w:eastAsia="Calibri" w:hAnsi="Calibri"/>
          <w:b/>
          <w:bCs/>
          <w:color w:val="44494F"/>
          <w:sz w:val="18"/>
          <w:szCs w:val="18"/>
        </w:rPr>
        <w:t xml:space="preserve">ORGANIZATION</w:t>
      </w:r>
    </w:p>
    <w:p>
      <w:pPr>
        <w:spacing w:after="260"/>
        <w:jc w:val="center"/>
      </w:pPr>
      <w:r>
        <w:rPr>
          <w:rFonts w:ascii="Calibri" w:cs="Calibri" w:eastAsia="Calibri" w:hAnsi="Calibri"/>
          <w:b/>
          <w:bCs/>
          <w:color w:val="0B1F3A"/>
          <w:sz w:val="28"/>
          <w:szCs w:val="28"/>
        </w:rPr>
        <w:t xml:space="preserve">Future Interns</w:t>
      </w:r>
    </w:p>
    <w:p>
      <w:pPr>
        <w:spacing w:after="60"/>
        <w:jc w:val="center"/>
      </w:pPr>
      <w:r>
        <w:rPr>
          <w:rFonts w:ascii="Calibri" w:cs="Calibri" w:eastAsia="Calibri" w:hAnsi="Calibri"/>
          <w:b/>
          <w:bCs/>
          <w:color w:val="44494F"/>
          <w:sz w:val="18"/>
          <w:szCs w:val="18"/>
        </w:rPr>
        <w:t xml:space="preserve">INTERNSHIP PROGRAM</w:t>
      </w:r>
    </w:p>
    <w:p>
      <w:pPr>
        <w:spacing w:after="260"/>
        <w:jc w:val="center"/>
      </w:pPr>
      <w:r>
        <w:rPr>
          <w:rFonts w:ascii="Calibri" w:cs="Calibri" w:eastAsia="Calibri" w:hAnsi="Calibri"/>
          <w:color w:val="0B1F3A"/>
          <w:sz w:val="24"/>
          <w:szCs w:val="24"/>
        </w:rPr>
        <w:t xml:space="preserve">Cyber Security Internship — Task 2 (2026)</w:t>
      </w:r>
    </w:p>
    <w:p>
      <w:pPr>
        <w:spacing w:after="40" w:before="700"/>
        <w:jc w:val="center"/>
      </w:pPr>
      <w:r>
        <w:rPr>
          <w:rFonts w:ascii="Calibri" w:cs="Calibri" w:eastAsia="Calibri" w:hAnsi="Calibri"/>
          <w:color w:val="44494F"/>
          <w:sz w:val="20"/>
          <w:szCs w:val="20"/>
        </w:rPr>
        <w:t xml:space="preserve">Prepared By</w:t>
      </w:r>
    </w:p>
    <w:p>
      <w:pPr>
        <w:spacing w:after="40"/>
        <w:jc w:val="center"/>
      </w:pPr>
      <w:r>
        <w:rPr>
          <w:rFonts w:ascii="Calibri" w:cs="Calibri" w:eastAsia="Calibri" w:hAnsi="Calibri"/>
          <w:b/>
          <w:bCs/>
          <w:color w:val="0B1F3A"/>
          <w:sz w:val="26"/>
          <w:szCs w:val="26"/>
        </w:rPr>
        <w:t xml:space="preserve">Pratyush Singh Rathore</w:t>
      </w:r>
    </w:p>
    <w:p>
      <w:pPr>
        <w:spacing w:after="700"/>
        <w:jc w:val="center"/>
      </w:pPr>
      <w:r>
        <w:rPr>
          <w:rFonts w:ascii="Calibri" w:cs="Calibri" w:eastAsia="Calibri" w:hAnsi="Calibri"/>
          <w:color w:val="44494F"/>
          <w:sz w:val="20"/>
          <w:szCs w:val="20"/>
        </w:rPr>
        <w:t xml:space="preserve">July 2026</w:t>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spacing w:after="300"/>
      </w:pPr>
      <w:r>
        <w:rPr>
          <w:rFonts w:ascii="Calibri" w:cs="Calibri" w:eastAsia="Calibri" w:hAnsi="Calibri"/>
          <w:b/>
          <w:bCs/>
          <w:color w:val="0B1F3A"/>
          <w:sz w:val="40"/>
          <w:szCs w:val="40"/>
        </w:rPr>
        <w:t xml:space="preserve">Table of Contents</w:t>
      </w:r>
    </w:p>
    <w:p>
      <w:pPr>
        <w:pBdr>
          <w:bottom w:val="single" w:color="1F5FA8" w:sz="12" w:space="6"/>
        </w:pBdr>
        <w:spacing w:after="300"/>
      </w:pPr>
    </w:p>
    <w:sdt>
      <w:sdtPr>
        <w:alias w:val="Table of Contents"/>
      </w:sdtPr>
      <w:sdtContent>
        <w:p>
          <w:r>
            <w:fldChar w:fldCharType="begin" w:dirty="true"/>
            <w:instrText xml:space="preserve">TOC \h \o "1-1"</w:instrText>
            <w:fldChar w:fldCharType="separate"/>
          </w:r>
        </w:p>
        <w:p>
          <w:r>
            <w:fldChar w:fldCharType="end"/>
          </w:r>
        </w:p>
      </w:sdtContent>
    </w:sdt>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1"/>
        <w:pBdr>
          <w:bottom w:val="single" w:color="1F5FA8" w:sz="12" w:space="6"/>
        </w:pBdr>
        <w:spacing w:after="240" w:before="480"/>
      </w:pPr>
      <w:r>
        <w:rPr>
          <w:rFonts w:ascii="Calibri" w:cs="Calibri" w:eastAsia="Calibri" w:hAnsi="Calibri"/>
          <w:b/>
          <w:bCs/>
          <w:color w:val="0B1F3A"/>
          <w:sz w:val="32"/>
          <w:szCs w:val="32"/>
        </w:rPr>
        <w:t xml:space="preserve">1.  Introduction</w:t>
      </w:r>
    </w:p>
    <w:p>
      <w:pPr>
        <w:spacing w:after="160" w:line="276"/>
        <w:jc w:val="both"/>
      </w:pPr>
      <w:r>
        <w:rPr>
          <w:rFonts w:ascii="Calibri" w:cs="Calibri" w:eastAsia="Calibri" w:hAnsi="Calibri"/>
          <w:b w:val="false"/>
          <w:bCs w:val="false"/>
          <w:i w:val="false"/>
          <w:iCs w:val="false"/>
          <w:color w:val="1A1A1A"/>
          <w:sz w:val="21"/>
          <w:szCs w:val="21"/>
        </w:rPr>
        <w:t xml:space="preserve">Phishing is a form of cyber-attack in which malicious actors impersonate trusted individuals, brands, or organizations to deceive victims into revealing sensitive information such as usernames, passwords, banking details, or other confidential data. It remains one of the oldest yet most effective attack techniques used by cybercriminals worldwide, largely because it exploits human psychology rather than relying solely on technical vulnerabilities.</w:t>
      </w:r>
    </w:p>
    <w:p>
      <w:pPr>
        <w:spacing w:after="160" w:line="276"/>
        <w:jc w:val="both"/>
      </w:pPr>
      <w:r>
        <w:rPr>
          <w:rFonts w:ascii="Calibri" w:cs="Calibri" w:eastAsia="Calibri" w:hAnsi="Calibri"/>
          <w:b w:val="false"/>
          <w:bCs w:val="false"/>
          <w:i w:val="false"/>
          <w:iCs w:val="false"/>
          <w:color w:val="1A1A1A"/>
          <w:sz w:val="21"/>
          <w:szCs w:val="21"/>
        </w:rPr>
        <w:t xml:space="preserve">A typical phishing attack begins when an attacker crafts a fraudulent message — usually an email — designed to appear as though it originates from a legitimate source such as a bank, an online service provider, or an internal department within an organization. The message typically contains a call to action, often accompanied by a malicious link or attachment. When the victim interacts with this link or attachment, they may be redirected to a fake login page designed to harvest credentials, or malware may be silently installed on their device.</w:t>
      </w:r>
    </w:p>
    <w:p>
      <w:pPr>
        <w:spacing w:after="160" w:line="276"/>
        <w:jc w:val="both"/>
      </w:pPr>
      <w:r>
        <w:rPr>
          <w:rFonts w:ascii="Calibri" w:cs="Calibri" w:eastAsia="Calibri" w:hAnsi="Calibri"/>
          <w:b w:val="false"/>
          <w:bCs w:val="false"/>
          <w:i w:val="false"/>
          <w:iCs w:val="false"/>
          <w:color w:val="1A1A1A"/>
          <w:sz w:val="21"/>
          <w:szCs w:val="21"/>
        </w:rPr>
        <w:t xml:space="preserve">Despite continuous advancements in email security technologies such as spam filters and threat detection systems, phishing remains one of the most common and successful attack vectors. This is largely because attackers continuously refine their social engineering techniques, making fraudulent emails increasingly difficult to distinguish from genuine communication.</w:t>
      </w:r>
    </w:p>
    <w:p>
      <w:pPr>
        <w:spacing w:after="160" w:line="276"/>
        <w:jc w:val="both"/>
      </w:pPr>
      <w:r>
        <w:rPr>
          <w:rFonts w:ascii="Calibri" w:cs="Calibri" w:eastAsia="Calibri" w:hAnsi="Calibri"/>
          <w:b w:val="false"/>
          <w:bCs w:val="false"/>
          <w:i w:val="false"/>
          <w:iCs w:val="false"/>
          <w:color w:val="1A1A1A"/>
          <w:sz w:val="21"/>
          <w:szCs w:val="21"/>
        </w:rPr>
        <w:t xml:space="preserve">The real-world impact of phishing attacks is significant. For individuals, successful attacks can result in identity theft, unauthorized financial transactions, and loss of personal data. For organizations, the consequences can be far more severe — including large-scale data breaches, financial fraud, reputational damage, regulatory penalties, and operational disruption. High-profile Business Email Compromise (BEC) incidents have resulted in losses amounting to millions of dollars for corporations worldwide.</w:t>
      </w:r>
    </w:p>
    <w:p>
      <w:pPr>
        <w:spacing w:after="160" w:line="276"/>
        <w:jc w:val="both"/>
      </w:pPr>
      <w:r>
        <w:rPr>
          <w:rFonts w:ascii="Calibri" w:cs="Calibri" w:eastAsia="Calibri" w:hAnsi="Calibri"/>
          <w:b w:val="false"/>
          <w:bCs w:val="false"/>
          <w:i w:val="false"/>
          <w:iCs w:val="false"/>
          <w:color w:val="1A1A1A"/>
          <w:sz w:val="21"/>
          <w:szCs w:val="21"/>
        </w:rPr>
        <w:t xml:space="preserve">Given the scale and evolving nature of this threat, cybersecurity awareness and employee training have become essential components of any organization's security posture. Educating employees to recognize the indicators of phishing attempts significantly reduces the likelihood of successful compromise, making human awareness a critical layer of defense alongside technical security controls.</w:t>
      </w:r>
    </w:p>
    <w:p>
      <w:pPr>
        <w:pStyle w:val="Heading1"/>
        <w:pBdr>
          <w:bottom w:val="single" w:color="1F5FA8" w:sz="12" w:space="6"/>
        </w:pBdr>
        <w:spacing w:after="240" w:before="480"/>
      </w:pPr>
      <w:r>
        <w:rPr>
          <w:rFonts w:ascii="Calibri" w:cs="Calibri" w:eastAsia="Calibri" w:hAnsi="Calibri"/>
          <w:b/>
          <w:bCs/>
          <w:color w:val="0B1F3A"/>
          <w:sz w:val="32"/>
          <w:szCs w:val="32"/>
        </w:rPr>
        <w:t xml:space="preserve">2.  Objectives</w:t>
      </w:r>
    </w:p>
    <w:p>
      <w:pPr>
        <w:spacing w:after="160" w:line="276"/>
        <w:jc w:val="both"/>
      </w:pPr>
      <w:r>
        <w:rPr>
          <w:rFonts w:ascii="Calibri" w:cs="Calibri" w:eastAsia="Calibri" w:hAnsi="Calibri"/>
          <w:b w:val="false"/>
          <w:bCs w:val="false"/>
          <w:i w:val="false"/>
          <w:iCs w:val="false"/>
          <w:color w:val="1A1A1A"/>
          <w:sz w:val="21"/>
          <w:szCs w:val="21"/>
        </w:rPr>
        <w:t xml:space="preserve">This report has been prepared with the following objectives in mind:</w:t>
      </w:r>
    </w:p>
    <w:p>
      <w:pPr>
        <w:pStyle w:val="ListParagraph"/>
        <w:numPr>
          <w:ilvl w:val="0"/>
          <w:numId w:val="2"/>
        </w:numPr>
        <w:spacing w:after="100"/>
      </w:pPr>
      <w:r>
        <w:rPr>
          <w:rFonts w:ascii="Calibri" w:cs="Calibri" w:eastAsia="Calibri" w:hAnsi="Calibri"/>
          <w:b w:val="false"/>
          <w:bCs w:val="false"/>
          <w:color w:val="1A1A1A"/>
          <w:sz w:val="21"/>
          <w:szCs w:val="21"/>
        </w:rPr>
        <w:t xml:space="preserve">Analyze a real-world-style phishing email sample to understand its structure and intent.</w:t>
      </w:r>
    </w:p>
    <w:p>
      <w:pPr>
        <w:pStyle w:val="ListParagraph"/>
        <w:numPr>
          <w:ilvl w:val="0"/>
          <w:numId w:val="2"/>
        </w:numPr>
        <w:spacing w:after="100"/>
      </w:pPr>
      <w:r>
        <w:rPr>
          <w:rFonts w:ascii="Calibri" w:cs="Calibri" w:eastAsia="Calibri" w:hAnsi="Calibri"/>
          <w:b w:val="false"/>
          <w:bCs w:val="false"/>
          <w:color w:val="1A1A1A"/>
          <w:sz w:val="21"/>
          <w:szCs w:val="21"/>
        </w:rPr>
        <w:t xml:space="preserve">Identify the key indicators that distinguish a phishing email from a legitimate communication.</w:t>
      </w:r>
    </w:p>
    <w:p>
      <w:pPr>
        <w:pStyle w:val="ListParagraph"/>
        <w:numPr>
          <w:ilvl w:val="0"/>
          <w:numId w:val="2"/>
        </w:numPr>
        <w:spacing w:after="100"/>
      </w:pPr>
      <w:r>
        <w:rPr>
          <w:rFonts w:ascii="Calibri" w:cs="Calibri" w:eastAsia="Calibri" w:hAnsi="Calibri"/>
          <w:b w:val="false"/>
          <w:bCs w:val="false"/>
          <w:color w:val="1A1A1A"/>
          <w:sz w:val="21"/>
          <w:szCs w:val="21"/>
        </w:rPr>
        <w:t xml:space="preserve">Evaluate the risks associated with phishing emails for both individuals and organizations.</w:t>
      </w:r>
    </w:p>
    <w:p>
      <w:pPr>
        <w:pStyle w:val="ListParagraph"/>
        <w:numPr>
          <w:ilvl w:val="0"/>
          <w:numId w:val="2"/>
        </w:numPr>
        <w:spacing w:after="100"/>
      </w:pPr>
      <w:r>
        <w:rPr>
          <w:rFonts w:ascii="Calibri" w:cs="Calibri" w:eastAsia="Calibri" w:hAnsi="Calibri"/>
          <w:b w:val="false"/>
          <w:bCs w:val="false"/>
          <w:color w:val="1A1A1A"/>
          <w:sz w:val="21"/>
          <w:szCs w:val="21"/>
        </w:rPr>
        <w:t xml:space="preserve">Understand the technical and psychological techniques employed by attackers.</w:t>
      </w:r>
    </w:p>
    <w:p>
      <w:pPr>
        <w:pStyle w:val="ListParagraph"/>
        <w:numPr>
          <w:ilvl w:val="0"/>
          <w:numId w:val="2"/>
        </w:numPr>
        <w:spacing w:after="100"/>
      </w:pPr>
      <w:r>
        <w:rPr>
          <w:rFonts w:ascii="Calibri" w:cs="Calibri" w:eastAsia="Calibri" w:hAnsi="Calibri"/>
          <w:b w:val="false"/>
          <w:bCs w:val="false"/>
          <w:color w:val="1A1A1A"/>
          <w:sz w:val="21"/>
          <w:szCs w:val="21"/>
        </w:rPr>
        <w:t xml:space="preserve">Recommend practical, actionable preventive measures for individuals and organizations.</w:t>
      </w:r>
    </w:p>
    <w:p>
      <w:pPr>
        <w:pStyle w:val="ListParagraph"/>
        <w:numPr>
          <w:ilvl w:val="0"/>
          <w:numId w:val="2"/>
        </w:numPr>
        <w:spacing w:after="100"/>
      </w:pPr>
      <w:r>
        <w:rPr>
          <w:rFonts w:ascii="Calibri" w:cs="Calibri" w:eastAsia="Calibri" w:hAnsi="Calibri"/>
          <w:b w:val="false"/>
          <w:bCs w:val="false"/>
          <w:color w:val="1A1A1A"/>
          <w:sz w:val="21"/>
          <w:szCs w:val="21"/>
        </w:rPr>
        <w:t xml:space="preserve">Promote a culture of cybersecurity awareness through structured, accessible reporting.</w:t>
      </w:r>
    </w:p>
    <w:p>
      <w:pPr>
        <w:pStyle w:val="Heading1"/>
        <w:pBdr>
          <w:bottom w:val="single" w:color="1F5FA8" w:sz="12" w:space="6"/>
        </w:pBdr>
        <w:spacing w:after="240" w:before="480"/>
      </w:pPr>
      <w:r>
        <w:rPr>
          <w:rFonts w:ascii="Calibri" w:cs="Calibri" w:eastAsia="Calibri" w:hAnsi="Calibri"/>
          <w:b/>
          <w:bCs/>
          <w:color w:val="0B1F3A"/>
          <w:sz w:val="32"/>
          <w:szCs w:val="32"/>
        </w:rPr>
        <w:t xml:space="preserve">3.  Tools Used</w:t>
      </w:r>
    </w:p>
    <w:p>
      <w:pPr>
        <w:spacing w:after="160" w:line="276"/>
        <w:jc w:val="both"/>
      </w:pPr>
      <w:r>
        <w:rPr>
          <w:rFonts w:ascii="Calibri" w:cs="Calibri" w:eastAsia="Calibri" w:hAnsi="Calibri"/>
          <w:b w:val="false"/>
          <w:bCs w:val="false"/>
          <w:i w:val="false"/>
          <w:iCs w:val="false"/>
          <w:color w:val="1A1A1A"/>
          <w:sz w:val="21"/>
          <w:szCs w:val="21"/>
        </w:rPr>
        <w:t xml:space="preserve">The following tools and resources were used during the preparation and analysis in this report: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200"/>
        <w:gridCol w:w="6160"/>
      </w:tblGrid>
      <w:tr>
        <w:trPr>
          <w:tblHeader/>
        </w:trPr>
        <w:tc>
          <w:tcPr>
            <w:tcW w:type="dxa" w:w="320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w:t>
            </w:r>
          </w:p>
        </w:tc>
        <w:tc>
          <w:tcPr>
            <w:tcW w:type="dxa" w:w="616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Google Message Header Analyzer</w:t>
            </w:r>
          </w:p>
        </w:tc>
        <w:tc>
          <w:tcPr>
            <w:tcW w:type="dxa" w:w="6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Used to analyze and interpret raw email headers, including routing and authentication details.</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MXToolbox Email Header Analyzer</w:t>
            </w:r>
          </w:p>
        </w:tc>
        <w:tc>
          <w:tcPr>
            <w:tcW w:type="dxa" w:w="6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Used to verify sender information, mail server routing, and authentication results (SPF/DKIM/DMARC).</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Microsoft Word / Google Docs</w:t>
            </w:r>
          </w:p>
        </w:tc>
        <w:tc>
          <w:tcPr>
            <w:tcW w:type="dxa" w:w="6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Used for structured documentation and professional report formatting.</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GitHub Sample Repositories</w:t>
            </w:r>
          </w:p>
        </w:tc>
        <w:tc>
          <w:tcPr>
            <w:tcW w:type="dxa" w:w="6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Used to reference educational, publicly available phishing email samples for analysis practice.</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Web Browser (sandboxed inspection)</w:t>
            </w:r>
          </w:p>
        </w:tc>
        <w:tc>
          <w:tcPr>
            <w:tcW w:type="dxa" w:w="6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Used for safe, indirect inspection of URL structure without visiting malicious pages.</w:t>
            </w:r>
          </w:p>
        </w:tc>
      </w:tr>
    </w:tbl>
    <w:p>
      <w:pPr>
        <w:spacing w:after="120"/>
      </w:pPr>
      <w:r>
        <w:t xml:space="preserve"/>
      </w:r>
    </w:p>
    <w:p>
      <w:pPr>
        <w:spacing w:after="160" w:line="276"/>
        <w:jc w:val="both"/>
      </w:pPr>
      <w:r>
        <w:rPr>
          <w:rFonts w:ascii="Calibri" w:cs="Calibri" w:eastAsia="Calibri" w:hAnsi="Calibri"/>
          <w:b w:val="false"/>
          <w:bCs w:val="false"/>
          <w:i w:val="false"/>
          <w:iCs w:val="false"/>
          <w:color w:val="1A1A1A"/>
          <w:sz w:val="21"/>
          <w:szCs w:val="21"/>
        </w:rPr>
        <w:t xml:space="preserve">Each tool served a specific purpose in the investigative workflow — from decoding technical header data to safely evaluating suspicious links and documenting findings in a structured, professional format suitable for organizational review.</w:t>
      </w:r>
    </w:p>
    <w:p>
      <w:pPr>
        <w:pStyle w:val="Heading1"/>
        <w:pBdr>
          <w:bottom w:val="single" w:color="1F5FA8" w:sz="12" w:space="6"/>
        </w:pBdr>
        <w:spacing w:after="240" w:before="480"/>
      </w:pPr>
      <w:r>
        <w:rPr>
          <w:rFonts w:ascii="Calibri" w:cs="Calibri" w:eastAsia="Calibri" w:hAnsi="Calibri"/>
          <w:b/>
          <w:bCs/>
          <w:color w:val="0B1F3A"/>
          <w:sz w:val="32"/>
          <w:szCs w:val="32"/>
        </w:rPr>
        <w:t xml:space="preserve">4.  Understanding Phishing</w:t>
      </w:r>
    </w:p>
    <w:p>
      <w:pPr>
        <w:pStyle w:val="Heading3"/>
        <w:spacing w:after="120" w:before="220"/>
      </w:pPr>
      <w:r>
        <w:rPr>
          <w:rFonts w:ascii="Calibri" w:cs="Calibri" w:eastAsia="Calibri" w:hAnsi="Calibri"/>
          <w:b/>
          <w:bCs/>
          <w:color w:val="0B1F3A"/>
          <w:sz w:val="23"/>
          <w:szCs w:val="23"/>
        </w:rPr>
        <w:t xml:space="preserve">Phishing</w:t>
      </w:r>
    </w:p>
    <w:p>
      <w:pPr>
        <w:spacing w:after="160" w:line="276"/>
        <w:jc w:val="both"/>
      </w:pPr>
      <w:r>
        <w:rPr>
          <w:rFonts w:ascii="Calibri" w:cs="Calibri" w:eastAsia="Calibri" w:hAnsi="Calibri"/>
          <w:b w:val="false"/>
          <w:bCs w:val="false"/>
          <w:i w:val="false"/>
          <w:iCs w:val="false"/>
          <w:color w:val="1A1A1A"/>
          <w:sz w:val="21"/>
          <w:szCs w:val="21"/>
        </w:rPr>
        <w:t xml:space="preserve">A cyber-attack technique in which attackers send fraudulent communications, typically via email, designed to trick recipients into revealing sensitive information or installing malware.</w:t>
      </w:r>
    </w:p>
    <w:p>
      <w:pPr>
        <w:pStyle w:val="Heading3"/>
        <w:spacing w:after="120" w:before="220"/>
      </w:pPr>
      <w:r>
        <w:rPr>
          <w:rFonts w:ascii="Calibri" w:cs="Calibri" w:eastAsia="Calibri" w:hAnsi="Calibri"/>
          <w:b/>
          <w:bCs/>
          <w:color w:val="0B1F3A"/>
          <w:sz w:val="23"/>
          <w:szCs w:val="23"/>
        </w:rPr>
        <w:t xml:space="preserve">Social Engineering</w:t>
      </w:r>
    </w:p>
    <w:p>
      <w:pPr>
        <w:spacing w:after="160" w:line="276"/>
        <w:jc w:val="both"/>
      </w:pPr>
      <w:r>
        <w:rPr>
          <w:rFonts w:ascii="Calibri" w:cs="Calibri" w:eastAsia="Calibri" w:hAnsi="Calibri"/>
          <w:b w:val="false"/>
          <w:bCs w:val="false"/>
          <w:i w:val="false"/>
          <w:iCs w:val="false"/>
          <w:color w:val="1A1A1A"/>
          <w:sz w:val="21"/>
          <w:szCs w:val="21"/>
        </w:rPr>
        <w:t xml:space="preserve">The psychological manipulation of individuals into performing actions or divulging confidential information, exploiting trust, fear, or urgency rather than technical exploits.</w:t>
      </w:r>
    </w:p>
    <w:p>
      <w:pPr>
        <w:pStyle w:val="Heading3"/>
        <w:spacing w:after="120" w:before="220"/>
      </w:pPr>
      <w:r>
        <w:rPr>
          <w:rFonts w:ascii="Calibri" w:cs="Calibri" w:eastAsia="Calibri" w:hAnsi="Calibri"/>
          <w:b/>
          <w:bCs/>
          <w:color w:val="0B1F3A"/>
          <w:sz w:val="23"/>
          <w:szCs w:val="23"/>
        </w:rPr>
        <w:t xml:space="preserve">Email Spoofing</w:t>
      </w:r>
    </w:p>
    <w:p>
      <w:pPr>
        <w:spacing w:after="160" w:line="276"/>
        <w:jc w:val="both"/>
      </w:pPr>
      <w:r>
        <w:rPr>
          <w:rFonts w:ascii="Calibri" w:cs="Calibri" w:eastAsia="Calibri" w:hAnsi="Calibri"/>
          <w:b w:val="false"/>
          <w:bCs w:val="false"/>
          <w:i w:val="false"/>
          <w:iCs w:val="false"/>
          <w:color w:val="1A1A1A"/>
          <w:sz w:val="21"/>
          <w:szCs w:val="21"/>
        </w:rPr>
        <w:t xml:space="preserve">A technique where an attacker forges the sender address of an email so that it appears to originate from a trusted or legitimate source.</w:t>
      </w:r>
    </w:p>
    <w:p>
      <w:pPr>
        <w:pStyle w:val="Heading3"/>
        <w:spacing w:after="120" w:before="220"/>
      </w:pPr>
      <w:r>
        <w:rPr>
          <w:rFonts w:ascii="Calibri" w:cs="Calibri" w:eastAsia="Calibri" w:hAnsi="Calibri"/>
          <w:b/>
          <w:bCs/>
          <w:color w:val="0B1F3A"/>
          <w:sz w:val="23"/>
          <w:szCs w:val="23"/>
        </w:rPr>
        <w:t xml:space="preserve">Credential Theft</w:t>
      </w:r>
    </w:p>
    <w:p>
      <w:pPr>
        <w:spacing w:after="160" w:line="276"/>
        <w:jc w:val="both"/>
      </w:pPr>
      <w:r>
        <w:rPr>
          <w:rFonts w:ascii="Calibri" w:cs="Calibri" w:eastAsia="Calibri" w:hAnsi="Calibri"/>
          <w:b w:val="false"/>
          <w:bCs w:val="false"/>
          <w:i w:val="false"/>
          <w:iCs w:val="false"/>
          <w:color w:val="1A1A1A"/>
          <w:sz w:val="21"/>
          <w:szCs w:val="21"/>
        </w:rPr>
        <w:t xml:space="preserve">The unauthorized capture of login credentials (usernames and passwords), typically through fake login pages or keylogging malware.</w:t>
      </w:r>
    </w:p>
    <w:p>
      <w:pPr>
        <w:pStyle w:val="Heading3"/>
        <w:spacing w:after="120" w:before="220"/>
      </w:pPr>
      <w:r>
        <w:rPr>
          <w:rFonts w:ascii="Calibri" w:cs="Calibri" w:eastAsia="Calibri" w:hAnsi="Calibri"/>
          <w:b/>
          <w:bCs/>
          <w:color w:val="0B1F3A"/>
          <w:sz w:val="23"/>
          <w:szCs w:val="23"/>
        </w:rPr>
        <w:t xml:space="preserve">Fake Login Pages</w:t>
      </w:r>
    </w:p>
    <w:p>
      <w:pPr>
        <w:spacing w:after="160" w:line="276"/>
        <w:jc w:val="both"/>
      </w:pPr>
      <w:r>
        <w:rPr>
          <w:rFonts w:ascii="Calibri" w:cs="Calibri" w:eastAsia="Calibri" w:hAnsi="Calibri"/>
          <w:b w:val="false"/>
          <w:bCs w:val="false"/>
          <w:i w:val="false"/>
          <w:iCs w:val="false"/>
          <w:color w:val="1A1A1A"/>
          <w:sz w:val="21"/>
          <w:szCs w:val="21"/>
        </w:rPr>
        <w:t xml:space="preserve">Fraudulent websites designed to closely resemble legitimate login portals, created specifically to capture user credentials when entered.</w:t>
      </w:r>
    </w:p>
    <w:p>
      <w:pPr>
        <w:pStyle w:val="Heading3"/>
        <w:spacing w:after="120" w:before="220"/>
      </w:pPr>
      <w:r>
        <w:rPr>
          <w:rFonts w:ascii="Calibri" w:cs="Calibri" w:eastAsia="Calibri" w:hAnsi="Calibri"/>
          <w:b/>
          <w:bCs/>
          <w:color w:val="0B1F3A"/>
          <w:sz w:val="23"/>
          <w:szCs w:val="23"/>
        </w:rPr>
        <w:t xml:space="preserve">Malicious URLs</w:t>
      </w:r>
    </w:p>
    <w:p>
      <w:pPr>
        <w:spacing w:after="160" w:line="276"/>
        <w:jc w:val="both"/>
      </w:pPr>
      <w:r>
        <w:rPr>
          <w:rFonts w:ascii="Calibri" w:cs="Calibri" w:eastAsia="Calibri" w:hAnsi="Calibri"/>
          <w:b w:val="false"/>
          <w:bCs w:val="false"/>
          <w:i w:val="false"/>
          <w:iCs w:val="false"/>
          <w:color w:val="1A1A1A"/>
          <w:sz w:val="21"/>
          <w:szCs w:val="21"/>
        </w:rPr>
        <w:t xml:space="preserve">Links that redirect victims to harmful destinations such as credential-harvesting pages or malware-hosting sites.</w:t>
      </w:r>
    </w:p>
    <w:p>
      <w:pPr>
        <w:pStyle w:val="Heading3"/>
        <w:spacing w:after="120" w:before="220"/>
      </w:pPr>
      <w:r>
        <w:rPr>
          <w:rFonts w:ascii="Calibri" w:cs="Calibri" w:eastAsia="Calibri" w:hAnsi="Calibri"/>
          <w:b/>
          <w:bCs/>
          <w:color w:val="0B1F3A"/>
          <w:sz w:val="23"/>
          <w:szCs w:val="23"/>
        </w:rPr>
        <w:t xml:space="preserve">Urgency &amp; Fear Tactics</w:t>
      </w:r>
    </w:p>
    <w:p>
      <w:pPr>
        <w:spacing w:after="160" w:line="276"/>
        <w:jc w:val="both"/>
      </w:pPr>
      <w:r>
        <w:rPr>
          <w:rFonts w:ascii="Calibri" w:cs="Calibri" w:eastAsia="Calibri" w:hAnsi="Calibri"/>
          <w:b w:val="false"/>
          <w:bCs w:val="false"/>
          <w:i w:val="false"/>
          <w:iCs w:val="false"/>
          <w:color w:val="1A1A1A"/>
          <w:sz w:val="21"/>
          <w:szCs w:val="21"/>
        </w:rPr>
        <w:t xml:space="preserve">A manipulation technique where attackers create a false sense of urgency or fear to pressure victims into acting without careful evaluation.</w:t>
      </w:r>
    </w:p>
    <w:p>
      <w:pPr>
        <w:pStyle w:val="Heading3"/>
        <w:spacing w:after="120" w:before="220"/>
      </w:pPr>
      <w:r>
        <w:rPr>
          <w:rFonts w:ascii="Calibri" w:cs="Calibri" w:eastAsia="Calibri" w:hAnsi="Calibri"/>
          <w:b/>
          <w:bCs/>
          <w:color w:val="0B1F3A"/>
          <w:sz w:val="23"/>
          <w:szCs w:val="23"/>
        </w:rPr>
        <w:t xml:space="preserve">Generic Greetings</w:t>
      </w:r>
    </w:p>
    <w:p>
      <w:pPr>
        <w:spacing w:after="160" w:line="276"/>
        <w:jc w:val="both"/>
      </w:pPr>
      <w:r>
        <w:rPr>
          <w:rFonts w:ascii="Calibri" w:cs="Calibri" w:eastAsia="Calibri" w:hAnsi="Calibri"/>
          <w:b w:val="false"/>
          <w:bCs w:val="false"/>
          <w:i w:val="false"/>
          <w:iCs w:val="false"/>
          <w:color w:val="1A1A1A"/>
          <w:sz w:val="21"/>
          <w:szCs w:val="21"/>
        </w:rPr>
        <w:t xml:space="preserve">The use of non-personalized greetings such as 'Dear User' or 'Dear Customer', often indicating a mass phishing campaign rather than genuine correspondence.</w:t>
      </w:r>
    </w:p>
    <w:p>
      <w:pPr>
        <w:pStyle w:val="Heading3"/>
        <w:spacing w:after="120" w:before="220"/>
      </w:pPr>
      <w:r>
        <w:rPr>
          <w:rFonts w:ascii="Calibri" w:cs="Calibri" w:eastAsia="Calibri" w:hAnsi="Calibri"/>
          <w:b/>
          <w:bCs/>
          <w:color w:val="0B1F3A"/>
          <w:sz w:val="23"/>
          <w:szCs w:val="23"/>
        </w:rPr>
        <w:t xml:space="preserve">Business Email Compromise (BEC)</w:t>
      </w:r>
    </w:p>
    <w:p>
      <w:pPr>
        <w:spacing w:after="160" w:line="276"/>
        <w:jc w:val="both"/>
      </w:pPr>
      <w:r>
        <w:rPr>
          <w:rFonts w:ascii="Calibri" w:cs="Calibri" w:eastAsia="Calibri" w:hAnsi="Calibri"/>
          <w:b w:val="false"/>
          <w:bCs w:val="false"/>
          <w:i w:val="false"/>
          <w:iCs w:val="false"/>
          <w:color w:val="1A1A1A"/>
          <w:sz w:val="21"/>
          <w:szCs w:val="21"/>
        </w:rPr>
        <w:t xml:space="preserve">A sophisticated form of phishing targeting organizations, often impersonating executives or vendors to authorize fraudulent financial transactions.</w:t>
      </w:r>
    </w:p>
    <w:p>
      <w:pPr>
        <w:spacing w:after="80"/>
      </w:pPr>
      <w:r>
        <w:t xml:space="preserve"/>
      </w:r>
    </w:p>
    <w:p>
      <w:pPr>
        <w:spacing w:after="160" w:line="276"/>
        <w:jc w:val="both"/>
      </w:pPr>
      <w:r>
        <w:rPr>
          <w:rFonts w:ascii="Calibri" w:cs="Calibri" w:eastAsia="Calibri" w:hAnsi="Calibri"/>
          <w:b/>
          <w:bCs/>
          <w:i w:val="false"/>
          <w:iCs w:val="false"/>
          <w:color w:val="1A1A1A"/>
          <w:sz w:val="21"/>
          <w:szCs w:val="21"/>
        </w:rPr>
        <w:t xml:space="preserve">Diagram — Core Elements of a Phishing Attack:</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000"/>
        <w:gridCol w:w="5360"/>
      </w:tblGrid>
      <w:tr>
        <w:trPr>
          <w:tblHeader/>
        </w:trPr>
        <w:tc>
          <w:tcPr>
            <w:tcW w:type="dxa" w:w="400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Element</w:t>
            </w:r>
          </w:p>
        </w:tc>
        <w:tc>
          <w:tcPr>
            <w:tcW w:type="dxa" w:w="536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 in the Attack</w:t>
            </w:r>
          </w:p>
        </w:tc>
      </w:tr>
      <w:tr>
        <w:tc>
          <w:tcPr>
            <w:tcW w:type="dxa" w:w="40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Spoofed Identity</w:t>
            </w:r>
          </w:p>
        </w:tc>
        <w:tc>
          <w:tcPr>
            <w:tcW w:type="dxa" w:w="53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Establishes false trust with the victim</w:t>
            </w:r>
          </w:p>
        </w:tc>
      </w:tr>
      <w:tr>
        <w:tc>
          <w:tcPr>
            <w:tcW w:type="dxa" w:w="40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Emotional Trigger</w:t>
            </w:r>
          </w:p>
        </w:tc>
        <w:tc>
          <w:tcPr>
            <w:tcW w:type="dxa" w:w="53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Fear or urgency drives impulsive action</w:t>
            </w:r>
          </w:p>
        </w:tc>
      </w:tr>
      <w:tr>
        <w:tc>
          <w:tcPr>
            <w:tcW w:type="dxa" w:w="40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Malicious Link / Attachment</w:t>
            </w:r>
          </w:p>
        </w:tc>
        <w:tc>
          <w:tcPr>
            <w:tcW w:type="dxa" w:w="53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Delivers the payload or credential trap</w:t>
            </w:r>
          </w:p>
        </w:tc>
      </w:tr>
      <w:tr>
        <w:tc>
          <w:tcPr>
            <w:tcW w:type="dxa" w:w="40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Fake Landing Page</w:t>
            </w:r>
          </w:p>
        </w:tc>
        <w:tc>
          <w:tcPr>
            <w:tcW w:type="dxa" w:w="53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Captures entered credentials</w:t>
            </w:r>
          </w:p>
        </w:tc>
      </w:tr>
      <w:tr>
        <w:tc>
          <w:tcPr>
            <w:tcW w:type="dxa" w:w="40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Data Exfiltration</w:t>
            </w:r>
          </w:p>
        </w:tc>
        <w:tc>
          <w:tcPr>
            <w:tcW w:type="dxa" w:w="53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Attacker collects and exploits stolen data</w:t>
            </w:r>
          </w:p>
        </w:tc>
      </w:tr>
    </w:tbl>
    <w:p>
      <w:pPr>
        <w:pStyle w:val="Heading1"/>
        <w:pBdr>
          <w:bottom w:val="single" w:color="1F5FA8" w:sz="12" w:space="6"/>
        </w:pBdr>
        <w:spacing w:after="240" w:before="480"/>
      </w:pPr>
      <w:r>
        <w:rPr>
          <w:rFonts w:ascii="Calibri" w:cs="Calibri" w:eastAsia="Calibri" w:hAnsi="Calibri"/>
          <w:b/>
          <w:bCs/>
          <w:color w:val="0B1F3A"/>
          <w:sz w:val="32"/>
          <w:szCs w:val="32"/>
        </w:rPr>
        <w:t xml:space="preserve">5.  Sample Phishing Email</w:t>
      </w:r>
    </w:p>
    <w:p>
      <w:pPr>
        <w:spacing w:after="160" w:line="276"/>
        <w:jc w:val="both"/>
      </w:pPr>
      <w:r>
        <w:rPr>
          <w:rFonts w:ascii="Calibri" w:cs="Calibri" w:eastAsia="Calibri" w:hAnsi="Calibri"/>
          <w:b w:val="false"/>
          <w:bCs w:val="false"/>
          <w:i w:val="false"/>
          <w:iCs w:val="false"/>
          <w:color w:val="1A1A1A"/>
          <w:sz w:val="21"/>
          <w:szCs w:val="21"/>
        </w:rPr>
        <w:t xml:space="preserve">The following sample email has been used strictly for educational analysis purposes within this internship task. The embedded URL has been defanged (rendered non-clickable) to ensure it cannot be inadvertently visited during review.</w:t>
      </w:r>
    </w:p>
    <w:p>
      <w:pPr>
        <w:spacing w:after="60"/>
      </w:pPr>
      <w:r>
        <w:t xml:space="preserve"/>
      </w:r>
    </w:p>
    <w:tbl>
      <w:tblPr>
        <w:tblW w:type="pct" w:w="100%"/>
        <w:tblBorders>
          <w:top w:val="single" w:color="0B1F3A" w:sz="6"/>
          <w:left w:val="single" w:color="0B1F3A" w:sz="6"/>
          <w:bottom w:val="single" w:color="0B1F3A" w:sz="6"/>
          <w:right w:val="single" w:color="0B1F3A" w:sz="6"/>
          <w:insideH w:val="single" w:color="auto" w:sz="4"/>
          <w:insideV w:val="single" w:color="auto" w:sz="4"/>
        </w:tblBorders>
      </w:tblPr>
      <w:tblGrid>
        <w:gridCol w:w="100"/>
      </w:tblGrid>
      <w:tr>
        <w:tc>
          <w:tcPr>
            <w:shd w:fill="0B1F3A" w:val="clear"/>
            <w:tcMar>
              <w:top w:type="dxa" w:w="100"/>
              <w:left w:type="dxa" w:w="200"/>
              <w:bottom w:type="dxa" w:w="100"/>
              <w:right w:type="dxa" w:w="200"/>
            </w:tcMar>
          </w:tcPr>
          <w:p>
            <w:r>
              <w:rPr>
                <w:rFonts w:ascii="Calibri" w:cs="Calibri" w:eastAsia="Calibri" w:hAnsi="Calibri"/>
                <w:b/>
                <w:bCs/>
                <w:color w:val="FFFFFF"/>
                <w:sz w:val="20"/>
                <w:szCs w:val="20"/>
              </w:rPr>
              <w:t xml:space="preserve">SAMPLE PHISHING EMAIL — FOR EDUCATIONAL ANALYSIS ONLY</w:t>
            </w:r>
          </w:p>
        </w:tc>
      </w:tr>
      <w:tr>
        <w:tc>
          <w:tcPr>
            <w:shd w:fill="FFFFFF" w:val="clear"/>
            <w:tcMar>
              <w:top w:type="dxa" w:w="200"/>
              <w:left w:type="dxa" w:w="260"/>
              <w:bottom w:type="dxa" w:w="200"/>
              <w:right w:type="dxa" w:w="260"/>
            </w:tcMar>
          </w:tcPr>
          <w:p>
            <w:pPr>
              <w:spacing w:after="120"/>
            </w:pPr>
            <w:r>
              <w:rPr>
                <w:rFonts w:ascii="Calibri" w:cs="Calibri" w:eastAsia="Calibri" w:hAnsi="Calibri"/>
                <w:b/>
                <w:bCs/>
                <w:color w:val="0B1F3A"/>
                <w:sz w:val="21"/>
                <w:szCs w:val="21"/>
              </w:rPr>
              <w:t xml:space="preserve">Subject: </w:t>
            </w:r>
            <w:r>
              <w:rPr>
                <w:rFonts w:ascii="Calibri" w:cs="Calibri" w:eastAsia="Calibri" w:hAnsi="Calibri"/>
                <w:b/>
                <w:bCs/>
                <w:color w:val="B3261E"/>
                <w:sz w:val="21"/>
                <w:szCs w:val="21"/>
              </w:rPr>
              <w:t xml:space="preserve">⚠️ Urgent: Your Account Will Be Locked</w:t>
            </w:r>
          </w:p>
          <w:p>
            <w:pPr>
              <w:spacing w:after="100"/>
            </w:pPr>
            <w:r>
              <w:rPr>
                <w:rFonts w:ascii="Calibri" w:cs="Calibri" w:eastAsia="Calibri" w:hAnsi="Calibri"/>
                <w:sz w:val="21"/>
                <w:szCs w:val="21"/>
              </w:rPr>
              <w:t xml:space="preserve">Dear User,</w:t>
            </w:r>
          </w:p>
          <w:p>
            <w:pPr>
              <w:spacing w:after="100"/>
            </w:pPr>
            <w:r>
              <w:rPr>
                <w:rFonts w:ascii="Calibri" w:cs="Calibri" w:eastAsia="Calibri" w:hAnsi="Calibri"/>
                <w:sz w:val="21"/>
                <w:szCs w:val="21"/>
              </w:rPr>
              <w:t xml:space="preserve">We noticed suspicious activity on your account.</w:t>
            </w:r>
          </w:p>
          <w:p>
            <w:pPr>
              <w:spacing w:after="100"/>
            </w:pPr>
            <w:r>
              <w:rPr>
                <w:rFonts w:ascii="Calibri" w:cs="Calibri" w:eastAsia="Calibri" w:hAnsi="Calibri"/>
                <w:sz w:val="21"/>
                <w:szCs w:val="21"/>
              </w:rPr>
              <w:t xml:space="preserve">To avoid account suspension, please verify your details immediately.</w:t>
            </w:r>
          </w:p>
          <w:p>
            <w:pPr>
              <w:spacing w:after="100"/>
            </w:pPr>
            <w:r>
              <w:rPr>
                <w:rFonts w:ascii="Calibri" w:cs="Calibri" w:eastAsia="Calibri" w:hAnsi="Calibri"/>
                <w:sz w:val="21"/>
                <w:szCs w:val="21"/>
              </w:rPr>
              <w:t xml:space="preserve">👉 Verify Now: </w:t>
            </w:r>
            <w:r>
              <w:rPr>
                <w:rFonts w:ascii="Calibri" w:cs="Calibri" w:eastAsia="Calibri" w:hAnsi="Calibri"/>
                <w:b/>
                <w:bCs/>
                <w:color w:val="B3261E"/>
                <w:sz w:val="21"/>
                <w:szCs w:val="21"/>
                <w:u w:val="single"/>
              </w:rPr>
              <w:t xml:space="preserve">http://secure-account-verify[.]com</w:t>
            </w:r>
          </w:p>
          <w:p>
            <w:pPr>
              <w:spacing w:after="100"/>
            </w:pPr>
            <w:r>
              <w:rPr>
                <w:rFonts w:ascii="Calibri" w:cs="Calibri" w:eastAsia="Calibri" w:hAnsi="Calibri"/>
                <w:sz w:val="21"/>
                <w:szCs w:val="21"/>
              </w:rPr>
              <w:t xml:space="preserve">Failure to verify within 24 hours will result in permanent account lock.</w:t>
            </w:r>
          </w:p>
          <w:p>
            <w:pPr>
              <w:spacing w:after="0"/>
            </w:pPr>
            <w:r>
              <w:rPr>
                <w:rFonts w:ascii="Calibri" w:cs="Calibri" w:eastAsia="Calibri" w:hAnsi="Calibri"/>
                <w:sz w:val="21"/>
                <w:szCs w:val="21"/>
              </w:rPr>
              <w:t xml:space="preserve">Regards,</w:t>
            </w:r>
          </w:p>
          <w:p>
            <w:r>
              <w:rPr>
                <w:rFonts w:ascii="Calibri" w:cs="Calibri" w:eastAsia="Calibri" w:hAnsi="Calibri"/>
                <w:sz w:val="21"/>
                <w:szCs w:val="21"/>
              </w:rPr>
              <w:t xml:space="preserve">Security Team</w:t>
            </w:r>
          </w:p>
        </w:tc>
      </w:tr>
    </w:tbl>
    <w:p>
      <w:pPr>
        <w:spacing w:after="120"/>
      </w:pPr>
      <w:r>
        <w:t xml:space="preserve"/>
      </w:r>
    </w:p>
    <w:tbl>
      <w:tblPr>
        <w:tblW w:type="pct" w:w="100%"/>
        <w:tblBorders>
          <w:top w:val="single" w:color="B3261E" w:sz="6"/>
          <w:left w:val="single" w:color="B3261E" w:sz="24"/>
          <w:bottom w:val="single" w:color="B3261E" w:sz="6"/>
          <w:right w:val="single" w:color="B3261E" w:sz="6"/>
          <w:insideH w:val="single" w:color="auto" w:sz="4"/>
          <w:insideV w:val="single" w:color="auto" w:sz="4"/>
        </w:tblBorders>
      </w:tblPr>
      <w:tblGrid>
        <w:gridCol w:w="100"/>
      </w:tblGrid>
      <w:tr>
        <w:tc>
          <w:tcPr>
            <w:shd w:fill="FBEAEA" w:val="clear"/>
            <w:tcMar>
              <w:top w:type="dxa" w:w="160"/>
              <w:left w:type="dxa" w:w="220"/>
              <w:bottom w:type="dxa" w:w="160"/>
              <w:right w:type="dxa" w:w="220"/>
            </w:tcMar>
          </w:tcPr>
          <w:p>
            <w:pPr>
              <w:spacing w:after="80"/>
            </w:pPr>
            <w:r>
              <w:rPr>
                <w:rFonts w:ascii="Calibri" w:cs="Calibri" w:eastAsia="Calibri" w:hAnsi="Calibri"/>
                <w:b/>
                <w:bCs/>
                <w:color w:val="B3261E"/>
                <w:sz w:val="22"/>
                <w:szCs w:val="22"/>
              </w:rPr>
              <w:t xml:space="preserve">IMPORTANT NOTICE</w:t>
            </w:r>
          </w:p>
          <w:p>
            <w:pPr>
              <w:spacing w:after="60"/>
            </w:pPr>
            <w:r>
              <w:rPr>
                <w:rFonts w:ascii="Calibri" w:cs="Calibri" w:eastAsia="Calibri" w:hAnsi="Calibri"/>
                <w:color w:val="222222"/>
                <w:sz w:val="20"/>
                <w:szCs w:val="20"/>
              </w:rPr>
              <w:t xml:space="preserve">•  The URL http://secure-account-verify[.]com is intentionally defanged.</w:t>
            </w:r>
          </w:p>
          <w:p>
            <w:pPr>
              <w:spacing w:after="60"/>
            </w:pPr>
            <w:r>
              <w:rPr>
                <w:rFonts w:ascii="Calibri" w:cs="Calibri" w:eastAsia="Calibri" w:hAnsi="Calibri"/>
                <w:color w:val="222222"/>
                <w:sz w:val="20"/>
                <w:szCs w:val="20"/>
              </w:rPr>
              <w:t xml:space="preserve">•  It must never be visited, clicked, or entered into a browser.</w:t>
            </w:r>
          </w:p>
          <w:p>
            <w:pPr>
              <w:spacing w:after="60"/>
            </w:pPr>
            <w:r>
              <w:rPr>
                <w:rFonts w:ascii="Calibri" w:cs="Calibri" w:eastAsia="Calibri" w:hAnsi="Calibri"/>
                <w:color w:val="222222"/>
                <w:sz w:val="20"/>
                <w:szCs w:val="20"/>
              </w:rPr>
              <w:t xml:space="preserve">•  This sample is used solely for training and awareness purposes.</w:t>
            </w:r>
          </w:p>
        </w:tc>
      </w:tr>
    </w:tbl>
    <w:p>
      <w:pPr>
        <w:pStyle w:val="Heading1"/>
        <w:pBdr>
          <w:bottom w:val="single" w:color="1F5FA8" w:sz="12" w:space="6"/>
        </w:pBdr>
        <w:spacing w:after="240" w:before="480"/>
      </w:pPr>
      <w:r>
        <w:rPr>
          <w:rFonts w:ascii="Calibri" w:cs="Calibri" w:eastAsia="Calibri" w:hAnsi="Calibri"/>
          <w:b/>
          <w:bCs/>
          <w:color w:val="0B1F3A"/>
          <w:sz w:val="32"/>
          <w:szCs w:val="32"/>
        </w:rPr>
        <w:t xml:space="preserve">6.  Detailed Email Analysis</w:t>
      </w:r>
    </w:p>
    <w:p>
      <w:pPr>
        <w:pStyle w:val="Heading2"/>
        <w:spacing w:after="160" w:before="320"/>
      </w:pPr>
      <w:r>
        <w:rPr>
          <w:rFonts w:ascii="Calibri" w:cs="Calibri" w:eastAsia="Calibri" w:hAnsi="Calibri"/>
          <w:b/>
          <w:bCs/>
          <w:color w:val="1F5FA8"/>
          <w:sz w:val="26"/>
          <w:szCs w:val="26"/>
        </w:rPr>
        <w:t xml:space="preserve">6.1  Subject Line Analysis</w:t>
      </w:r>
    </w:p>
    <w:p>
      <w:pPr>
        <w:spacing w:after="160" w:line="276"/>
        <w:jc w:val="both"/>
      </w:pPr>
      <w:r>
        <w:rPr>
          <w:rFonts w:ascii="Calibri" w:cs="Calibri" w:eastAsia="Calibri" w:hAnsi="Calibri"/>
          <w:b w:val="false"/>
          <w:bCs w:val="false"/>
          <w:i w:val="false"/>
          <w:iCs w:val="false"/>
          <w:color w:val="1A1A1A"/>
          <w:sz w:val="21"/>
          <w:szCs w:val="21"/>
        </w:rPr>
        <w:t xml:space="preserve">The subject line, "⚠️ Urgent: Your Account Will Be Locked," is deliberately engineered to provoke an immediate emotional response. The words 'Urgent' and 'Account Will Be Locked' function as psychological triggers, designed to bypass rational evaluation by inducing panic. This tactic pressures the recipient into acting quickly — clicking the link — before pausing to verify the email's authenticity.</w:t>
      </w:r>
    </w:p>
    <w:p>
      <w:pPr>
        <w:pStyle w:val="Heading2"/>
        <w:spacing w:after="160" w:before="320"/>
      </w:pPr>
      <w:r>
        <w:rPr>
          <w:rFonts w:ascii="Calibri" w:cs="Calibri" w:eastAsia="Calibri" w:hAnsi="Calibri"/>
          <w:b/>
          <w:bCs/>
          <w:color w:val="1F5FA8"/>
          <w:sz w:val="26"/>
          <w:szCs w:val="26"/>
        </w:rPr>
        <w:t xml:space="preserve">6.2  Greeting Analysis</w:t>
      </w:r>
    </w:p>
    <w:p>
      <w:pPr>
        <w:spacing w:after="160" w:line="276"/>
        <w:jc w:val="both"/>
      </w:pPr>
      <w:r>
        <w:rPr>
          <w:rFonts w:ascii="Calibri" w:cs="Calibri" w:eastAsia="Calibri" w:hAnsi="Calibri"/>
          <w:b w:val="false"/>
          <w:bCs w:val="false"/>
          <w:i w:val="false"/>
          <w:iCs w:val="false"/>
          <w:color w:val="1A1A1A"/>
          <w:sz w:val="21"/>
          <w:szCs w:val="21"/>
        </w:rPr>
        <w:t xml:space="preserve">The email opens with the generic greeting "Dear User," rather than addressing the recipient by their registered name. Legitimate organizations, particularly banks and service providers, typically personalize customer communications using account-holder names. The use of a generic greeting strongly suggests that this message was sent as part of a mass phishing campaign rather than genuine, individualized correspondence.</w:t>
      </w:r>
    </w:p>
    <w:p>
      <w:pPr>
        <w:pStyle w:val="Heading2"/>
        <w:spacing w:after="160" w:before="320"/>
      </w:pPr>
      <w:r>
        <w:rPr>
          <w:rFonts w:ascii="Calibri" w:cs="Calibri" w:eastAsia="Calibri" w:hAnsi="Calibri"/>
          <w:b/>
          <w:bCs/>
          <w:color w:val="1F5FA8"/>
          <w:sz w:val="26"/>
          <w:szCs w:val="26"/>
        </w:rPr>
        <w:t xml:space="preserve">6.3  Message Body Analysis</w:t>
      </w:r>
    </w:p>
    <w:p>
      <w:pPr>
        <w:spacing w:after="160" w:line="276"/>
        <w:jc w:val="both"/>
      </w:pPr>
      <w:r>
        <w:rPr>
          <w:rFonts w:ascii="Calibri" w:cs="Calibri" w:eastAsia="Calibri" w:hAnsi="Calibri"/>
          <w:b w:val="false"/>
          <w:bCs w:val="false"/>
          <w:i w:val="false"/>
          <w:iCs w:val="false"/>
          <w:color w:val="1A1A1A"/>
          <w:sz w:val="21"/>
          <w:szCs w:val="21"/>
        </w:rPr>
        <w:t xml:space="preserve">The message body is intentionally vague, referencing "suspicious activity" without providing any specific, verifiable details such as timestamps, device information, or geographic location. This lack of evidence is a hallmark of phishing communication — legitimate security alerts typically include specific, checkable information. The absence of detail, combined with an alarming tone, is designed to create fear while avoiding any information that could be independently verified or disproven.</w:t>
      </w:r>
    </w:p>
    <w:p>
      <w:pPr>
        <w:pStyle w:val="Heading2"/>
        <w:spacing w:after="160" w:before="320"/>
      </w:pPr>
      <w:r>
        <w:rPr>
          <w:rFonts w:ascii="Calibri" w:cs="Calibri" w:eastAsia="Calibri" w:hAnsi="Calibri"/>
          <w:b/>
          <w:bCs/>
          <w:color w:val="1F5FA8"/>
          <w:sz w:val="26"/>
          <w:szCs w:val="26"/>
        </w:rPr>
        <w:t xml:space="preserve">6.4  URL Analysis</w:t>
      </w:r>
    </w:p>
    <w:p>
      <w:pPr>
        <w:spacing w:after="160" w:line="276"/>
        <w:jc w:val="both"/>
      </w:pPr>
      <w:r>
        <w:rPr>
          <w:rFonts w:ascii="Calibri" w:cs="Calibri" w:eastAsia="Calibri" w:hAnsi="Calibri"/>
          <w:b w:val="false"/>
          <w:bCs w:val="false"/>
          <w:i w:val="false"/>
          <w:iCs w:val="false"/>
          <w:color w:val="1A1A1A"/>
          <w:sz w:val="21"/>
          <w:szCs w:val="21"/>
        </w:rPr>
        <w:t xml:space="preserve">The embedded link, http://secure-account-verify[.]com, exhibits multiple red flags upon inspection:</w:t>
      </w:r>
    </w:p>
    <w:p>
      <w:pPr>
        <w:pStyle w:val="ListParagraph"/>
        <w:numPr>
          <w:ilvl w:val="0"/>
          <w:numId w:val="2"/>
        </w:numPr>
        <w:spacing w:after="100"/>
      </w:pPr>
      <w:r>
        <w:rPr>
          <w:rFonts w:ascii="Calibri" w:cs="Calibri" w:eastAsia="Calibri" w:hAnsi="Calibri"/>
          <w:b w:val="false"/>
          <w:bCs w:val="false"/>
          <w:color w:val="1A1A1A"/>
          <w:sz w:val="21"/>
          <w:szCs w:val="21"/>
        </w:rPr>
        <w:t xml:space="preserve">Suspicious Domain: The domain name mimics legitimate account-verification language but is not associated with any recognized, official organization.</w:t>
      </w:r>
    </w:p>
    <w:p>
      <w:pPr>
        <w:pStyle w:val="ListParagraph"/>
        <w:numPr>
          <w:ilvl w:val="0"/>
          <w:numId w:val="2"/>
        </w:numPr>
        <w:spacing w:after="100"/>
      </w:pPr>
      <w:r>
        <w:rPr>
          <w:rFonts w:ascii="Calibri" w:cs="Calibri" w:eastAsia="Calibri" w:hAnsi="Calibri"/>
          <w:b w:val="false"/>
          <w:bCs w:val="false"/>
          <w:color w:val="1A1A1A"/>
          <w:sz w:val="21"/>
          <w:szCs w:val="21"/>
        </w:rPr>
        <w:t xml:space="preserve">Unofficial Website: The domain structure does not match any known legitimate service provider's official domain.</w:t>
      </w:r>
    </w:p>
    <w:p>
      <w:pPr>
        <w:pStyle w:val="ListParagraph"/>
        <w:numPr>
          <w:ilvl w:val="0"/>
          <w:numId w:val="2"/>
        </w:numPr>
        <w:spacing w:after="100"/>
      </w:pPr>
      <w:r>
        <w:rPr>
          <w:rFonts w:ascii="Calibri" w:cs="Calibri" w:eastAsia="Calibri" w:hAnsi="Calibri"/>
          <w:b w:val="false"/>
          <w:bCs w:val="false"/>
          <w:color w:val="1A1A1A"/>
          <w:sz w:val="21"/>
          <w:szCs w:val="21"/>
        </w:rPr>
        <w:t xml:space="preserve">Use of HTTP Instead of HTTPS: The link uses the insecure HTTP protocol rather than HTTPS, indicating the absence of a valid SSL/TLS certificate — a major red flag for any page requesting credentials.</w:t>
      </w:r>
    </w:p>
    <w:p>
      <w:pPr>
        <w:pStyle w:val="ListParagraph"/>
        <w:numPr>
          <w:ilvl w:val="0"/>
          <w:numId w:val="2"/>
        </w:numPr>
        <w:spacing w:after="100"/>
      </w:pPr>
      <w:r>
        <w:rPr>
          <w:rFonts w:ascii="Calibri" w:cs="Calibri" w:eastAsia="Calibri" w:hAnsi="Calibri"/>
          <w:b w:val="false"/>
          <w:bCs w:val="false"/>
          <w:color w:val="1A1A1A"/>
          <w:sz w:val="21"/>
          <w:szCs w:val="21"/>
        </w:rPr>
        <w:t xml:space="preserve">Credential Theft Risk: The URL is highly likely to lead to a fake login page designed to harvest usernames and passwords.</w:t>
      </w:r>
    </w:p>
    <w:p>
      <w:pPr>
        <w:pStyle w:val="ListParagraph"/>
        <w:numPr>
          <w:ilvl w:val="0"/>
          <w:numId w:val="2"/>
        </w:numPr>
        <w:spacing w:after="100"/>
      </w:pPr>
      <w:r>
        <w:rPr>
          <w:rFonts w:ascii="Calibri" w:cs="Calibri" w:eastAsia="Calibri" w:hAnsi="Calibri"/>
          <w:b w:val="false"/>
          <w:bCs w:val="false"/>
          <w:color w:val="1A1A1A"/>
          <w:sz w:val="21"/>
          <w:szCs w:val="21"/>
        </w:rPr>
        <w:t xml:space="preserve">Should Never Be Visited: Given the above indicators, this URL should be treated as malicious and must never be accessed, even for testing purposes, outside of an isolated and controlled analysis environment.</w:t>
      </w:r>
    </w:p>
    <w:p>
      <w:pPr>
        <w:pStyle w:val="Heading2"/>
        <w:spacing w:after="160" w:before="320"/>
      </w:pPr>
      <w:r>
        <w:rPr>
          <w:rFonts w:ascii="Calibri" w:cs="Calibri" w:eastAsia="Calibri" w:hAnsi="Calibri"/>
          <w:b/>
          <w:bCs/>
          <w:color w:val="1F5FA8"/>
          <w:sz w:val="26"/>
          <w:szCs w:val="26"/>
        </w:rPr>
        <w:t xml:space="preserve">6.5  Psychological Manipulation Techniques</w:t>
      </w:r>
    </w:p>
    <w:p>
      <w:pPr>
        <w:spacing w:after="160" w:line="276"/>
        <w:jc w:val="both"/>
      </w:pPr>
      <w:r>
        <w:rPr>
          <w:rFonts w:ascii="Calibri" w:cs="Calibri" w:eastAsia="Calibri" w:hAnsi="Calibri"/>
          <w:b w:val="false"/>
          <w:bCs w:val="false"/>
          <w:i w:val="false"/>
          <w:iCs w:val="false"/>
          <w:color w:val="1A1A1A"/>
          <w:sz w:val="21"/>
          <w:szCs w:val="21"/>
        </w:rPr>
        <w:t xml:space="preserve">This email employs several well-documented social engineering techniques:</w:t>
      </w:r>
    </w:p>
    <w:p>
      <w:pPr>
        <w:pStyle w:val="ListParagraph"/>
        <w:numPr>
          <w:ilvl w:val="0"/>
          <w:numId w:val="2"/>
        </w:numPr>
        <w:spacing w:after="100"/>
      </w:pPr>
      <w:r>
        <w:rPr>
          <w:rFonts w:ascii="Calibri" w:cs="Calibri" w:eastAsia="Calibri" w:hAnsi="Calibri"/>
          <w:b w:val="false"/>
          <w:bCs w:val="false"/>
          <w:color w:val="1A1A1A"/>
          <w:sz w:val="21"/>
          <w:szCs w:val="21"/>
        </w:rPr>
        <w:t xml:space="preserve">Fear: Suggesting account compromise to provoke anxiety.</w:t>
      </w:r>
    </w:p>
    <w:p>
      <w:pPr>
        <w:pStyle w:val="ListParagraph"/>
        <w:numPr>
          <w:ilvl w:val="0"/>
          <w:numId w:val="2"/>
        </w:numPr>
        <w:spacing w:after="100"/>
      </w:pPr>
      <w:r>
        <w:rPr>
          <w:rFonts w:ascii="Calibri" w:cs="Calibri" w:eastAsia="Calibri" w:hAnsi="Calibri"/>
          <w:b w:val="false"/>
          <w:bCs w:val="false"/>
          <w:color w:val="1A1A1A"/>
          <w:sz w:val="21"/>
          <w:szCs w:val="21"/>
        </w:rPr>
        <w:t xml:space="preserve">Urgency: Demanding immediate action within a strict 24-hour window.</w:t>
      </w:r>
    </w:p>
    <w:p>
      <w:pPr>
        <w:pStyle w:val="ListParagraph"/>
        <w:numPr>
          <w:ilvl w:val="0"/>
          <w:numId w:val="2"/>
        </w:numPr>
        <w:spacing w:after="100"/>
      </w:pPr>
      <w:r>
        <w:rPr>
          <w:rFonts w:ascii="Calibri" w:cs="Calibri" w:eastAsia="Calibri" w:hAnsi="Calibri"/>
          <w:b w:val="false"/>
          <w:bCs w:val="false"/>
          <w:color w:val="1A1A1A"/>
          <w:sz w:val="21"/>
          <w:szCs w:val="21"/>
        </w:rPr>
        <w:t xml:space="preserve">Time Pressure: Reducing the recipient's opportunity for careful evaluation.</w:t>
      </w:r>
    </w:p>
    <w:p>
      <w:pPr>
        <w:pStyle w:val="ListParagraph"/>
        <w:numPr>
          <w:ilvl w:val="0"/>
          <w:numId w:val="2"/>
        </w:numPr>
        <w:spacing w:after="100"/>
      </w:pPr>
      <w:r>
        <w:rPr>
          <w:rFonts w:ascii="Calibri" w:cs="Calibri" w:eastAsia="Calibri" w:hAnsi="Calibri"/>
          <w:b w:val="false"/>
          <w:bCs w:val="false"/>
          <w:color w:val="1A1A1A"/>
          <w:sz w:val="21"/>
          <w:szCs w:val="21"/>
        </w:rPr>
        <w:t xml:space="preserve">Social Engineering: Exploiting trust in the guise of an official 'Security Team.'</w:t>
      </w:r>
    </w:p>
    <w:p>
      <w:pPr>
        <w:pStyle w:val="ListParagraph"/>
        <w:numPr>
          <w:ilvl w:val="0"/>
          <w:numId w:val="2"/>
        </w:numPr>
        <w:spacing w:after="100"/>
      </w:pPr>
      <w:r>
        <w:rPr>
          <w:rFonts w:ascii="Calibri" w:cs="Calibri" w:eastAsia="Calibri" w:hAnsi="Calibri"/>
          <w:b w:val="false"/>
          <w:bCs w:val="false"/>
          <w:color w:val="1A1A1A"/>
          <w:sz w:val="21"/>
          <w:szCs w:val="21"/>
        </w:rPr>
        <w:t xml:space="preserve">Emotional Manipulation: Framing inaction as leading to a negative, permanent consequence (account lock).</w:t>
      </w:r>
    </w:p>
    <w:p>
      <w:pPr>
        <w:pStyle w:val="Heading1"/>
        <w:pBdr>
          <w:bottom w:val="single" w:color="1F5FA8" w:sz="12" w:space="6"/>
        </w:pBdr>
        <w:spacing w:after="240" w:before="480"/>
      </w:pPr>
      <w:r>
        <w:rPr>
          <w:rFonts w:ascii="Calibri" w:cs="Calibri" w:eastAsia="Calibri" w:hAnsi="Calibri"/>
          <w:b/>
          <w:bCs/>
          <w:color w:val="0B1F3A"/>
          <w:sz w:val="32"/>
          <w:szCs w:val="32"/>
        </w:rPr>
        <w:t xml:space="preserve">7.  Phishing Indicators</w:t>
      </w:r>
    </w:p>
    <w:p>
      <w:pPr>
        <w:spacing w:after="160" w:line="276"/>
        <w:jc w:val="both"/>
      </w:pPr>
      <w:r>
        <w:rPr>
          <w:rFonts w:ascii="Calibri" w:cs="Calibri" w:eastAsia="Calibri" w:hAnsi="Calibri"/>
          <w:b w:val="false"/>
          <w:bCs w:val="false"/>
          <w:i w:val="false"/>
          <w:iCs w:val="false"/>
          <w:color w:val="1A1A1A"/>
          <w:sz w:val="21"/>
          <w:szCs w:val="21"/>
        </w:rPr>
        <w:t xml:space="preserve">The table below summarizes the key phishing indicators identified within the sample email, along with their associated risk level.</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200"/>
        <w:gridCol w:w="4160"/>
        <w:gridCol w:w="2000"/>
      </w:tblGrid>
      <w:tr>
        <w:trPr>
          <w:tblHeader/>
        </w:trPr>
        <w:tc>
          <w:tcPr>
            <w:tcW w:type="dxa" w:w="320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Indicator</w:t>
            </w:r>
          </w:p>
        </w:tc>
        <w:tc>
          <w:tcPr>
            <w:tcW w:type="dxa" w:w="416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Observation</w:t>
            </w:r>
          </w:p>
        </w:tc>
        <w:tc>
          <w:tcPr>
            <w:tcW w:type="dxa" w:w="200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Generic Greeting</w:t>
            </w:r>
          </w:p>
        </w:tc>
        <w:tc>
          <w:tcPr>
            <w:tcW w:type="dxa" w:w="4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Present ('Dear User')</w:t>
            </w:r>
          </w:p>
        </w:tc>
        <w:tc>
          <w:tcPr>
            <w:tcW w:type="dxa" w:w="2000"/>
            <w:shd w:fill="FFFFFF" w:val="clear"/>
            <w:tcMar>
              <w:top w:type="dxa" w:w="90"/>
              <w:left w:type="dxa" w:w="120"/>
              <w:bottom w:type="dxa" w:w="90"/>
              <w:right w:type="dxa" w:w="120"/>
            </w:tcMar>
            <w:vAlign w:val="center"/>
          </w:tcPr>
          <w:p>
            <w:r>
              <w:rPr>
                <w:rFonts w:ascii="Calibri" w:cs="Calibri" w:eastAsia="Calibri" w:hAnsi="Calibri"/>
                <w:b/>
                <w:bCs/>
                <w:color w:val="B7791F"/>
                <w:sz w:val="20"/>
                <w:szCs w:val="20"/>
              </w:rPr>
              <w:t xml:space="preserve">Medium</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Suspicious URL</w:t>
            </w:r>
          </w:p>
        </w:tc>
        <w:tc>
          <w:tcPr>
            <w:tcW w:type="dxa" w:w="4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Present (defanged malicious link)</w:t>
            </w:r>
          </w:p>
        </w:tc>
        <w:tc>
          <w:tcPr>
            <w:tcW w:type="dxa" w:w="2000"/>
            <w:shd w:fill="F2F3F5" w:val="clear"/>
            <w:tcMar>
              <w:top w:type="dxa" w:w="90"/>
              <w:left w:type="dxa" w:w="120"/>
              <w:bottom w:type="dxa" w:w="90"/>
              <w:right w:type="dxa" w:w="120"/>
            </w:tcMar>
            <w:vAlign w:val="center"/>
          </w:tcPr>
          <w:p>
            <w:r>
              <w:rPr>
                <w:rFonts w:ascii="Calibri" w:cs="Calibri" w:eastAsia="Calibri" w:hAnsi="Calibri"/>
                <w:b/>
                <w:bCs/>
                <w:color w:val="B3261E"/>
                <w:sz w:val="20"/>
                <w:szCs w:val="20"/>
              </w:rPr>
              <w:t xml:space="preserve">High</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Urgency</w:t>
            </w:r>
          </w:p>
        </w:tc>
        <w:tc>
          <w:tcPr>
            <w:tcW w:type="dxa" w:w="4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Present (24-hour deadline)</w:t>
            </w:r>
          </w:p>
        </w:tc>
        <w:tc>
          <w:tcPr>
            <w:tcW w:type="dxa" w:w="2000"/>
            <w:shd w:fill="FFFFFF" w:val="clear"/>
            <w:tcMar>
              <w:top w:type="dxa" w:w="90"/>
              <w:left w:type="dxa" w:w="120"/>
              <w:bottom w:type="dxa" w:w="90"/>
              <w:right w:type="dxa" w:w="120"/>
            </w:tcMar>
            <w:vAlign w:val="center"/>
          </w:tcPr>
          <w:p>
            <w:r>
              <w:rPr>
                <w:rFonts w:ascii="Calibri" w:cs="Calibri" w:eastAsia="Calibri" w:hAnsi="Calibri"/>
                <w:b/>
                <w:bCs/>
                <w:color w:val="B3261E"/>
                <w:sz w:val="20"/>
                <w:szCs w:val="20"/>
              </w:rPr>
              <w:t xml:space="preserve">High</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Fear Tactic</w:t>
            </w:r>
          </w:p>
        </w:tc>
        <w:tc>
          <w:tcPr>
            <w:tcW w:type="dxa" w:w="4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Present (account lock threat)</w:t>
            </w:r>
          </w:p>
        </w:tc>
        <w:tc>
          <w:tcPr>
            <w:tcW w:type="dxa" w:w="2000"/>
            <w:shd w:fill="F2F3F5" w:val="clear"/>
            <w:tcMar>
              <w:top w:type="dxa" w:w="90"/>
              <w:left w:type="dxa" w:w="120"/>
              <w:bottom w:type="dxa" w:w="90"/>
              <w:right w:type="dxa" w:w="120"/>
            </w:tcMar>
            <w:vAlign w:val="center"/>
          </w:tcPr>
          <w:p>
            <w:r>
              <w:rPr>
                <w:rFonts w:ascii="Calibri" w:cs="Calibri" w:eastAsia="Calibri" w:hAnsi="Calibri"/>
                <w:b/>
                <w:bCs/>
                <w:color w:val="B3261E"/>
                <w:sz w:val="20"/>
                <w:szCs w:val="20"/>
              </w:rPr>
              <w:t xml:space="preserve">High</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Unknown Sender</w:t>
            </w:r>
          </w:p>
        </w:tc>
        <w:tc>
          <w:tcPr>
            <w:tcW w:type="dxa" w:w="4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Sender information unavailable in sample</w:t>
            </w:r>
          </w:p>
        </w:tc>
        <w:tc>
          <w:tcPr>
            <w:tcW w:type="dxa" w:w="2000"/>
            <w:shd w:fill="FFFFFF" w:val="clear"/>
            <w:tcMar>
              <w:top w:type="dxa" w:w="90"/>
              <w:left w:type="dxa" w:w="120"/>
              <w:bottom w:type="dxa" w:w="90"/>
              <w:right w:type="dxa" w:w="120"/>
            </w:tcMar>
            <w:vAlign w:val="center"/>
          </w:tcPr>
          <w:p>
            <w:r>
              <w:rPr>
                <w:rFonts w:ascii="Calibri" w:cs="Calibri" w:eastAsia="Calibri" w:hAnsi="Calibri"/>
                <w:b/>
                <w:bCs/>
                <w:color w:val="B7791F"/>
                <w:sz w:val="20"/>
                <w:szCs w:val="20"/>
              </w:rPr>
              <w:t xml:space="preserve">Medium</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Credential Harvesting Attempt</w:t>
            </w:r>
          </w:p>
        </w:tc>
        <w:tc>
          <w:tcPr>
            <w:tcW w:type="dxa" w:w="4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Present (verification link)</w:t>
            </w:r>
          </w:p>
        </w:tc>
        <w:tc>
          <w:tcPr>
            <w:tcW w:type="dxa" w:w="2000"/>
            <w:shd w:fill="F2F3F5" w:val="clear"/>
            <w:tcMar>
              <w:top w:type="dxa" w:w="90"/>
              <w:left w:type="dxa" w:w="120"/>
              <w:bottom w:type="dxa" w:w="90"/>
              <w:right w:type="dxa" w:w="120"/>
            </w:tcMar>
            <w:vAlign w:val="center"/>
          </w:tcPr>
          <w:p>
            <w:r>
              <w:rPr>
                <w:rFonts w:ascii="Calibri" w:cs="Calibri" w:eastAsia="Calibri" w:hAnsi="Calibri"/>
                <w:b/>
                <w:bCs/>
                <w:color w:val="B3261E"/>
                <w:sz w:val="20"/>
                <w:szCs w:val="20"/>
              </w:rPr>
              <w:t xml:space="preserve">High</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Lack of Personalization</w:t>
            </w:r>
          </w:p>
        </w:tc>
        <w:tc>
          <w:tcPr>
            <w:tcW w:type="dxa" w:w="4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Present (no account-specific details)</w:t>
            </w:r>
          </w:p>
        </w:tc>
        <w:tc>
          <w:tcPr>
            <w:tcW w:type="dxa" w:w="2000"/>
            <w:shd w:fill="FFFFFF" w:val="clear"/>
            <w:tcMar>
              <w:top w:type="dxa" w:w="90"/>
              <w:left w:type="dxa" w:w="120"/>
              <w:bottom w:type="dxa" w:w="90"/>
              <w:right w:type="dxa" w:w="120"/>
            </w:tcMar>
            <w:vAlign w:val="center"/>
          </w:tcPr>
          <w:p>
            <w:r>
              <w:rPr>
                <w:rFonts w:ascii="Calibri" w:cs="Calibri" w:eastAsia="Calibri" w:hAnsi="Calibri"/>
                <w:b/>
                <w:bCs/>
                <w:color w:val="B7791F"/>
                <w:sz w:val="20"/>
                <w:szCs w:val="20"/>
              </w:rPr>
              <w:t xml:space="preserve">Medium</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Suspicious Authenticity</w:t>
            </w:r>
          </w:p>
        </w:tc>
        <w:tc>
          <w:tcPr>
            <w:tcW w:type="dxa" w:w="4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Present (unverifiable claims)</w:t>
            </w:r>
          </w:p>
        </w:tc>
        <w:tc>
          <w:tcPr>
            <w:tcW w:type="dxa" w:w="2000"/>
            <w:shd w:fill="F2F3F5" w:val="clear"/>
            <w:tcMar>
              <w:top w:type="dxa" w:w="90"/>
              <w:left w:type="dxa" w:w="120"/>
              <w:bottom w:type="dxa" w:w="90"/>
              <w:right w:type="dxa" w:w="120"/>
            </w:tcMar>
            <w:vAlign w:val="center"/>
          </w:tcPr>
          <w:p>
            <w:r>
              <w:rPr>
                <w:rFonts w:ascii="Calibri" w:cs="Calibri" w:eastAsia="Calibri" w:hAnsi="Calibri"/>
                <w:b/>
                <w:bCs/>
                <w:color w:val="B3261E"/>
                <w:sz w:val="20"/>
                <w:szCs w:val="20"/>
              </w:rPr>
              <w:t xml:space="preserve">High</w:t>
            </w:r>
          </w:p>
        </w:tc>
      </w:tr>
    </w:tbl>
    <w:p>
      <w:pPr>
        <w:spacing w:after="120"/>
      </w:pPr>
      <w:r>
        <w:t xml:space="preserve"/>
      </w:r>
    </w:p>
    <w:p>
      <w:pPr>
        <w:spacing w:after="160" w:line="276"/>
        <w:jc w:val="both"/>
      </w:pPr>
      <w:r>
        <w:rPr>
          <w:rFonts w:ascii="Calibri" w:cs="Calibri" w:eastAsia="Calibri" w:hAnsi="Calibri"/>
          <w:b w:val="false"/>
          <w:bCs w:val="false"/>
          <w:i w:val="false"/>
          <w:iCs w:val="false"/>
          <w:color w:val="1A1A1A"/>
          <w:sz w:val="21"/>
          <w:szCs w:val="21"/>
        </w:rPr>
        <w:t xml:space="preserve">Each of these indicators, when observed individually, may raise mild suspicion. However, their cumulative presence within a single message is a strong and reliable signal of a coordinated phishing attempt. Analysts and end users alike are trained to treat the combination of urgency, generic greetings, and unverified links as a near-certain marker of malicious intent.</w:t>
      </w:r>
    </w:p>
    <w:p>
      <w:pPr>
        <w:pStyle w:val="Heading1"/>
        <w:pBdr>
          <w:bottom w:val="single" w:color="1F5FA8" w:sz="12" w:space="6"/>
        </w:pBdr>
        <w:spacing w:after="240" w:before="480"/>
      </w:pPr>
      <w:r>
        <w:rPr>
          <w:rFonts w:ascii="Calibri" w:cs="Calibri" w:eastAsia="Calibri" w:hAnsi="Calibri"/>
          <w:b/>
          <w:bCs/>
          <w:color w:val="0B1F3A"/>
          <w:sz w:val="32"/>
          <w:szCs w:val="32"/>
        </w:rPr>
        <w:t xml:space="preserve">8.  Risk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left w:val="none"/>
              <w:bottom w:val="none"/>
              <w:right w:val="none"/>
            </w:tcBorders>
          </w:tcPr>
          <w:tbl>
            <w:tblPr>
              <w:tblW w:type="pct" w:w="40%"/>
              <w:tblBorders>
                <w:top w:val="single" w:color="B3261E" w:sz="6"/>
                <w:left w:val="single" w:color="B3261E" w:sz="6"/>
                <w:bottom w:val="single" w:color="B3261E" w:sz="6"/>
                <w:right w:val="single" w:color="B3261E" w:sz="6"/>
                <w:insideH w:val="single" w:color="auto" w:sz="4"/>
                <w:insideV w:val="single" w:color="auto" w:sz="4"/>
              </w:tblBorders>
            </w:tblPr>
            <w:tblGrid>
              <w:gridCol w:w="100"/>
            </w:tblGrid>
            <w:tr>
              <w:tc>
                <w:tcPr>
                  <w:shd w:fill="FBEAEA" w:val="clear"/>
                  <w:tcMar>
                    <w:top w:type="dxa" w:w="120"/>
                    <w:left w:type="dxa" w:w="160"/>
                    <w:bottom w:type="dxa" w:w="120"/>
                    <w:right w:type="dxa" w:w="160"/>
                  </w:tcMar>
                </w:tcPr>
                <w:p>
                  <w:pPr>
                    <w:jc w:val="center"/>
                  </w:pPr>
                  <w:r>
                    <w:rPr>
                      <w:rFonts w:ascii="Calibri" w:cs="Calibri" w:eastAsia="Calibri" w:hAnsi="Calibri"/>
                      <w:b/>
                      <w:bCs/>
                      <w:color w:val="B3261E"/>
                      <w:sz w:val="22"/>
                      <w:szCs w:val="22"/>
                    </w:rPr>
                    <w:t xml:space="preserve">HIGH RISK</w:t>
                  </w:r>
                </w:p>
              </w:tc>
            </w:tr>
          </w:tbl>
          <w:p/>
        </w:tc>
        <w:tc>
          <w:tcPr>
            <w:tcW w:type="dxa" w:w="3120"/>
            <w:tcBorders>
              <w:top w:val="none"/>
              <w:left w:val="none"/>
              <w:bottom w:val="none"/>
              <w:right w:val="none"/>
            </w:tcBorders>
          </w:tcPr>
          <w:tbl>
            <w:tblPr>
              <w:tblW w:type="pct" w:w="40%"/>
              <w:tblBorders>
                <w:top w:val="single" w:color="0B1F3A" w:sz="6"/>
                <w:left w:val="single" w:color="0B1F3A" w:sz="6"/>
                <w:bottom w:val="single" w:color="0B1F3A" w:sz="6"/>
                <w:right w:val="single" w:color="0B1F3A" w:sz="6"/>
                <w:insideH w:val="single" w:color="auto" w:sz="4"/>
                <w:insideV w:val="single" w:color="auto" w:sz="4"/>
              </w:tblBorders>
            </w:tblPr>
            <w:tblGrid>
              <w:gridCol w:w="100"/>
            </w:tblGrid>
            <w:tr>
              <w:tc>
                <w:tcPr>
                  <w:shd w:fill="EAF2FB" w:val="clear"/>
                  <w:tcMar>
                    <w:top w:type="dxa" w:w="120"/>
                    <w:left w:type="dxa" w:w="160"/>
                    <w:bottom w:type="dxa" w:w="120"/>
                    <w:right w:type="dxa" w:w="160"/>
                  </w:tcMar>
                </w:tcPr>
                <w:p>
                  <w:pPr>
                    <w:jc w:val="center"/>
                  </w:pPr>
                  <w:r>
                    <w:rPr>
                      <w:rFonts w:ascii="Calibri" w:cs="Calibri" w:eastAsia="Calibri" w:hAnsi="Calibri"/>
                      <w:b/>
                      <w:bCs/>
                      <w:color w:val="0B1F3A"/>
                      <w:sz w:val="22"/>
                      <w:szCs w:val="22"/>
                    </w:rPr>
                    <w:t xml:space="preserve">PHISHING</w:t>
                  </w:r>
                </w:p>
              </w:tc>
            </w:tr>
          </w:tbl>
          <w:p/>
        </w:tc>
        <w:tc>
          <w:tcPr>
            <w:tcW w:type="dxa" w:w="3120"/>
            <w:tcBorders>
              <w:top w:val="none"/>
              <w:left w:val="none"/>
              <w:bottom w:val="none"/>
              <w:right w:val="none"/>
            </w:tcBorders>
          </w:tcPr>
          <w:tbl>
            <w:tblPr>
              <w:tblW w:type="pct" w:w="40%"/>
              <w:tblBorders>
                <w:top w:val="single" w:color="1E7A46" w:sz="6"/>
                <w:left w:val="single" w:color="1E7A46" w:sz="6"/>
                <w:bottom w:val="single" w:color="1E7A46" w:sz="6"/>
                <w:right w:val="single" w:color="1E7A46" w:sz="6"/>
                <w:insideH w:val="single" w:color="auto" w:sz="4"/>
                <w:insideV w:val="single" w:color="auto" w:sz="4"/>
              </w:tblBorders>
            </w:tblPr>
            <w:tblGrid>
              <w:gridCol w:w="100"/>
            </w:tblGrid>
            <w:tr>
              <w:tc>
                <w:tcPr>
                  <w:shd w:fill="E7F5EC" w:val="clear"/>
                  <w:tcMar>
                    <w:top w:type="dxa" w:w="120"/>
                    <w:left w:type="dxa" w:w="160"/>
                    <w:bottom w:type="dxa" w:w="120"/>
                    <w:right w:type="dxa" w:w="160"/>
                  </w:tcMar>
                </w:tcPr>
                <w:p>
                  <w:pPr>
                    <w:jc w:val="center"/>
                  </w:pPr>
                  <w:r>
                    <w:rPr>
                      <w:rFonts w:ascii="Calibri" w:cs="Calibri" w:eastAsia="Calibri" w:hAnsi="Calibri"/>
                      <w:b/>
                      <w:bCs/>
                      <w:color w:val="1E7A46"/>
                      <w:sz w:val="22"/>
                      <w:szCs w:val="22"/>
                    </w:rPr>
                    <w:t xml:space="preserve">VERY HIGH CONFIDENCE</w:t>
                  </w:r>
                </w:p>
              </w:tc>
            </w:tr>
          </w:tbl>
          <w:p/>
        </w:tc>
      </w:tr>
    </w:tbl>
    <w:p>
      <w:pPr>
        <w:spacing w:after="160"/>
      </w:pPr>
      <w:r>
        <w:t xml:space="preserve"/>
      </w:r>
    </w:p>
    <w:p>
      <w:pPr>
        <w:spacing w:after="160" w:line="276"/>
        <w:jc w:val="both"/>
      </w:pPr>
      <w:r>
        <w:rPr>
          <w:rFonts w:ascii="Calibri" w:cs="Calibri" w:eastAsia="Calibri" w:hAnsi="Calibri"/>
          <w:b w:val="false"/>
          <w:bCs w:val="false"/>
          <w:i w:val="false"/>
          <w:iCs w:val="false"/>
          <w:color w:val="1A1A1A"/>
          <w:sz w:val="21"/>
          <w:szCs w:val="21"/>
        </w:rPr>
        <w:t xml:space="preserve">Justification: The overall risk level has been classified as HIGH, with a final classification of PHISHING and a confidence level of Very High. This assessment is based on the cumulative presence of multiple, well-established phishing indicators identified in Section 7, including a suspicious defanged URL served over an insecure HTTP connection, explicit urgency and fear-based language, a generic non-personalized greeting, and a vague message body lacking any verifiable detail. No single indicator alone determines classification; rather, the convergence of technical (insecure URL) and behavioral (fear, urgency) red flags provides strong, corroborated evidence supporting a high-confidence phishing determination.</w:t>
      </w:r>
    </w:p>
    <w:p>
      <w:pPr>
        <w:pStyle w:val="Heading1"/>
        <w:pBdr>
          <w:bottom w:val="single" w:color="1F5FA8" w:sz="12" w:space="6"/>
        </w:pBdr>
        <w:spacing w:after="240" w:before="480"/>
      </w:pPr>
      <w:r>
        <w:rPr>
          <w:rFonts w:ascii="Calibri" w:cs="Calibri" w:eastAsia="Calibri" w:hAnsi="Calibri"/>
          <w:b/>
          <w:bCs/>
          <w:color w:val="0B1F3A"/>
          <w:sz w:val="32"/>
          <w:szCs w:val="32"/>
        </w:rPr>
        <w:t xml:space="preserve">9.  Email Header Analysis</w:t>
      </w:r>
    </w:p>
    <w:tbl>
      <w:tblPr>
        <w:tblW w:type="pct" w:w="100%"/>
        <w:tblBorders>
          <w:top w:val="single" w:color="B7791F" w:sz="6"/>
          <w:left w:val="single" w:color="B7791F" w:sz="24"/>
          <w:bottom w:val="single" w:color="B7791F" w:sz="6"/>
          <w:right w:val="single" w:color="B7791F" w:sz="6"/>
          <w:insideH w:val="single" w:color="auto" w:sz="4"/>
          <w:insideV w:val="single" w:color="auto" w:sz="4"/>
        </w:tblBorders>
      </w:tblPr>
      <w:tblGrid>
        <w:gridCol w:w="100"/>
      </w:tblGrid>
      <w:tr>
        <w:tc>
          <w:tcPr>
            <w:shd w:fill="FDF3E3" w:val="clear"/>
            <w:tcMar>
              <w:top w:type="dxa" w:w="160"/>
              <w:left w:type="dxa" w:w="220"/>
              <w:bottom w:type="dxa" w:w="160"/>
              <w:right w:type="dxa" w:w="220"/>
            </w:tcMar>
          </w:tcPr>
          <w:p>
            <w:pPr>
              <w:spacing w:after="80"/>
            </w:pPr>
            <w:r>
              <w:rPr>
                <w:rFonts w:ascii="Calibri" w:cs="Calibri" w:eastAsia="Calibri" w:hAnsi="Calibri"/>
                <w:b/>
                <w:bCs/>
                <w:color w:val="B7791F"/>
                <w:sz w:val="22"/>
                <w:szCs w:val="22"/>
              </w:rPr>
              <w:t xml:space="preserve">ANALYST NOTE</w:t>
            </w:r>
          </w:p>
          <w:p>
            <w:pPr>
              <w:spacing w:after="60"/>
            </w:pPr>
            <w:r>
              <w:rPr>
                <w:rFonts w:ascii="Calibri" w:cs="Calibri" w:eastAsia="Calibri" w:hAnsi="Calibri"/>
                <w:color w:val="222222"/>
                <w:sz w:val="20"/>
                <w:szCs w:val="20"/>
              </w:rPr>
              <w:t xml:space="preserve">•  The original raw email header was not included in the internship sample provided for this task.</w:t>
            </w:r>
          </w:p>
          <w:p>
            <w:pPr>
              <w:spacing w:after="60"/>
            </w:pPr>
            <w:r>
              <w:rPr>
                <w:rFonts w:ascii="Calibri" w:cs="Calibri" w:eastAsia="Calibri" w:hAnsi="Calibri"/>
                <w:color w:val="222222"/>
                <w:sz w:val="20"/>
                <w:szCs w:val="20"/>
              </w:rPr>
              <w:t xml:space="preserve">•  The fields below are therefore discussed conceptually and could not be independently verified for this specific sample.</w:t>
            </w:r>
          </w:p>
        </w:tc>
      </w:tr>
    </w:tbl>
    <w:p>
      <w:pPr>
        <w:spacing w:after="100"/>
      </w:pPr>
      <w:r>
        <w:t xml:space="preserve"/>
      </w:r>
    </w:p>
    <w:p>
      <w:pPr>
        <w:spacing w:after="160" w:line="276"/>
        <w:jc w:val="both"/>
      </w:pPr>
      <w:r>
        <w:rPr>
          <w:rFonts w:ascii="Calibri" w:cs="Calibri" w:eastAsia="Calibri" w:hAnsi="Calibri"/>
          <w:b w:val="false"/>
          <w:bCs w:val="false"/>
          <w:i w:val="false"/>
          <w:iCs w:val="false"/>
          <w:color w:val="1A1A1A"/>
          <w:sz w:val="21"/>
          <w:szCs w:val="21"/>
        </w:rPr>
        <w:t xml:space="preserve">An email header contains metadata describing the journey of a message from sender to recipient, including routing information, authentication results, and originating servers. Header analysis is a critical step in phishing investigation because it can reveal spoofing attempts that are not visible in the email body alone.</w:t>
      </w:r>
    </w:p>
    <w:p>
      <w:pPr>
        <w:pStyle w:val="Heading3"/>
        <w:spacing w:after="120" w:before="220"/>
      </w:pPr>
      <w:r>
        <w:rPr>
          <w:rFonts w:ascii="Calibri" w:cs="Calibri" w:eastAsia="Calibri" w:hAnsi="Calibri"/>
          <w:b/>
          <w:bCs/>
          <w:color w:val="0B1F3A"/>
          <w:sz w:val="23"/>
          <w:szCs w:val="23"/>
        </w:rPr>
        <w:t xml:space="preserve">Key Header Fields</w:t>
      </w:r>
    </w:p>
    <w:p>
      <w:pPr>
        <w:pStyle w:val="Heading3"/>
        <w:spacing w:after="120" w:before="220"/>
      </w:pPr>
      <w:r>
        <w:rPr>
          <w:rFonts w:ascii="Calibri" w:cs="Calibri" w:eastAsia="Calibri" w:hAnsi="Calibri"/>
          <w:b/>
          <w:bCs/>
          <w:color w:val="0B1F3A"/>
          <w:sz w:val="23"/>
          <w:szCs w:val="23"/>
        </w:rPr>
        <w:t xml:space="preserve">SPF (Sender Policy Framework)</w:t>
      </w:r>
    </w:p>
    <w:p>
      <w:pPr>
        <w:spacing w:after="160" w:line="276"/>
        <w:jc w:val="both"/>
      </w:pPr>
      <w:r>
        <w:rPr>
          <w:rFonts w:ascii="Calibri" w:cs="Calibri" w:eastAsia="Calibri" w:hAnsi="Calibri"/>
          <w:b w:val="false"/>
          <w:bCs w:val="false"/>
          <w:i w:val="false"/>
          <w:iCs w:val="false"/>
          <w:color w:val="1A1A1A"/>
          <w:sz w:val="21"/>
          <w:szCs w:val="21"/>
        </w:rPr>
        <w:t xml:space="preserve">Verifies that the sending mail server is authorized to send email on behalf of the claimed domain.</w:t>
      </w:r>
    </w:p>
    <w:p>
      <w:pPr>
        <w:pStyle w:val="Heading3"/>
        <w:spacing w:after="120" w:before="220"/>
      </w:pPr>
      <w:r>
        <w:rPr>
          <w:rFonts w:ascii="Calibri" w:cs="Calibri" w:eastAsia="Calibri" w:hAnsi="Calibri"/>
          <w:b/>
          <w:bCs/>
          <w:color w:val="0B1F3A"/>
          <w:sz w:val="23"/>
          <w:szCs w:val="23"/>
        </w:rPr>
        <w:t xml:space="preserve">DKIM (DomainKeys Identified Mail)</w:t>
      </w:r>
    </w:p>
    <w:p>
      <w:pPr>
        <w:spacing w:after="160" w:line="276"/>
        <w:jc w:val="both"/>
      </w:pPr>
      <w:r>
        <w:rPr>
          <w:rFonts w:ascii="Calibri" w:cs="Calibri" w:eastAsia="Calibri" w:hAnsi="Calibri"/>
          <w:b w:val="false"/>
          <w:bCs w:val="false"/>
          <w:i w:val="false"/>
          <w:iCs w:val="false"/>
          <w:color w:val="1A1A1A"/>
          <w:sz w:val="21"/>
          <w:szCs w:val="21"/>
        </w:rPr>
        <w:t xml:space="preserve">Uses a cryptographic signature to verify that the email content has not been altered in transit.</w:t>
      </w:r>
    </w:p>
    <w:p>
      <w:pPr>
        <w:pStyle w:val="Heading3"/>
        <w:spacing w:after="120" w:before="220"/>
      </w:pPr>
      <w:r>
        <w:rPr>
          <w:rFonts w:ascii="Calibri" w:cs="Calibri" w:eastAsia="Calibri" w:hAnsi="Calibri"/>
          <w:b/>
          <w:bCs/>
          <w:color w:val="0B1F3A"/>
          <w:sz w:val="23"/>
          <w:szCs w:val="23"/>
        </w:rPr>
        <w:t xml:space="preserve">DMARC (Domain-based Message Authentication)</w:t>
      </w:r>
    </w:p>
    <w:p>
      <w:pPr>
        <w:spacing w:after="160" w:line="276"/>
        <w:jc w:val="both"/>
      </w:pPr>
      <w:r>
        <w:rPr>
          <w:rFonts w:ascii="Calibri" w:cs="Calibri" w:eastAsia="Calibri" w:hAnsi="Calibri"/>
          <w:b w:val="false"/>
          <w:bCs w:val="false"/>
          <w:i w:val="false"/>
          <w:iCs w:val="false"/>
          <w:color w:val="1A1A1A"/>
          <w:sz w:val="21"/>
          <w:szCs w:val="21"/>
        </w:rPr>
        <w:t xml:space="preserve">Builds on SPF and DKIM to instruct receiving servers on how to handle authentication failures.</w:t>
      </w:r>
    </w:p>
    <w:p>
      <w:pPr>
        <w:pStyle w:val="Heading3"/>
        <w:spacing w:after="120" w:before="220"/>
      </w:pPr>
      <w:r>
        <w:rPr>
          <w:rFonts w:ascii="Calibri" w:cs="Calibri" w:eastAsia="Calibri" w:hAnsi="Calibri"/>
          <w:b/>
          <w:bCs/>
          <w:color w:val="0B1F3A"/>
          <w:sz w:val="23"/>
          <w:szCs w:val="23"/>
        </w:rPr>
        <w:t xml:space="preserve">Return-Path</w:t>
      </w:r>
    </w:p>
    <w:p>
      <w:pPr>
        <w:spacing w:after="160" w:line="276"/>
        <w:jc w:val="both"/>
      </w:pPr>
      <w:r>
        <w:rPr>
          <w:rFonts w:ascii="Calibri" w:cs="Calibri" w:eastAsia="Calibri" w:hAnsi="Calibri"/>
          <w:b w:val="false"/>
          <w:bCs w:val="false"/>
          <w:i w:val="false"/>
          <w:iCs w:val="false"/>
          <w:color w:val="1A1A1A"/>
          <w:sz w:val="21"/>
          <w:szCs w:val="21"/>
        </w:rPr>
        <w:t xml:space="preserve">Indicates the address to which bounce messages are sent, which can reveal the true originating address.</w:t>
      </w:r>
    </w:p>
    <w:p>
      <w:pPr>
        <w:pStyle w:val="Heading3"/>
        <w:spacing w:after="120" w:before="220"/>
      </w:pPr>
      <w:r>
        <w:rPr>
          <w:rFonts w:ascii="Calibri" w:cs="Calibri" w:eastAsia="Calibri" w:hAnsi="Calibri"/>
          <w:b/>
          <w:bCs/>
          <w:color w:val="0B1F3A"/>
          <w:sz w:val="23"/>
          <w:szCs w:val="23"/>
        </w:rPr>
        <w:t xml:space="preserve">Message-ID</w:t>
      </w:r>
    </w:p>
    <w:p>
      <w:pPr>
        <w:spacing w:after="160" w:line="276"/>
        <w:jc w:val="both"/>
      </w:pPr>
      <w:r>
        <w:rPr>
          <w:rFonts w:ascii="Calibri" w:cs="Calibri" w:eastAsia="Calibri" w:hAnsi="Calibri"/>
          <w:b w:val="false"/>
          <w:bCs w:val="false"/>
          <w:i w:val="false"/>
          <w:iCs w:val="false"/>
          <w:color w:val="1A1A1A"/>
          <w:sz w:val="21"/>
          <w:szCs w:val="21"/>
        </w:rPr>
        <w:t xml:space="preserve">A unique identifier assigned to each email, useful for tracing and correlating messages.</w:t>
      </w:r>
    </w:p>
    <w:p>
      <w:pPr>
        <w:pStyle w:val="Heading3"/>
        <w:spacing w:after="120" w:before="220"/>
      </w:pPr>
      <w:r>
        <w:rPr>
          <w:rFonts w:ascii="Calibri" w:cs="Calibri" w:eastAsia="Calibri" w:hAnsi="Calibri"/>
          <w:b/>
          <w:bCs/>
          <w:color w:val="0B1F3A"/>
          <w:sz w:val="23"/>
          <w:szCs w:val="23"/>
        </w:rPr>
        <w:t xml:space="preserve">Received Servers</w:t>
      </w:r>
    </w:p>
    <w:p>
      <w:pPr>
        <w:spacing w:after="160" w:line="276"/>
        <w:jc w:val="both"/>
      </w:pPr>
      <w:r>
        <w:rPr>
          <w:rFonts w:ascii="Calibri" w:cs="Calibri" w:eastAsia="Calibri" w:hAnsi="Calibri"/>
          <w:b w:val="false"/>
          <w:bCs w:val="false"/>
          <w:i w:val="false"/>
          <w:iCs w:val="false"/>
          <w:color w:val="1A1A1A"/>
          <w:sz w:val="21"/>
          <w:szCs w:val="21"/>
        </w:rPr>
        <w:t xml:space="preserve">A chronological record of mail servers the message passed through, useful for tracing its true origin.</w:t>
      </w:r>
    </w:p>
    <w:p>
      <w:pPr>
        <w:spacing w:after="80"/>
      </w:pPr>
      <w:r>
        <w:t xml:space="preserve"/>
      </w:r>
    </w:p>
    <w:p>
      <w:pPr>
        <w:spacing w:after="160" w:line="276"/>
        <w:jc w:val="both"/>
      </w:pPr>
      <w:r>
        <w:rPr>
          <w:rFonts w:ascii="Calibri" w:cs="Calibri" w:eastAsia="Calibri" w:hAnsi="Calibri"/>
          <w:b/>
          <w:bCs/>
          <w:i w:val="false"/>
          <w:iCs w:val="false"/>
          <w:color w:val="1A1A1A"/>
          <w:sz w:val="21"/>
          <w:szCs w:val="21"/>
        </w:rPr>
        <w:t xml:space="preserve">Header Verification Status for This Sample: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200"/>
        <w:gridCol w:w="6160"/>
      </w:tblGrid>
      <w:tr>
        <w:trPr>
          <w:tblHeader/>
        </w:trPr>
        <w:tc>
          <w:tcPr>
            <w:tcW w:type="dxa" w:w="320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Header Field</w:t>
            </w:r>
          </w:p>
        </w:tc>
        <w:tc>
          <w:tcPr>
            <w:tcW w:type="dxa" w:w="616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Verification Status</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SPF</w:t>
            </w:r>
          </w:p>
        </w:tc>
        <w:tc>
          <w:tcPr>
            <w:tcW w:type="dxa" w:w="6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Could not be verified — header unavailable</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DKIM</w:t>
            </w:r>
          </w:p>
        </w:tc>
        <w:tc>
          <w:tcPr>
            <w:tcW w:type="dxa" w:w="6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Could not be verified — header unavailable</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DMARC</w:t>
            </w:r>
          </w:p>
        </w:tc>
        <w:tc>
          <w:tcPr>
            <w:tcW w:type="dxa" w:w="6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Could not be verified — header unavailable</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Return-Path</w:t>
            </w:r>
          </w:p>
        </w:tc>
        <w:tc>
          <w:tcPr>
            <w:tcW w:type="dxa" w:w="6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Could not be verified — header unavailable</w:t>
            </w:r>
          </w:p>
        </w:tc>
      </w:tr>
      <w:tr>
        <w:tc>
          <w:tcPr>
            <w:tcW w:type="dxa" w:w="32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Message-ID</w:t>
            </w:r>
          </w:p>
        </w:tc>
        <w:tc>
          <w:tcPr>
            <w:tcW w:type="dxa" w:w="61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Could not be verified — header unavailable</w:t>
            </w:r>
          </w:p>
        </w:tc>
      </w:tr>
      <w:tr>
        <w:tc>
          <w:tcPr>
            <w:tcW w:type="dxa" w:w="32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Received Servers</w:t>
            </w:r>
          </w:p>
        </w:tc>
        <w:tc>
          <w:tcPr>
            <w:tcW w:type="dxa" w:w="61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Could not be verified — header unavailable</w:t>
            </w:r>
          </w:p>
        </w:tc>
      </w:tr>
    </w:tbl>
    <w:p>
      <w:pPr>
        <w:pStyle w:val="Heading1"/>
        <w:pBdr>
          <w:bottom w:val="single" w:color="1F5FA8" w:sz="12" w:space="6"/>
        </w:pBdr>
        <w:spacing w:after="240" w:before="480"/>
      </w:pPr>
      <w:r>
        <w:rPr>
          <w:rFonts w:ascii="Calibri" w:cs="Calibri" w:eastAsia="Calibri" w:hAnsi="Calibri"/>
          <w:b/>
          <w:bCs/>
          <w:color w:val="0B1F3A"/>
          <w:sz w:val="32"/>
          <w:szCs w:val="32"/>
        </w:rPr>
        <w:t xml:space="preserve">10.  How a Phishing Attack Works</w:t>
      </w:r>
    </w:p>
    <w:p>
      <w:pPr>
        <w:spacing w:after="160" w:line="276"/>
        <w:jc w:val="both"/>
      </w:pPr>
      <w:r>
        <w:rPr>
          <w:rFonts w:ascii="Calibri" w:cs="Calibri" w:eastAsia="Calibri" w:hAnsi="Calibri"/>
          <w:b w:val="false"/>
          <w:bCs w:val="false"/>
          <w:i w:val="false"/>
          <w:iCs w:val="false"/>
          <w:color w:val="1A1A1A"/>
          <w:sz w:val="21"/>
          <w:szCs w:val="21"/>
        </w:rPr>
        <w:t xml:space="preserve">The diagram below illustrates the typical lifecycle of a phishing attack, from initial creation to full account compromise.</w:t>
      </w:r>
    </w:p>
    <w:p>
      <w:pPr>
        <w:spacing w:after="80"/>
      </w:pPr>
      <w:r>
        <w:t xml:space="preserve"/>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D6E6F7"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1. Attacker</w:t>
            </w:r>
          </w:p>
          <w:p>
            <w:pPr>
              <w:spacing w:before="40"/>
              <w:jc w:val="center"/>
            </w:pPr>
            <w:r>
              <w:rPr>
                <w:rFonts w:ascii="Calibri" w:cs="Calibri" w:eastAsia="Calibri" w:hAnsi="Calibri"/>
                <w:i/>
                <w:iCs/>
                <w:color w:val="44494F"/>
                <w:sz w:val="18"/>
                <w:szCs w:val="18"/>
              </w:rPr>
              <w:t xml:space="preserve">Identifies a target and prepares a deceptive campaign</w:t>
            </w:r>
          </w:p>
        </w:tc>
      </w:tr>
    </w:tbl>
    <w:p>
      <w:pPr>
        <w:spacing w:after="40" w:before="40"/>
        <w:jc w:val="center"/>
      </w:pPr>
      <w:r>
        <w:rPr>
          <w:rFonts w:ascii="Calibri" w:cs="Calibri" w:eastAsia="Calibri" w:hAnsi="Calibri"/>
          <w:b/>
          <w:bCs/>
          <w:color w:val="1F5FA8"/>
          <w:sz w:val="32"/>
          <w:szCs w:val="32"/>
        </w:rPr>
        <w:t xml:space="preserve">↓</w:t>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EAF2FB"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2. Creates Fake Email</w:t>
            </w:r>
          </w:p>
          <w:p>
            <w:pPr>
              <w:spacing w:before="40"/>
              <w:jc w:val="center"/>
            </w:pPr>
            <w:r>
              <w:rPr>
                <w:rFonts w:ascii="Calibri" w:cs="Calibri" w:eastAsia="Calibri" w:hAnsi="Calibri"/>
                <w:i/>
                <w:iCs/>
                <w:color w:val="44494F"/>
                <w:sz w:val="18"/>
                <w:szCs w:val="18"/>
              </w:rPr>
              <w:t xml:space="preserve">Crafts a message impersonating a trusted source</w:t>
            </w:r>
          </w:p>
        </w:tc>
      </w:tr>
    </w:tbl>
    <w:p>
      <w:pPr>
        <w:spacing w:after="40" w:before="40"/>
        <w:jc w:val="center"/>
      </w:pPr>
      <w:r>
        <w:rPr>
          <w:rFonts w:ascii="Calibri" w:cs="Calibri" w:eastAsia="Calibri" w:hAnsi="Calibri"/>
          <w:b/>
          <w:bCs/>
          <w:color w:val="1F5FA8"/>
          <w:sz w:val="32"/>
          <w:szCs w:val="32"/>
        </w:rPr>
        <w:t xml:space="preserve">↓</w:t>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D6E6F7"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3. Victim Receives Email</w:t>
            </w:r>
          </w:p>
          <w:p>
            <w:pPr>
              <w:spacing w:before="40"/>
              <w:jc w:val="center"/>
            </w:pPr>
            <w:r>
              <w:rPr>
                <w:rFonts w:ascii="Calibri" w:cs="Calibri" w:eastAsia="Calibri" w:hAnsi="Calibri"/>
                <w:i/>
                <w:iCs/>
                <w:color w:val="44494F"/>
                <w:sz w:val="18"/>
                <w:szCs w:val="18"/>
              </w:rPr>
              <w:t xml:space="preserve">Message lands in the target's inbox</w:t>
            </w:r>
          </w:p>
        </w:tc>
      </w:tr>
    </w:tbl>
    <w:p>
      <w:pPr>
        <w:spacing w:after="40" w:before="40"/>
        <w:jc w:val="center"/>
      </w:pPr>
      <w:r>
        <w:rPr>
          <w:rFonts w:ascii="Calibri" w:cs="Calibri" w:eastAsia="Calibri" w:hAnsi="Calibri"/>
          <w:b/>
          <w:bCs/>
          <w:color w:val="1F5FA8"/>
          <w:sz w:val="32"/>
          <w:szCs w:val="32"/>
        </w:rPr>
        <w:t xml:space="preserve">↓</w:t>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EAF2FB"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4. Victim Clicks Malicious Link</w:t>
            </w:r>
          </w:p>
          <w:p>
            <w:pPr>
              <w:spacing w:before="40"/>
              <w:jc w:val="center"/>
            </w:pPr>
            <w:r>
              <w:rPr>
                <w:rFonts w:ascii="Calibri" w:cs="Calibri" w:eastAsia="Calibri" w:hAnsi="Calibri"/>
                <w:i/>
                <w:iCs/>
                <w:color w:val="44494F"/>
                <w:sz w:val="18"/>
                <w:szCs w:val="18"/>
              </w:rPr>
              <w:t xml:space="preserve">Urgency and fear drive the click</w:t>
            </w:r>
          </w:p>
        </w:tc>
      </w:tr>
    </w:tbl>
    <w:p>
      <w:pPr>
        <w:spacing w:after="40" w:before="40"/>
        <w:jc w:val="center"/>
      </w:pPr>
      <w:r>
        <w:rPr>
          <w:rFonts w:ascii="Calibri" w:cs="Calibri" w:eastAsia="Calibri" w:hAnsi="Calibri"/>
          <w:b/>
          <w:bCs/>
          <w:color w:val="1F5FA8"/>
          <w:sz w:val="32"/>
          <w:szCs w:val="32"/>
        </w:rPr>
        <w:t xml:space="preserve">↓</w:t>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D6E6F7"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5. Fake Login Page</w:t>
            </w:r>
          </w:p>
          <w:p>
            <w:pPr>
              <w:spacing w:before="40"/>
              <w:jc w:val="center"/>
            </w:pPr>
            <w:r>
              <w:rPr>
                <w:rFonts w:ascii="Calibri" w:cs="Calibri" w:eastAsia="Calibri" w:hAnsi="Calibri"/>
                <w:i/>
                <w:iCs/>
                <w:color w:val="44494F"/>
                <w:sz w:val="18"/>
                <w:szCs w:val="18"/>
              </w:rPr>
              <w:t xml:space="preserve">Victim is redirected to a cloned, malicious page</w:t>
            </w:r>
          </w:p>
        </w:tc>
      </w:tr>
    </w:tbl>
    <w:p>
      <w:pPr>
        <w:spacing w:after="40" w:before="40"/>
        <w:jc w:val="center"/>
      </w:pPr>
      <w:r>
        <w:rPr>
          <w:rFonts w:ascii="Calibri" w:cs="Calibri" w:eastAsia="Calibri" w:hAnsi="Calibri"/>
          <w:b/>
          <w:bCs/>
          <w:color w:val="1F5FA8"/>
          <w:sz w:val="32"/>
          <w:szCs w:val="32"/>
        </w:rPr>
        <w:t xml:space="preserve">↓</w:t>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EAF2FB"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6. Credentials Entered</w:t>
            </w:r>
          </w:p>
          <w:p>
            <w:pPr>
              <w:spacing w:before="40"/>
              <w:jc w:val="center"/>
            </w:pPr>
            <w:r>
              <w:rPr>
                <w:rFonts w:ascii="Calibri" w:cs="Calibri" w:eastAsia="Calibri" w:hAnsi="Calibri"/>
                <w:i/>
                <w:iCs/>
                <w:color w:val="44494F"/>
                <w:sz w:val="18"/>
                <w:szCs w:val="18"/>
              </w:rPr>
              <w:t xml:space="preserve">Victim unknowingly submits login details</w:t>
            </w:r>
          </w:p>
        </w:tc>
      </w:tr>
    </w:tbl>
    <w:p>
      <w:pPr>
        <w:spacing w:after="40" w:before="40"/>
        <w:jc w:val="center"/>
      </w:pPr>
      <w:r>
        <w:rPr>
          <w:rFonts w:ascii="Calibri" w:cs="Calibri" w:eastAsia="Calibri" w:hAnsi="Calibri"/>
          <w:b/>
          <w:bCs/>
          <w:color w:val="1F5FA8"/>
          <w:sz w:val="32"/>
          <w:szCs w:val="32"/>
        </w:rPr>
        <w:t xml:space="preserve">↓</w:t>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D6E6F7"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7. Credentials Stolen</w:t>
            </w:r>
          </w:p>
          <w:p>
            <w:pPr>
              <w:spacing w:before="40"/>
              <w:jc w:val="center"/>
            </w:pPr>
            <w:r>
              <w:rPr>
                <w:rFonts w:ascii="Calibri" w:cs="Calibri" w:eastAsia="Calibri" w:hAnsi="Calibri"/>
                <w:i/>
                <w:iCs/>
                <w:color w:val="44494F"/>
                <w:sz w:val="18"/>
                <w:szCs w:val="18"/>
              </w:rPr>
              <w:t xml:space="preserve">Attacker captures the submitted data</w:t>
            </w:r>
          </w:p>
        </w:tc>
      </w:tr>
    </w:tbl>
    <w:p>
      <w:pPr>
        <w:spacing w:after="40" w:before="40"/>
        <w:jc w:val="center"/>
      </w:pPr>
      <w:r>
        <w:rPr>
          <w:rFonts w:ascii="Calibri" w:cs="Calibri" w:eastAsia="Calibri" w:hAnsi="Calibri"/>
          <w:b/>
          <w:bCs/>
          <w:color w:val="1F5FA8"/>
          <w:sz w:val="32"/>
          <w:szCs w:val="32"/>
        </w:rPr>
        <w:t xml:space="preserve">↓</w:t>
      </w:r>
    </w:p>
    <w:tbl>
      <w:tblPr>
        <w:tblW w:type="pct" w:w="70%"/>
        <w:jc w:val="center"/>
        <w:tblBorders>
          <w:top w:val="single" w:color="1F5FA8" w:sz="8"/>
          <w:left w:val="single" w:color="1F5FA8" w:sz="8"/>
          <w:bottom w:val="single" w:color="1F5FA8" w:sz="8"/>
          <w:right w:val="single" w:color="1F5FA8" w:sz="8"/>
          <w:insideH w:val="single" w:color="auto" w:sz="4"/>
          <w:insideV w:val="single" w:color="auto" w:sz="4"/>
        </w:tblBorders>
      </w:tblPr>
      <w:tblGrid>
        <w:gridCol w:w="100"/>
      </w:tblGrid>
      <w:tr>
        <w:tc>
          <w:tcPr>
            <w:shd w:fill="EAF2FB" w:val="clear"/>
            <w:tcMar>
              <w:top w:type="dxa" w:w="120"/>
              <w:left w:type="dxa" w:w="200"/>
              <w:bottom w:type="dxa" w:w="120"/>
              <w:right w:type="dxa" w:w="200"/>
            </w:tcMar>
          </w:tcPr>
          <w:p>
            <w:pPr>
              <w:jc w:val="center"/>
            </w:pPr>
            <w:r>
              <w:rPr>
                <w:rFonts w:ascii="Calibri" w:cs="Calibri" w:eastAsia="Calibri" w:hAnsi="Calibri"/>
                <w:b/>
                <w:bCs/>
                <w:color w:val="0B1F3A"/>
                <w:sz w:val="22"/>
                <w:szCs w:val="22"/>
              </w:rPr>
              <w:t xml:space="preserve">8. Account Compromised</w:t>
            </w:r>
          </w:p>
          <w:p>
            <w:pPr>
              <w:spacing w:before="40"/>
              <w:jc w:val="center"/>
            </w:pPr>
            <w:r>
              <w:rPr>
                <w:rFonts w:ascii="Calibri" w:cs="Calibri" w:eastAsia="Calibri" w:hAnsi="Calibri"/>
                <w:i/>
                <w:iCs/>
                <w:color w:val="44494F"/>
                <w:sz w:val="18"/>
                <w:szCs w:val="18"/>
              </w:rPr>
              <w:t xml:space="preserve">Attacker gains unauthorized access and control</w:t>
            </w:r>
          </w:p>
        </w:tc>
      </w:tr>
    </w:tbl>
    <w:p>
      <w:pPr>
        <w:spacing w:after="120"/>
      </w:pPr>
      <w:r>
        <w:t xml:space="preserve"/>
      </w:r>
    </w:p>
    <w:p>
      <w:pPr>
        <w:spacing w:after="160" w:line="276"/>
        <w:jc w:val="both"/>
      </w:pPr>
      <w:r>
        <w:rPr>
          <w:rFonts w:ascii="Calibri" w:cs="Calibri" w:eastAsia="Calibri" w:hAnsi="Calibri"/>
          <w:b w:val="false"/>
          <w:bCs w:val="false"/>
          <w:i w:val="false"/>
          <w:iCs w:val="false"/>
          <w:color w:val="1A1A1A"/>
          <w:sz w:val="21"/>
          <w:szCs w:val="21"/>
        </w:rPr>
        <w:t xml:space="preserve">Each stage of this chain represents an opportunity for detection and intervention. Email filtering can intercept the message before delivery; user awareness can prevent the click; and multi-factor authentication can prevent account compromise even if credentials are captured. A layered defense strategy addressing multiple stages simultaneously offers the strongest protection against phishing attacks.</w:t>
      </w:r>
    </w:p>
    <w:p>
      <w:pPr>
        <w:pStyle w:val="Heading1"/>
        <w:pBdr>
          <w:bottom w:val="single" w:color="1F5FA8" w:sz="12" w:space="6"/>
        </w:pBdr>
        <w:spacing w:after="240" w:before="480"/>
      </w:pPr>
      <w:r>
        <w:rPr>
          <w:rFonts w:ascii="Calibri" w:cs="Calibri" w:eastAsia="Calibri" w:hAnsi="Calibri"/>
          <w:b/>
          <w:bCs/>
          <w:color w:val="0B1F3A"/>
          <w:sz w:val="32"/>
          <w:szCs w:val="32"/>
        </w:rPr>
        <w:t xml:space="preserve">11.  Possible Consequences</w:t>
      </w:r>
    </w:p>
    <w:p>
      <w:pPr>
        <w:pStyle w:val="Heading3"/>
        <w:spacing w:after="120" w:before="220"/>
      </w:pPr>
      <w:r>
        <w:rPr>
          <w:rFonts w:ascii="Calibri" w:cs="Calibri" w:eastAsia="Calibri" w:hAnsi="Calibri"/>
          <w:b/>
          <w:bCs/>
          <w:color w:val="0B1F3A"/>
          <w:sz w:val="23"/>
          <w:szCs w:val="23"/>
        </w:rPr>
        <w:t xml:space="preserve">Credential Theft</w:t>
      </w:r>
    </w:p>
    <w:p>
      <w:pPr>
        <w:spacing w:after="160" w:line="276"/>
        <w:jc w:val="both"/>
      </w:pPr>
      <w:r>
        <w:rPr>
          <w:rFonts w:ascii="Calibri" w:cs="Calibri" w:eastAsia="Calibri" w:hAnsi="Calibri"/>
          <w:b w:val="false"/>
          <w:bCs w:val="false"/>
          <w:i w:val="false"/>
          <w:iCs w:val="false"/>
          <w:color w:val="1A1A1A"/>
          <w:sz w:val="21"/>
          <w:szCs w:val="21"/>
        </w:rPr>
        <w:t xml:space="preserve">Stolen usernames and passwords can be used for unauthorized account access or sold on underground markets.</w:t>
      </w:r>
    </w:p>
    <w:p>
      <w:pPr>
        <w:pStyle w:val="Heading3"/>
        <w:spacing w:after="120" w:before="220"/>
      </w:pPr>
      <w:r>
        <w:rPr>
          <w:rFonts w:ascii="Calibri" w:cs="Calibri" w:eastAsia="Calibri" w:hAnsi="Calibri"/>
          <w:b/>
          <w:bCs/>
          <w:color w:val="0B1F3A"/>
          <w:sz w:val="23"/>
          <w:szCs w:val="23"/>
        </w:rPr>
        <w:t xml:space="preserve">Identity Theft</w:t>
      </w:r>
    </w:p>
    <w:p>
      <w:pPr>
        <w:spacing w:after="160" w:line="276"/>
        <w:jc w:val="both"/>
      </w:pPr>
      <w:r>
        <w:rPr>
          <w:rFonts w:ascii="Calibri" w:cs="Calibri" w:eastAsia="Calibri" w:hAnsi="Calibri"/>
          <w:b w:val="false"/>
          <w:bCs w:val="false"/>
          <w:i w:val="false"/>
          <w:iCs w:val="false"/>
          <w:color w:val="1A1A1A"/>
          <w:sz w:val="21"/>
          <w:szCs w:val="21"/>
        </w:rPr>
        <w:t xml:space="preserve">Personal information gathered through phishing can be used to impersonate victims for fraudulent purposes.</w:t>
      </w:r>
    </w:p>
    <w:p>
      <w:pPr>
        <w:pStyle w:val="Heading3"/>
        <w:spacing w:after="120" w:before="220"/>
      </w:pPr>
      <w:r>
        <w:rPr>
          <w:rFonts w:ascii="Calibri" w:cs="Calibri" w:eastAsia="Calibri" w:hAnsi="Calibri"/>
          <w:b/>
          <w:bCs/>
          <w:color w:val="0B1F3A"/>
          <w:sz w:val="23"/>
          <w:szCs w:val="23"/>
        </w:rPr>
        <w:t xml:space="preserve">Financial Fraud</w:t>
      </w:r>
    </w:p>
    <w:p>
      <w:pPr>
        <w:spacing w:after="160" w:line="276"/>
        <w:jc w:val="both"/>
      </w:pPr>
      <w:r>
        <w:rPr>
          <w:rFonts w:ascii="Calibri" w:cs="Calibri" w:eastAsia="Calibri" w:hAnsi="Calibri"/>
          <w:b w:val="false"/>
          <w:bCs w:val="false"/>
          <w:i w:val="false"/>
          <w:iCs w:val="false"/>
          <w:color w:val="1A1A1A"/>
          <w:sz w:val="21"/>
          <w:szCs w:val="21"/>
        </w:rPr>
        <w:t xml:space="preserve">Compromised financial credentials can lead to unauthorized transactions and direct monetary loss.</w:t>
      </w:r>
    </w:p>
    <w:p>
      <w:pPr>
        <w:pStyle w:val="Heading3"/>
        <w:spacing w:after="120" w:before="220"/>
      </w:pPr>
      <w:r>
        <w:rPr>
          <w:rFonts w:ascii="Calibri" w:cs="Calibri" w:eastAsia="Calibri" w:hAnsi="Calibri"/>
          <w:b/>
          <w:bCs/>
          <w:color w:val="0B1F3A"/>
          <w:sz w:val="23"/>
          <w:szCs w:val="23"/>
        </w:rPr>
        <w:t xml:space="preserve">Malware Infection</w:t>
      </w:r>
    </w:p>
    <w:p>
      <w:pPr>
        <w:spacing w:after="160" w:line="276"/>
        <w:jc w:val="both"/>
      </w:pPr>
      <w:r>
        <w:rPr>
          <w:rFonts w:ascii="Calibri" w:cs="Calibri" w:eastAsia="Calibri" w:hAnsi="Calibri"/>
          <w:b w:val="false"/>
          <w:bCs w:val="false"/>
          <w:i w:val="false"/>
          <w:iCs w:val="false"/>
          <w:color w:val="1A1A1A"/>
          <w:sz w:val="21"/>
          <w:szCs w:val="21"/>
        </w:rPr>
        <w:t xml:space="preserve">Malicious attachments or links may install ransomware, spyware, or other harmful software.</w:t>
      </w:r>
    </w:p>
    <w:p>
      <w:pPr>
        <w:pStyle w:val="Heading3"/>
        <w:spacing w:after="120" w:before="220"/>
      </w:pPr>
      <w:r>
        <w:rPr>
          <w:rFonts w:ascii="Calibri" w:cs="Calibri" w:eastAsia="Calibri" w:hAnsi="Calibri"/>
          <w:b/>
          <w:bCs/>
          <w:color w:val="0B1F3A"/>
          <w:sz w:val="23"/>
          <w:szCs w:val="23"/>
        </w:rPr>
        <w:t xml:space="preserve">Data Leakage</w:t>
      </w:r>
    </w:p>
    <w:p>
      <w:pPr>
        <w:spacing w:after="160" w:line="276"/>
        <w:jc w:val="both"/>
      </w:pPr>
      <w:r>
        <w:rPr>
          <w:rFonts w:ascii="Calibri" w:cs="Calibri" w:eastAsia="Calibri" w:hAnsi="Calibri"/>
          <w:b w:val="false"/>
          <w:bCs w:val="false"/>
          <w:i w:val="false"/>
          <w:iCs w:val="false"/>
          <w:color w:val="1A1A1A"/>
          <w:sz w:val="21"/>
          <w:szCs w:val="21"/>
        </w:rPr>
        <w:t xml:space="preserve">Compromised accounts can expose sensitive organizational or personal data to unauthorized parties.</w:t>
      </w:r>
    </w:p>
    <w:p>
      <w:pPr>
        <w:pStyle w:val="Heading3"/>
        <w:spacing w:after="120" w:before="220"/>
      </w:pPr>
      <w:r>
        <w:rPr>
          <w:rFonts w:ascii="Calibri" w:cs="Calibri" w:eastAsia="Calibri" w:hAnsi="Calibri"/>
          <w:b/>
          <w:bCs/>
          <w:color w:val="0B1F3A"/>
          <w:sz w:val="23"/>
          <w:szCs w:val="23"/>
        </w:rPr>
        <w:t xml:space="preserve">Business Email Compromise (BEC)</w:t>
      </w:r>
    </w:p>
    <w:p>
      <w:pPr>
        <w:spacing w:after="160" w:line="276"/>
        <w:jc w:val="both"/>
      </w:pPr>
      <w:r>
        <w:rPr>
          <w:rFonts w:ascii="Calibri" w:cs="Calibri" w:eastAsia="Calibri" w:hAnsi="Calibri"/>
          <w:b w:val="false"/>
          <w:bCs w:val="false"/>
          <w:i w:val="false"/>
          <w:iCs w:val="false"/>
          <w:color w:val="1A1A1A"/>
          <w:sz w:val="21"/>
          <w:szCs w:val="21"/>
        </w:rPr>
        <w:t xml:space="preserve">Attackers may use compromised accounts to authorize fraudulent wire transfers or vendor payments.</w:t>
      </w:r>
    </w:p>
    <w:p>
      <w:pPr>
        <w:pStyle w:val="Heading3"/>
        <w:spacing w:after="120" w:before="220"/>
      </w:pPr>
      <w:r>
        <w:rPr>
          <w:rFonts w:ascii="Calibri" w:cs="Calibri" w:eastAsia="Calibri" w:hAnsi="Calibri"/>
          <w:b/>
          <w:bCs/>
          <w:color w:val="0B1F3A"/>
          <w:sz w:val="23"/>
          <w:szCs w:val="23"/>
        </w:rPr>
        <w:t xml:space="preserve">Reputation Damage</w:t>
      </w:r>
    </w:p>
    <w:p>
      <w:pPr>
        <w:spacing w:after="160" w:line="276"/>
        <w:jc w:val="both"/>
      </w:pPr>
      <w:r>
        <w:rPr>
          <w:rFonts w:ascii="Calibri" w:cs="Calibri" w:eastAsia="Calibri" w:hAnsi="Calibri"/>
          <w:b w:val="false"/>
          <w:bCs w:val="false"/>
          <w:i w:val="false"/>
          <w:iCs w:val="false"/>
          <w:color w:val="1A1A1A"/>
          <w:sz w:val="21"/>
          <w:szCs w:val="21"/>
        </w:rPr>
        <w:t xml:space="preserve">Organizations suffering breaches may face loss of customer trust and long-term brand damage.</w:t>
      </w:r>
    </w:p>
    <w:p>
      <w:pPr>
        <w:pStyle w:val="Heading1"/>
        <w:pBdr>
          <w:bottom w:val="single" w:color="1F5FA8" w:sz="12" w:space="6"/>
        </w:pBdr>
        <w:spacing w:after="240" w:before="480"/>
      </w:pPr>
      <w:r>
        <w:rPr>
          <w:rFonts w:ascii="Calibri" w:cs="Calibri" w:eastAsia="Calibri" w:hAnsi="Calibri"/>
          <w:b/>
          <w:bCs/>
          <w:color w:val="0B1F3A"/>
          <w:sz w:val="32"/>
          <w:szCs w:val="32"/>
        </w:rPr>
        <w:t xml:space="preserve">12.  Prevention Guidelines</w:t>
      </w:r>
    </w:p>
    <w:p>
      <w:pPr>
        <w:spacing w:after="160" w:line="276"/>
        <w:jc w:val="both"/>
      </w:pPr>
      <w:r>
        <w:rPr>
          <w:rFonts w:ascii="Calibri" w:cs="Calibri" w:eastAsia="Calibri" w:hAnsi="Calibri"/>
          <w:b w:val="false"/>
          <w:bCs w:val="false"/>
          <w:i w:val="false"/>
          <w:iCs w:val="false"/>
          <w:color w:val="1A1A1A"/>
          <w:sz w:val="21"/>
          <w:szCs w:val="21"/>
        </w:rPr>
        <w:t xml:space="preserve">The following recommendations are provided for individuals and organizations seeking to reduce their exposure to phishing threats:</w:t>
      </w:r>
    </w:p>
    <w:p>
      <w:pPr>
        <w:pStyle w:val="ListParagraph"/>
        <w:numPr>
          <w:ilvl w:val="0"/>
          <w:numId w:val="3"/>
        </w:numPr>
        <w:spacing w:after="120"/>
      </w:pPr>
      <w:r>
        <w:rPr>
          <w:rFonts w:ascii="Calibri" w:cs="Calibri" w:eastAsia="Calibri" w:hAnsi="Calibri"/>
          <w:sz w:val="21"/>
          <w:szCs w:val="21"/>
        </w:rPr>
        <w:t xml:space="preserve">Verify the sender's email address carefully, not just the displayed name.</w:t>
      </w:r>
    </w:p>
    <w:p>
      <w:pPr>
        <w:pStyle w:val="ListParagraph"/>
        <w:numPr>
          <w:ilvl w:val="0"/>
          <w:numId w:val="3"/>
        </w:numPr>
        <w:spacing w:after="120"/>
      </w:pPr>
      <w:r>
        <w:rPr>
          <w:rFonts w:ascii="Calibri" w:cs="Calibri" w:eastAsia="Calibri" w:hAnsi="Calibri"/>
          <w:sz w:val="21"/>
          <w:szCs w:val="21"/>
        </w:rPr>
        <w:t xml:space="preserve">Avoid clicking links in unsolicited or unexpected emails.</w:t>
      </w:r>
    </w:p>
    <w:p>
      <w:pPr>
        <w:pStyle w:val="ListParagraph"/>
        <w:numPr>
          <w:ilvl w:val="0"/>
          <w:numId w:val="3"/>
        </w:numPr>
        <w:spacing w:after="120"/>
      </w:pPr>
      <w:r>
        <w:rPr>
          <w:rFonts w:ascii="Calibri" w:cs="Calibri" w:eastAsia="Calibri" w:hAnsi="Calibri"/>
          <w:sz w:val="21"/>
          <w:szCs w:val="21"/>
        </w:rPr>
        <w:t xml:space="preserve">Hover over links to preview the actual destination URL before clicking.</w:t>
      </w:r>
    </w:p>
    <w:p>
      <w:pPr>
        <w:pStyle w:val="ListParagraph"/>
        <w:numPr>
          <w:ilvl w:val="0"/>
          <w:numId w:val="3"/>
        </w:numPr>
        <w:spacing w:after="120"/>
      </w:pPr>
      <w:r>
        <w:rPr>
          <w:rFonts w:ascii="Calibri" w:cs="Calibri" w:eastAsia="Calibri" w:hAnsi="Calibri"/>
          <w:sz w:val="21"/>
          <w:szCs w:val="21"/>
        </w:rPr>
        <w:t xml:space="preserve">Never enter credentials on a page reached via an email link — navigate directly instead.</w:t>
      </w:r>
    </w:p>
    <w:p>
      <w:pPr>
        <w:pStyle w:val="ListParagraph"/>
        <w:numPr>
          <w:ilvl w:val="0"/>
          <w:numId w:val="3"/>
        </w:numPr>
        <w:spacing w:after="120"/>
      </w:pPr>
      <w:r>
        <w:rPr>
          <w:rFonts w:ascii="Calibri" w:cs="Calibri" w:eastAsia="Calibri" w:hAnsi="Calibri"/>
          <w:sz w:val="21"/>
          <w:szCs w:val="21"/>
        </w:rPr>
        <w:t xml:space="preserve">Check for HTTPS and a valid certificate before entering any sensitive information.</w:t>
      </w:r>
    </w:p>
    <w:p>
      <w:pPr>
        <w:pStyle w:val="ListParagraph"/>
        <w:numPr>
          <w:ilvl w:val="0"/>
          <w:numId w:val="3"/>
        </w:numPr>
        <w:spacing w:after="120"/>
      </w:pPr>
      <w:r>
        <w:rPr>
          <w:rFonts w:ascii="Calibri" w:cs="Calibri" w:eastAsia="Calibri" w:hAnsi="Calibri"/>
          <w:sz w:val="21"/>
          <w:szCs w:val="21"/>
        </w:rPr>
        <w:t xml:space="preserve">Be suspicious of urgent or threatening language demanding immediate action.</w:t>
      </w:r>
    </w:p>
    <w:p>
      <w:pPr>
        <w:pStyle w:val="ListParagraph"/>
        <w:numPr>
          <w:ilvl w:val="0"/>
          <w:numId w:val="3"/>
        </w:numPr>
        <w:spacing w:after="120"/>
      </w:pPr>
      <w:r>
        <w:rPr>
          <w:rFonts w:ascii="Calibri" w:cs="Calibri" w:eastAsia="Calibri" w:hAnsi="Calibri"/>
          <w:sz w:val="21"/>
          <w:szCs w:val="21"/>
        </w:rPr>
        <w:t xml:space="preserve">Look for generic greetings as a possible sign of mass-distributed phishing.</w:t>
      </w:r>
    </w:p>
    <w:p>
      <w:pPr>
        <w:pStyle w:val="ListParagraph"/>
        <w:numPr>
          <w:ilvl w:val="0"/>
          <w:numId w:val="3"/>
        </w:numPr>
        <w:spacing w:after="120"/>
      </w:pPr>
      <w:r>
        <w:rPr>
          <w:rFonts w:ascii="Calibri" w:cs="Calibri" w:eastAsia="Calibri" w:hAnsi="Calibri"/>
          <w:sz w:val="21"/>
          <w:szCs w:val="21"/>
        </w:rPr>
        <w:t xml:space="preserve">Enable Multi-Factor Authentication (MFA) on all critical accounts.</w:t>
      </w:r>
    </w:p>
    <w:p>
      <w:pPr>
        <w:pStyle w:val="ListParagraph"/>
        <w:numPr>
          <w:ilvl w:val="0"/>
          <w:numId w:val="3"/>
        </w:numPr>
        <w:spacing w:after="120"/>
      </w:pPr>
      <w:r>
        <w:rPr>
          <w:rFonts w:ascii="Calibri" w:cs="Calibri" w:eastAsia="Calibri" w:hAnsi="Calibri"/>
          <w:sz w:val="21"/>
          <w:szCs w:val="21"/>
        </w:rPr>
        <w:t xml:space="preserve">Keep operating systems, browsers, and antivirus software up to date.</w:t>
      </w:r>
    </w:p>
    <w:p>
      <w:pPr>
        <w:pStyle w:val="ListParagraph"/>
        <w:numPr>
          <w:ilvl w:val="0"/>
          <w:numId w:val="3"/>
        </w:numPr>
        <w:spacing w:after="120"/>
      </w:pPr>
      <w:r>
        <w:rPr>
          <w:rFonts w:ascii="Calibri" w:cs="Calibri" w:eastAsia="Calibri" w:hAnsi="Calibri"/>
          <w:sz w:val="21"/>
          <w:szCs w:val="21"/>
        </w:rPr>
        <w:t xml:space="preserve">Report suspicious emails to the organization's IT or security team immediately.</w:t>
      </w:r>
    </w:p>
    <w:p>
      <w:pPr>
        <w:pStyle w:val="ListParagraph"/>
        <w:numPr>
          <w:ilvl w:val="0"/>
          <w:numId w:val="3"/>
        </w:numPr>
        <w:spacing w:after="120"/>
      </w:pPr>
      <w:r>
        <w:rPr>
          <w:rFonts w:ascii="Calibri" w:cs="Calibri" w:eastAsia="Calibri" w:hAnsi="Calibri"/>
          <w:sz w:val="21"/>
          <w:szCs w:val="21"/>
        </w:rPr>
        <w:t xml:space="preserve">Never download or open unexpected attachments, especially executable files.</w:t>
      </w:r>
    </w:p>
    <w:p>
      <w:pPr>
        <w:pStyle w:val="ListParagraph"/>
        <w:numPr>
          <w:ilvl w:val="0"/>
          <w:numId w:val="3"/>
        </w:numPr>
        <w:spacing w:after="120"/>
      </w:pPr>
      <w:r>
        <w:rPr>
          <w:rFonts w:ascii="Calibri" w:cs="Calibri" w:eastAsia="Calibri" w:hAnsi="Calibri"/>
          <w:sz w:val="21"/>
          <w:szCs w:val="21"/>
        </w:rPr>
        <w:t xml:space="preserve">Use email filtering and anti-phishing solutions at the organizational level.</w:t>
      </w:r>
    </w:p>
    <w:p>
      <w:pPr>
        <w:pStyle w:val="ListParagraph"/>
        <w:numPr>
          <w:ilvl w:val="0"/>
          <w:numId w:val="3"/>
        </w:numPr>
        <w:spacing w:after="120"/>
      </w:pPr>
      <w:r>
        <w:rPr>
          <w:rFonts w:ascii="Calibri" w:cs="Calibri" w:eastAsia="Calibri" w:hAnsi="Calibri"/>
          <w:sz w:val="21"/>
          <w:szCs w:val="21"/>
        </w:rPr>
        <w:t xml:space="preserve">Conduct regular employee cybersecurity awareness training.</w:t>
      </w:r>
    </w:p>
    <w:p>
      <w:pPr>
        <w:pStyle w:val="ListParagraph"/>
        <w:numPr>
          <w:ilvl w:val="0"/>
          <w:numId w:val="3"/>
        </w:numPr>
        <w:spacing w:after="120"/>
      </w:pPr>
      <w:r>
        <w:rPr>
          <w:rFonts w:ascii="Calibri" w:cs="Calibri" w:eastAsia="Calibri" w:hAnsi="Calibri"/>
          <w:sz w:val="21"/>
          <w:szCs w:val="21"/>
        </w:rPr>
        <w:t xml:space="preserve">Implement SPF, DKIM, and DMARC to reduce email spoofing.</w:t>
      </w:r>
    </w:p>
    <w:p>
      <w:pPr>
        <w:pStyle w:val="ListParagraph"/>
        <w:numPr>
          <w:ilvl w:val="0"/>
          <w:numId w:val="3"/>
        </w:numPr>
        <w:spacing w:after="120"/>
      </w:pPr>
      <w:r>
        <w:rPr>
          <w:rFonts w:ascii="Calibri" w:cs="Calibri" w:eastAsia="Calibri" w:hAnsi="Calibri"/>
          <w:sz w:val="21"/>
          <w:szCs w:val="21"/>
        </w:rPr>
        <w:t xml:space="preserve">Regularly back up critical data to minimize the impact of ransomware.</w:t>
      </w:r>
    </w:p>
    <w:p>
      <w:pPr>
        <w:pStyle w:val="ListParagraph"/>
        <w:numPr>
          <w:ilvl w:val="0"/>
          <w:numId w:val="3"/>
        </w:numPr>
        <w:spacing w:after="120"/>
      </w:pPr>
      <w:r>
        <w:rPr>
          <w:rFonts w:ascii="Calibri" w:cs="Calibri" w:eastAsia="Calibri" w:hAnsi="Calibri"/>
          <w:sz w:val="21"/>
          <w:szCs w:val="21"/>
        </w:rPr>
        <w:t xml:space="preserve">Establish and rehearse an incident response plan for suspected compromises.</w:t>
      </w:r>
    </w:p>
    <w:p>
      <w:pPr>
        <w:pStyle w:val="Heading1"/>
        <w:pBdr>
          <w:bottom w:val="single" w:color="1F5FA8" w:sz="12" w:space="6"/>
        </w:pBdr>
        <w:spacing w:after="240" w:before="480"/>
      </w:pPr>
      <w:r>
        <w:rPr>
          <w:rFonts w:ascii="Calibri" w:cs="Calibri" w:eastAsia="Calibri" w:hAnsi="Calibri"/>
          <w:b/>
          <w:bCs/>
          <w:color w:val="0B1F3A"/>
          <w:sz w:val="32"/>
          <w:szCs w:val="32"/>
        </w:rPr>
        <w:t xml:space="preserve">13.  Employee Do's and Don'ts</w:t>
      </w:r>
    </w:p>
    <w:p>
      <w:pPr>
        <w:pStyle w:val="Heading2"/>
        <w:spacing w:after="160" w:before="320"/>
      </w:pPr>
      <w:r>
        <w:rPr>
          <w:rFonts w:ascii="Calibri" w:cs="Calibri" w:eastAsia="Calibri" w:hAnsi="Calibri"/>
          <w:b/>
          <w:bCs/>
          <w:color w:val="1F5FA8"/>
          <w:sz w:val="26"/>
          <w:szCs w:val="26"/>
        </w:rPr>
        <w:t xml:space="preserve">✅  Do's</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900"/>
        <w:gridCol w:w="8460"/>
      </w:tblGrid>
      <w:tr>
        <w:trPr>
          <w:tblHeader/>
        </w:trPr>
        <w:tc>
          <w:tcPr>
            <w:tcW w:type="dxa" w:w="90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846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Recommended Action</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1</w:t>
            </w:r>
          </w:p>
        </w:tc>
        <w:tc>
          <w:tcPr>
            <w:tcW w:type="dxa" w:w="84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Verify sender identity through a separate, trusted communication channel.</w:t>
            </w:r>
          </w:p>
        </w:tc>
      </w:tr>
      <w:tr>
        <w:tc>
          <w:tcPr>
            <w:tcW w:type="dxa" w:w="9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2</w:t>
            </w:r>
          </w:p>
        </w:tc>
        <w:tc>
          <w:tcPr>
            <w:tcW w:type="dxa" w:w="84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Report suspicious emails to the IT/security team promptly.</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3</w:t>
            </w:r>
          </w:p>
        </w:tc>
        <w:tc>
          <w:tcPr>
            <w:tcW w:type="dxa" w:w="84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Enable MFA on all corporate and personal accounts.</w:t>
            </w:r>
          </w:p>
        </w:tc>
      </w:tr>
      <w:tr>
        <w:tc>
          <w:tcPr>
            <w:tcW w:type="dxa" w:w="9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4</w:t>
            </w:r>
          </w:p>
        </w:tc>
        <w:tc>
          <w:tcPr>
            <w:tcW w:type="dxa" w:w="84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Hover over links to inspect the true destination before clicking.</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5</w:t>
            </w:r>
          </w:p>
        </w:tc>
        <w:tc>
          <w:tcPr>
            <w:tcW w:type="dxa" w:w="84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Keep software and security patches up to date.</w:t>
            </w:r>
          </w:p>
        </w:tc>
      </w:tr>
    </w:tbl>
    <w:p>
      <w:pPr>
        <w:spacing w:after="140"/>
      </w:pPr>
      <w:r>
        <w:t xml:space="preserve"/>
      </w:r>
    </w:p>
    <w:p>
      <w:pPr>
        <w:pStyle w:val="Heading2"/>
        <w:spacing w:after="160" w:before="320"/>
      </w:pPr>
      <w:r>
        <w:rPr>
          <w:rFonts w:ascii="Calibri" w:cs="Calibri" w:eastAsia="Calibri" w:hAnsi="Calibri"/>
          <w:b/>
          <w:bCs/>
          <w:color w:val="1F5FA8"/>
          <w:sz w:val="26"/>
          <w:szCs w:val="26"/>
        </w:rPr>
        <w:t xml:space="preserve">❌  Don'ts</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900"/>
        <w:gridCol w:w="8460"/>
      </w:tblGrid>
      <w:tr>
        <w:trPr>
          <w:tblHeader/>
        </w:trPr>
        <w:tc>
          <w:tcPr>
            <w:tcW w:type="dxa" w:w="90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846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Action to Avoid</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1</w:t>
            </w:r>
          </w:p>
        </w:tc>
        <w:tc>
          <w:tcPr>
            <w:tcW w:type="dxa" w:w="84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Do not click links or open attachments from unknown or unexpected senders.</w:t>
            </w:r>
          </w:p>
        </w:tc>
      </w:tr>
      <w:tr>
        <w:tc>
          <w:tcPr>
            <w:tcW w:type="dxa" w:w="9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2</w:t>
            </w:r>
          </w:p>
        </w:tc>
        <w:tc>
          <w:tcPr>
            <w:tcW w:type="dxa" w:w="84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Do not enter credentials on pages reached via email links.</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3</w:t>
            </w:r>
          </w:p>
        </w:tc>
        <w:tc>
          <w:tcPr>
            <w:tcW w:type="dxa" w:w="84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Do not respond to messages demanding urgent action without verification.</w:t>
            </w:r>
          </w:p>
        </w:tc>
      </w:tr>
      <w:tr>
        <w:tc>
          <w:tcPr>
            <w:tcW w:type="dxa" w:w="90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4</w:t>
            </w:r>
          </w:p>
        </w:tc>
        <w:tc>
          <w:tcPr>
            <w:tcW w:type="dxa" w:w="8460"/>
            <w:shd w:fill="F2F3F5"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Do not reuse passwords across multiple accounts or platforms.</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5</w:t>
            </w:r>
          </w:p>
        </w:tc>
        <w:tc>
          <w:tcPr>
            <w:tcW w:type="dxa" w:w="8460"/>
            <w:shd w:fill="FFFFFF" w:val="clear"/>
            <w:tcMar>
              <w:top w:type="dxa" w:w="90"/>
              <w:left w:type="dxa" w:w="120"/>
              <w:bottom w:type="dxa" w:w="90"/>
              <w:right w:type="dxa" w:w="120"/>
            </w:tcMar>
            <w:vAlign w:val="center"/>
          </w:tcPr>
          <w:p>
            <w:r>
              <w:rPr>
                <w:rFonts w:ascii="Calibri" w:cs="Calibri" w:eastAsia="Calibri" w:hAnsi="Calibri"/>
                <w:b w:val="false"/>
                <w:bCs w:val="false"/>
                <w:color w:val="1A1A1A"/>
                <w:sz w:val="20"/>
                <w:szCs w:val="20"/>
              </w:rPr>
              <w:t xml:space="preserve">Do not ignore or dismiss suspicious emails without reporting them.</w:t>
            </w:r>
          </w:p>
        </w:tc>
      </w:tr>
    </w:tbl>
    <w:p>
      <w:pPr>
        <w:pStyle w:val="Heading1"/>
        <w:pBdr>
          <w:bottom w:val="single" w:color="1F5FA8" w:sz="12" w:space="6"/>
        </w:pBdr>
        <w:spacing w:after="240" w:before="480"/>
      </w:pPr>
      <w:r>
        <w:rPr>
          <w:rFonts w:ascii="Calibri" w:cs="Calibri" w:eastAsia="Calibri" w:hAnsi="Calibri"/>
          <w:b/>
          <w:bCs/>
          <w:color w:val="0B1F3A"/>
          <w:sz w:val="32"/>
          <w:szCs w:val="32"/>
        </w:rPr>
        <w:t xml:space="preserve">14.  Organizational Best Practices</w:t>
      </w:r>
    </w:p>
    <w:p>
      <w:pPr>
        <w:pStyle w:val="Heading3"/>
        <w:spacing w:after="120" w:before="220"/>
      </w:pPr>
      <w:r>
        <w:rPr>
          <w:rFonts w:ascii="Calibri" w:cs="Calibri" w:eastAsia="Calibri" w:hAnsi="Calibri"/>
          <w:b/>
          <w:bCs/>
          <w:color w:val="0B1F3A"/>
          <w:sz w:val="23"/>
          <w:szCs w:val="23"/>
        </w:rPr>
        <w:t xml:space="preserve">Security Awareness Training</w:t>
      </w:r>
    </w:p>
    <w:p>
      <w:pPr>
        <w:spacing w:after="160" w:line="276"/>
        <w:jc w:val="both"/>
      </w:pPr>
      <w:r>
        <w:rPr>
          <w:rFonts w:ascii="Calibri" w:cs="Calibri" w:eastAsia="Calibri" w:hAnsi="Calibri"/>
          <w:b w:val="false"/>
          <w:bCs w:val="false"/>
          <w:i w:val="false"/>
          <w:iCs w:val="false"/>
          <w:color w:val="1A1A1A"/>
          <w:sz w:val="21"/>
          <w:szCs w:val="21"/>
        </w:rPr>
        <w:t xml:space="preserve">Regular, structured training programs to help employees recognize and respond to phishing attempts.</w:t>
      </w:r>
    </w:p>
    <w:p>
      <w:pPr>
        <w:pStyle w:val="Heading3"/>
        <w:spacing w:after="120" w:before="220"/>
      </w:pPr>
      <w:r>
        <w:rPr>
          <w:rFonts w:ascii="Calibri" w:cs="Calibri" w:eastAsia="Calibri" w:hAnsi="Calibri"/>
          <w:b/>
          <w:bCs/>
          <w:color w:val="0B1F3A"/>
          <w:sz w:val="23"/>
          <w:szCs w:val="23"/>
        </w:rPr>
        <w:t xml:space="preserve">Email Filtering</w:t>
      </w:r>
    </w:p>
    <w:p>
      <w:pPr>
        <w:spacing w:after="160" w:line="276"/>
        <w:jc w:val="both"/>
      </w:pPr>
      <w:r>
        <w:rPr>
          <w:rFonts w:ascii="Calibri" w:cs="Calibri" w:eastAsia="Calibri" w:hAnsi="Calibri"/>
          <w:b w:val="false"/>
          <w:bCs w:val="false"/>
          <w:i w:val="false"/>
          <w:iCs w:val="false"/>
          <w:color w:val="1A1A1A"/>
          <w:sz w:val="21"/>
          <w:szCs w:val="21"/>
        </w:rPr>
        <w:t xml:space="preserve">Deployment of advanced spam and threat filtering systems to intercept malicious emails before delivery.</w:t>
      </w:r>
    </w:p>
    <w:p>
      <w:pPr>
        <w:pStyle w:val="Heading3"/>
        <w:spacing w:after="120" w:before="220"/>
      </w:pPr>
      <w:r>
        <w:rPr>
          <w:rFonts w:ascii="Calibri" w:cs="Calibri" w:eastAsia="Calibri" w:hAnsi="Calibri"/>
          <w:b/>
          <w:bCs/>
          <w:color w:val="0B1F3A"/>
          <w:sz w:val="23"/>
          <w:szCs w:val="23"/>
        </w:rPr>
        <w:t xml:space="preserve">SPF, DKIM, and DMARC</w:t>
      </w:r>
    </w:p>
    <w:p>
      <w:pPr>
        <w:spacing w:after="160" w:line="276"/>
        <w:jc w:val="both"/>
      </w:pPr>
      <w:r>
        <w:rPr>
          <w:rFonts w:ascii="Calibri" w:cs="Calibri" w:eastAsia="Calibri" w:hAnsi="Calibri"/>
          <w:b w:val="false"/>
          <w:bCs w:val="false"/>
          <w:i w:val="false"/>
          <w:iCs w:val="false"/>
          <w:color w:val="1A1A1A"/>
          <w:sz w:val="21"/>
          <w:szCs w:val="21"/>
        </w:rPr>
        <w:t xml:space="preserve">Implementation of email authentication protocols to prevent domain spoofing and impersonation.</w:t>
      </w:r>
    </w:p>
    <w:p>
      <w:pPr>
        <w:pStyle w:val="Heading3"/>
        <w:spacing w:after="120" w:before="220"/>
      </w:pPr>
      <w:r>
        <w:rPr>
          <w:rFonts w:ascii="Calibri" w:cs="Calibri" w:eastAsia="Calibri" w:hAnsi="Calibri"/>
          <w:b/>
          <w:bCs/>
          <w:color w:val="0B1F3A"/>
          <w:sz w:val="23"/>
          <w:szCs w:val="23"/>
        </w:rPr>
        <w:t xml:space="preserve">Multi-Factor Authentication (MFA)</w:t>
      </w:r>
    </w:p>
    <w:p>
      <w:pPr>
        <w:spacing w:after="160" w:line="276"/>
        <w:jc w:val="both"/>
      </w:pPr>
      <w:r>
        <w:rPr>
          <w:rFonts w:ascii="Calibri" w:cs="Calibri" w:eastAsia="Calibri" w:hAnsi="Calibri"/>
          <w:b w:val="false"/>
          <w:bCs w:val="false"/>
          <w:i w:val="false"/>
          <w:iCs w:val="false"/>
          <w:color w:val="1A1A1A"/>
          <w:sz w:val="21"/>
          <w:szCs w:val="21"/>
        </w:rPr>
        <w:t xml:space="preserve">An additional verification layer that protects accounts even if credentials are compromised.</w:t>
      </w:r>
    </w:p>
    <w:p>
      <w:pPr>
        <w:pStyle w:val="Heading3"/>
        <w:spacing w:after="120" w:before="220"/>
      </w:pPr>
      <w:r>
        <w:rPr>
          <w:rFonts w:ascii="Calibri" w:cs="Calibri" w:eastAsia="Calibri" w:hAnsi="Calibri"/>
          <w:b/>
          <w:bCs/>
          <w:color w:val="0B1F3A"/>
          <w:sz w:val="23"/>
          <w:szCs w:val="23"/>
        </w:rPr>
        <w:t xml:space="preserve">Password Policies</w:t>
      </w:r>
    </w:p>
    <w:p>
      <w:pPr>
        <w:spacing w:after="160" w:line="276"/>
        <w:jc w:val="both"/>
      </w:pPr>
      <w:r>
        <w:rPr>
          <w:rFonts w:ascii="Calibri" w:cs="Calibri" w:eastAsia="Calibri" w:hAnsi="Calibri"/>
          <w:b w:val="false"/>
          <w:bCs w:val="false"/>
          <w:i w:val="false"/>
          <w:iCs w:val="false"/>
          <w:color w:val="1A1A1A"/>
          <w:sz w:val="21"/>
          <w:szCs w:val="21"/>
        </w:rPr>
        <w:t xml:space="preserve">Enforcement of strong, unique passwords and regular password rotation across the organization.</w:t>
      </w:r>
    </w:p>
    <w:p>
      <w:pPr>
        <w:pStyle w:val="Heading3"/>
        <w:spacing w:after="120" w:before="220"/>
      </w:pPr>
      <w:r>
        <w:rPr>
          <w:rFonts w:ascii="Calibri" w:cs="Calibri" w:eastAsia="Calibri" w:hAnsi="Calibri"/>
          <w:b/>
          <w:bCs/>
          <w:color w:val="0B1F3A"/>
          <w:sz w:val="23"/>
          <w:szCs w:val="23"/>
        </w:rPr>
        <w:t xml:space="preserve">Incident Reporting</w:t>
      </w:r>
    </w:p>
    <w:p>
      <w:pPr>
        <w:spacing w:after="160" w:line="276"/>
        <w:jc w:val="both"/>
      </w:pPr>
      <w:r>
        <w:rPr>
          <w:rFonts w:ascii="Calibri" w:cs="Calibri" w:eastAsia="Calibri" w:hAnsi="Calibri"/>
          <w:b w:val="false"/>
          <w:bCs w:val="false"/>
          <w:i w:val="false"/>
          <w:iCs w:val="false"/>
          <w:color w:val="1A1A1A"/>
          <w:sz w:val="21"/>
          <w:szCs w:val="21"/>
        </w:rPr>
        <w:t xml:space="preserve">Clear, accessible channels for employees to report suspicious emails without fear or delay.</w:t>
      </w:r>
    </w:p>
    <w:p>
      <w:pPr>
        <w:pStyle w:val="Heading3"/>
        <w:spacing w:after="120" w:before="220"/>
      </w:pPr>
      <w:r>
        <w:rPr>
          <w:rFonts w:ascii="Calibri" w:cs="Calibri" w:eastAsia="Calibri" w:hAnsi="Calibri"/>
          <w:b/>
          <w:bCs/>
          <w:color w:val="0B1F3A"/>
          <w:sz w:val="23"/>
          <w:szCs w:val="23"/>
        </w:rPr>
        <w:t xml:space="preserve">Security Monitoring</w:t>
      </w:r>
    </w:p>
    <w:p>
      <w:pPr>
        <w:spacing w:after="160" w:line="276"/>
        <w:jc w:val="both"/>
      </w:pPr>
      <w:r>
        <w:rPr>
          <w:rFonts w:ascii="Calibri" w:cs="Calibri" w:eastAsia="Calibri" w:hAnsi="Calibri"/>
          <w:b w:val="false"/>
          <w:bCs w:val="false"/>
          <w:i w:val="false"/>
          <w:iCs w:val="false"/>
          <w:color w:val="1A1A1A"/>
          <w:sz w:val="21"/>
          <w:szCs w:val="21"/>
        </w:rPr>
        <w:t xml:space="preserve">Continuous monitoring of network and email activity to detect anomalies in real time.</w:t>
      </w:r>
    </w:p>
    <w:p>
      <w:pPr>
        <w:pStyle w:val="Heading3"/>
        <w:spacing w:after="120" w:before="220"/>
      </w:pPr>
      <w:r>
        <w:rPr>
          <w:rFonts w:ascii="Calibri" w:cs="Calibri" w:eastAsia="Calibri" w:hAnsi="Calibri"/>
          <w:b/>
          <w:bCs/>
          <w:color w:val="0B1F3A"/>
          <w:sz w:val="23"/>
          <w:szCs w:val="23"/>
        </w:rPr>
        <w:t xml:space="preserve">Regular Phishing Simulations</w:t>
      </w:r>
    </w:p>
    <w:p>
      <w:pPr>
        <w:spacing w:after="160" w:line="276"/>
        <w:jc w:val="both"/>
      </w:pPr>
      <w:r>
        <w:rPr>
          <w:rFonts w:ascii="Calibri" w:cs="Calibri" w:eastAsia="Calibri" w:hAnsi="Calibri"/>
          <w:b w:val="false"/>
          <w:bCs w:val="false"/>
          <w:i w:val="false"/>
          <w:iCs w:val="false"/>
          <w:color w:val="1A1A1A"/>
          <w:sz w:val="21"/>
          <w:szCs w:val="21"/>
        </w:rPr>
        <w:t xml:space="preserve">Periodic simulated phishing campaigns to test and reinforce employee awareness.</w:t>
      </w:r>
    </w:p>
    <w:p>
      <w:pPr>
        <w:pStyle w:val="Heading1"/>
        <w:pBdr>
          <w:bottom w:val="single" w:color="1F5FA8" w:sz="12" w:space="6"/>
        </w:pBdr>
        <w:spacing w:after="240" w:before="480"/>
      </w:pPr>
      <w:r>
        <w:rPr>
          <w:rFonts w:ascii="Calibri" w:cs="Calibri" w:eastAsia="Calibri" w:hAnsi="Calibri"/>
          <w:b/>
          <w:bCs/>
          <w:color w:val="0B1F3A"/>
          <w:sz w:val="32"/>
          <w:szCs w:val="32"/>
        </w:rPr>
        <w:t xml:space="preserve">15.  Conclusion</w:t>
      </w:r>
    </w:p>
    <w:p>
      <w:pPr>
        <w:spacing w:after="160" w:line="276"/>
        <w:jc w:val="both"/>
      </w:pPr>
      <w:r>
        <w:rPr>
          <w:rFonts w:ascii="Calibri" w:cs="Calibri" w:eastAsia="Calibri" w:hAnsi="Calibri"/>
          <w:b w:val="false"/>
          <w:bCs w:val="false"/>
          <w:i w:val="false"/>
          <w:iCs w:val="false"/>
          <w:color w:val="1A1A1A"/>
          <w:sz w:val="21"/>
          <w:szCs w:val="21"/>
        </w:rPr>
        <w:t xml:space="preserve">The phishing email analyzed in this report exhibits multiple well-documented phishing characteristics, including a manufactured sense of urgency, a generic and impersonal greeting, fear-based language threatening account suspension, and a suspicious defanged URL (http://secure-account-verify[.]com) served over an insecure connection. Based on the cumulative weight of these indicators, the email has been classified as a High-Risk Phishing Email with a Very High confidence level.</w:t>
      </w:r>
    </w:p>
    <w:p>
      <w:pPr>
        <w:spacing w:after="160" w:line="276"/>
        <w:jc w:val="both"/>
      </w:pPr>
      <w:r>
        <w:rPr>
          <w:rFonts w:ascii="Calibri" w:cs="Calibri" w:eastAsia="Calibri" w:hAnsi="Calibri"/>
          <w:b w:val="false"/>
          <w:bCs w:val="false"/>
          <w:i w:val="false"/>
          <w:iCs w:val="false"/>
          <w:color w:val="1A1A1A"/>
          <w:sz w:val="21"/>
          <w:szCs w:val="21"/>
        </w:rPr>
        <w:t xml:space="preserve">This analysis reinforces a broader lesson central to cybersecurity practice: technical controls alone are insufficient to fully mitigate phishing risk. User awareness, careful verification of email authenticity, and consistent adherence to cybersecurity best practices remain essential layers of defense. Organizations that invest in continuous employee education, robust email authentication protocols, and layered technical safeguards are significantly better positioned to reduce their exposure to phishing-related incidents.</w:t>
      </w:r>
    </w:p>
    <w:p>
      <w:pPr>
        <w:pStyle w:val="Heading1"/>
        <w:pBdr>
          <w:bottom w:val="single" w:color="1F5FA8" w:sz="12" w:space="6"/>
        </w:pBdr>
        <w:spacing w:after="240" w:before="480"/>
      </w:pPr>
      <w:r>
        <w:rPr>
          <w:rFonts w:ascii="Calibri" w:cs="Calibri" w:eastAsia="Calibri" w:hAnsi="Calibri"/>
          <w:b/>
          <w:bCs/>
          <w:color w:val="0B1F3A"/>
          <w:sz w:val="32"/>
          <w:szCs w:val="32"/>
        </w:rPr>
        <w:t xml:space="preserve">16.  References</w:t>
      </w:r>
    </w:p>
    <w:p>
      <w:pPr>
        <w:pStyle w:val="ListParagraph"/>
        <w:numPr>
          <w:ilvl w:val="0"/>
          <w:numId w:val="2"/>
        </w:numPr>
        <w:spacing w:after="100"/>
      </w:pPr>
      <w:r>
        <w:rPr>
          <w:rFonts w:ascii="Calibri" w:cs="Calibri" w:eastAsia="Calibri" w:hAnsi="Calibri"/>
          <w:b w:val="false"/>
          <w:bCs w:val="false"/>
          <w:color w:val="1A1A1A"/>
          <w:sz w:val="21"/>
          <w:szCs w:val="21"/>
        </w:rPr>
        <w:t xml:space="preserve">Future Interns – Cyber Security Internship, Task 2 (2026).</w:t>
      </w:r>
    </w:p>
    <w:p>
      <w:pPr>
        <w:pStyle w:val="ListParagraph"/>
        <w:numPr>
          <w:ilvl w:val="0"/>
          <w:numId w:val="2"/>
        </w:numPr>
        <w:spacing w:after="100"/>
      </w:pPr>
      <w:r>
        <w:rPr>
          <w:rFonts w:ascii="Calibri" w:cs="Calibri" w:eastAsia="Calibri" w:hAnsi="Calibri"/>
          <w:b w:val="false"/>
          <w:bCs w:val="false"/>
          <w:color w:val="1A1A1A"/>
          <w:sz w:val="21"/>
          <w:szCs w:val="21"/>
        </w:rPr>
        <w:t xml:space="preserve">Google Message Header Analyzer — Google Admin Toolbox.</w:t>
      </w:r>
    </w:p>
    <w:p>
      <w:pPr>
        <w:pStyle w:val="ListParagraph"/>
        <w:numPr>
          <w:ilvl w:val="0"/>
          <w:numId w:val="2"/>
        </w:numPr>
        <w:spacing w:after="100"/>
      </w:pPr>
      <w:r>
        <w:rPr>
          <w:rFonts w:ascii="Calibri" w:cs="Calibri" w:eastAsia="Calibri" w:hAnsi="Calibri"/>
          <w:b w:val="false"/>
          <w:bCs w:val="false"/>
          <w:color w:val="1A1A1A"/>
          <w:sz w:val="21"/>
          <w:szCs w:val="21"/>
        </w:rPr>
        <w:t xml:space="preserve">MXToolbox Email Header Analyzer.</w:t>
      </w:r>
    </w:p>
    <w:p>
      <w:pPr>
        <w:pStyle w:val="ListParagraph"/>
        <w:numPr>
          <w:ilvl w:val="0"/>
          <w:numId w:val="2"/>
        </w:numPr>
        <w:spacing w:after="100"/>
      </w:pPr>
      <w:r>
        <w:rPr>
          <w:rFonts w:ascii="Calibri" w:cs="Calibri" w:eastAsia="Calibri" w:hAnsi="Calibri"/>
          <w:b w:val="false"/>
          <w:bCs w:val="false"/>
          <w:color w:val="1A1A1A"/>
          <w:sz w:val="21"/>
          <w:szCs w:val="21"/>
        </w:rPr>
        <w:t xml:space="preserve">Public GitHub phishing sample repositories (educational use).</w:t>
      </w:r>
    </w:p>
    <w:p>
      <w:pPr>
        <w:pStyle w:val="ListParagraph"/>
        <w:numPr>
          <w:ilvl w:val="0"/>
          <w:numId w:val="2"/>
        </w:numPr>
        <w:spacing w:after="100"/>
      </w:pPr>
      <w:r>
        <w:rPr>
          <w:rFonts w:ascii="Calibri" w:cs="Calibri" w:eastAsia="Calibri" w:hAnsi="Calibri"/>
          <w:b w:val="false"/>
          <w:bCs w:val="false"/>
          <w:color w:val="1A1A1A"/>
          <w:sz w:val="21"/>
          <w:szCs w:val="21"/>
        </w:rPr>
        <w:t xml:space="preserve">General cybersecurity awareness resources and industry best-practice guidance.</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6F7" w:sz="6" w:space="4"/>
      </w:pBdr>
      <w:tabs>
        <w:tab w:val="right" w:pos="9026"/>
      </w:tabs>
    </w:pPr>
    <w:r>
      <w:rPr>
        <w:rFonts w:ascii="Calibri" w:cs="Calibri" w:eastAsia="Calibri" w:hAnsi="Calibri"/>
        <w:color w:val="44494F"/>
        <w:sz w:val="16"/>
        <w:szCs w:val="16"/>
      </w:rPr>
      <w:t xml:space="preserve">Prepared by Pratyush Singh Rathore</w:t>
    </w:r>
    <w:r>
      <w:rPr>
        <w:rFonts w:ascii="Calibri" w:cs="Calibri" w:eastAsia="Calibri" w:hAnsi="Calibri"/>
        <w:color w:val="44494F"/>
        <w:sz w:val="16"/>
        <w:szCs w:val="16"/>
      </w:rPr>
      <w:t xml:space="preserve">	Page </w:t>
    </w:r>
    <w:r>
      <w:rPr>
        <w:rFonts w:ascii="Calibri" w:cs="Calibri" w:eastAsia="Calibri" w:hAnsi="Calibri"/>
        <w:color w:val="44494F"/>
        <w:sz w:val="16"/>
        <w:szCs w:val="16"/>
      </w:rPr>
      <w:fldChar w:fldCharType="begin"/>
      <w:instrText xml:space="preserve">PAGE</w:instrText>
      <w:fldChar w:fldCharType="separate"/>
      <w:fldChar w:fldCharType="end"/>
    </w:r>
    <w:r>
      <w:rPr>
        <w:rFonts w:ascii="Calibri" w:cs="Calibri" w:eastAsia="Calibri" w:hAnsi="Calibri"/>
        <w:color w:val="44494F"/>
        <w:sz w:val="16"/>
        <w:szCs w:val="16"/>
      </w:rPr>
      <w:t xml:space="preserve"> of </w:t>
    </w:r>
    <w:r>
      <w:rPr>
        <w:rFonts w:ascii="Calibri" w:cs="Calibri" w:eastAsia="Calibri" w:hAnsi="Calibri"/>
        <w:color w:val="44494F"/>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6F7" w:sz="6" w:space="4"/>
      </w:pBdr>
      <w:tabs>
        <w:tab w:val="right" w:pos="9026"/>
      </w:tabs>
    </w:pPr>
    <w:r>
      <w:rPr>
        <w:rFonts w:ascii="Calibri" w:cs="Calibri" w:eastAsia="Calibri" w:hAnsi="Calibri"/>
        <w:color w:val="44494F"/>
        <w:sz w:val="16"/>
        <w:szCs w:val="16"/>
      </w:rPr>
      <w:t xml:space="preserve">Prepared by Pratyush Singh Rathore</w:t>
    </w:r>
    <w:r>
      <w:rPr>
        <w:rFonts w:ascii="Calibri" w:cs="Calibri" w:eastAsia="Calibri" w:hAnsi="Calibri"/>
        <w:color w:val="44494F"/>
        <w:sz w:val="16"/>
        <w:szCs w:val="16"/>
      </w:rPr>
      <w:t xml:space="preserve">	Page </w:t>
    </w:r>
    <w:r>
      <w:rPr>
        <w:rFonts w:ascii="Calibri" w:cs="Calibri" w:eastAsia="Calibri" w:hAnsi="Calibri"/>
        <w:color w:val="44494F"/>
        <w:sz w:val="16"/>
        <w:szCs w:val="16"/>
      </w:rPr>
      <w:fldChar w:fldCharType="begin"/>
      <w:instrText xml:space="preserve">PAGE</w:instrText>
      <w:fldChar w:fldCharType="separate"/>
      <w:fldChar w:fldCharType="end"/>
    </w:r>
    <w:r>
      <w:rPr>
        <w:rFonts w:ascii="Calibri" w:cs="Calibri" w:eastAsia="Calibri" w:hAnsi="Calibri"/>
        <w:color w:val="44494F"/>
        <w:sz w:val="16"/>
        <w:szCs w:val="16"/>
      </w:rPr>
      <w:t xml:space="preserve"> of </w:t>
    </w:r>
    <w:r>
      <w:rPr>
        <w:rFonts w:ascii="Calibri" w:cs="Calibri" w:eastAsia="Calibri" w:hAnsi="Calibri"/>
        <w:color w:val="44494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FA8" w:sz="6" w:space="4"/>
      </w:pBdr>
      <w:tabs>
        <w:tab w:val="right" w:pos="9026"/>
      </w:tabs>
    </w:pPr>
    <w:r>
      <w:rPr>
        <w:rFonts w:ascii="Calibri" w:cs="Calibri" w:eastAsia="Calibri" w:hAnsi="Calibri"/>
        <w:b/>
        <w:bCs/>
        <w:color w:val="0B1F3A"/>
        <w:sz w:val="16"/>
        <w:szCs w:val="16"/>
      </w:rPr>
      <w:t xml:space="preserve">Phishing Email Detection &amp; Awareness Report</w:t>
    </w:r>
    <w:r>
      <w:rPr>
        <w:rFonts w:ascii="Calibri" w:cs="Calibri" w:eastAsia="Calibri" w:hAnsi="Calibri"/>
        <w:color w:val="44494F"/>
        <w:sz w:val="16"/>
        <w:szCs w:val="16"/>
      </w:rPr>
      <w:t xml:space="preserve">	Future Interns | Cyber Security Task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FA8" w:sz="6" w:space="4"/>
      </w:pBdr>
      <w:tabs>
        <w:tab w:val="right" w:pos="9026"/>
      </w:tabs>
    </w:pPr>
    <w:r>
      <w:rPr>
        <w:rFonts w:ascii="Calibri" w:cs="Calibri" w:eastAsia="Calibri" w:hAnsi="Calibri"/>
        <w:b/>
        <w:bCs/>
        <w:color w:val="0B1F3A"/>
        <w:sz w:val="16"/>
        <w:szCs w:val="16"/>
      </w:rPr>
      <w:t xml:space="preserve">Phishing Email Detection &amp; Awareness Report</w:t>
    </w:r>
    <w:r>
      <w:rPr>
        <w:rFonts w:ascii="Calibri" w:cs="Calibri" w:eastAsia="Calibri" w:hAnsi="Calibri"/>
        <w:color w:val="44494F"/>
        <w:sz w:val="16"/>
        <w:szCs w:val="16"/>
      </w:rPr>
      <w:t xml:space="preserve">	Future Interns | Cyber Security Task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2026-07-03T17:36:57.520Z</dcterms:created>
  <dcterms:modified xsi:type="dcterms:W3CDTF">2026-07-03T17:36:57.532Z</dcterms:modified>
</cp:coreProperties>
</file>

<file path=docProps/custom.xml><?xml version="1.0" encoding="utf-8"?>
<Properties xmlns="http://schemas.openxmlformats.org/officeDocument/2006/custom-properties" xmlns:vt="http://schemas.openxmlformats.org/officeDocument/2006/docPropsVTypes"/>
</file>