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10" w:rsidRPr="006E32A4" w:rsidRDefault="000C6C50" w:rsidP="006E32A4">
      <w:pPr>
        <w:pStyle w:val="ListParagraph"/>
        <w:numPr>
          <w:ilvl w:val="0"/>
          <w:numId w:val="4"/>
        </w:numPr>
        <w:rPr>
          <w:rFonts w:cs="Arial"/>
          <w:b/>
          <w:bCs/>
          <w:iCs/>
          <w:sz w:val="24"/>
          <w:lang w:val="es-MX"/>
        </w:rPr>
      </w:pPr>
      <w:r w:rsidRPr="006E32A4">
        <w:rPr>
          <w:rFonts w:cs="Arial"/>
          <w:b/>
          <w:bCs/>
          <w:iCs/>
          <w:sz w:val="24"/>
          <w:lang w:val="es-MX"/>
        </w:rPr>
        <w:t xml:space="preserve">Front End UI </w:t>
      </w:r>
      <w:r w:rsidR="00013A10" w:rsidRPr="006E32A4">
        <w:rPr>
          <w:rFonts w:cs="Arial"/>
          <w:b/>
          <w:bCs/>
          <w:iCs/>
          <w:sz w:val="24"/>
          <w:lang w:val="es-MX"/>
        </w:rPr>
        <w:t>Deployment steps:</w:t>
      </w:r>
    </w:p>
    <w:p w:rsidR="00013A10" w:rsidRDefault="00013A10" w:rsidP="006E32A4">
      <w:pPr>
        <w:pStyle w:val="ListParagraph"/>
        <w:numPr>
          <w:ilvl w:val="1"/>
          <w:numId w:val="4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prompt and CD to the location of the </w:t>
      </w:r>
      <w:r w:rsidR="003839AB">
        <w:t>c</w:t>
      </w:r>
      <w:r>
        <w:t xml:space="preserve">ontents of the </w:t>
      </w:r>
      <w:proofErr w:type="spellStart"/>
      <w:r>
        <w:t>Intel_UI</w:t>
      </w:r>
      <w:proofErr w:type="spellEnd"/>
      <w:r>
        <w:t xml:space="preserve"> folder</w:t>
      </w:r>
    </w:p>
    <w:p w:rsidR="00013A10" w:rsidRDefault="00013A10" w:rsidP="006E32A4">
      <w:pPr>
        <w:pStyle w:val="ListParagraph"/>
        <w:numPr>
          <w:ilvl w:val="1"/>
          <w:numId w:val="4"/>
        </w:numPr>
      </w:pPr>
      <w:r>
        <w:t xml:space="preserve">Enter the command &lt; </w:t>
      </w:r>
      <w:proofErr w:type="spellStart"/>
      <w:r>
        <w:t>npm</w:t>
      </w:r>
      <w:proofErr w:type="spellEnd"/>
      <w:r>
        <w:t xml:space="preserve"> install &gt;</w:t>
      </w:r>
    </w:p>
    <w:p w:rsidR="00013A10" w:rsidRDefault="00013A10" w:rsidP="006E32A4">
      <w:pPr>
        <w:pStyle w:val="ListParagraph"/>
        <w:numPr>
          <w:ilvl w:val="2"/>
          <w:numId w:val="4"/>
        </w:numPr>
      </w:pPr>
      <w:r>
        <w:t>Ensure that the command returns no Errors</w:t>
      </w:r>
    </w:p>
    <w:p w:rsidR="00013A10" w:rsidRDefault="00013A10" w:rsidP="006E32A4">
      <w:pPr>
        <w:pStyle w:val="ListParagraph"/>
        <w:numPr>
          <w:ilvl w:val="1"/>
          <w:numId w:val="4"/>
        </w:numPr>
      </w:pPr>
      <w:r>
        <w:t>Enter the command &lt; bower install &gt;</w:t>
      </w:r>
    </w:p>
    <w:p w:rsidR="009709D2" w:rsidRDefault="009709D2" w:rsidP="006E32A4">
      <w:pPr>
        <w:pStyle w:val="ListParagraph"/>
        <w:numPr>
          <w:ilvl w:val="2"/>
          <w:numId w:val="4"/>
        </w:numPr>
      </w:pPr>
      <w:proofErr w:type="spellStart"/>
      <w:r>
        <w:t>Comand</w:t>
      </w:r>
      <w:proofErr w:type="spellEnd"/>
      <w:r>
        <w:t xml:space="preserve"> will prompt user to select a version for &lt;</w:t>
      </w:r>
      <w:proofErr w:type="spellStart"/>
      <w:r>
        <w:t>px</w:t>
      </w:r>
      <w:proofErr w:type="spellEnd"/>
      <w:r>
        <w:t>-</w:t>
      </w:r>
      <w:proofErr w:type="spellStart"/>
      <w:r>
        <w:t>datetime</w:t>
      </w:r>
      <w:proofErr w:type="spellEnd"/>
      <w:r>
        <w:t>-common&gt;</w:t>
      </w:r>
    </w:p>
    <w:p w:rsidR="009709D2" w:rsidRDefault="009709D2" w:rsidP="006E32A4">
      <w:pPr>
        <w:pStyle w:val="ListParagraph"/>
        <w:numPr>
          <w:ilvl w:val="2"/>
          <w:numId w:val="4"/>
        </w:numPr>
      </w:pPr>
      <w:r>
        <w:t>Select the first option by inputting &lt; !1 &gt;</w:t>
      </w:r>
    </w:p>
    <w:p w:rsidR="00013A10" w:rsidRDefault="00013A10" w:rsidP="006E32A4">
      <w:pPr>
        <w:pStyle w:val="ListParagraph"/>
        <w:numPr>
          <w:ilvl w:val="1"/>
          <w:numId w:val="4"/>
        </w:numPr>
      </w:pPr>
      <w:r>
        <w:t xml:space="preserve">Enter the command &lt; gulp </w:t>
      </w:r>
      <w:proofErr w:type="spellStart"/>
      <w:r>
        <w:t>dist</w:t>
      </w:r>
      <w:proofErr w:type="spellEnd"/>
      <w:r>
        <w:t xml:space="preserve"> -f &gt;</w:t>
      </w:r>
    </w:p>
    <w:p w:rsidR="00013A10" w:rsidRPr="00590772" w:rsidRDefault="000C7FCC" w:rsidP="006E32A4">
      <w:pPr>
        <w:pStyle w:val="ListParagraph"/>
        <w:numPr>
          <w:ilvl w:val="1"/>
          <w:numId w:val="4"/>
        </w:numPr>
      </w:pPr>
      <w:r>
        <w:t>Modify the configuration files per the instructions and examples below:</w:t>
      </w:r>
    </w:p>
    <w:p w:rsidR="00013A10" w:rsidRDefault="006E32A4" w:rsidP="006E32A4">
      <w:pPr>
        <w:pStyle w:val="StkNUMBERING"/>
        <w:numPr>
          <w:ilvl w:val="0"/>
          <w:numId w:val="4"/>
        </w:numPr>
      </w:pPr>
      <w:r>
        <w:t xml:space="preserve">Modify </w:t>
      </w:r>
      <w:r w:rsidR="00013A10">
        <w:t>Configuration Files</w:t>
      </w:r>
    </w:p>
    <w:p w:rsidR="00013A10" w:rsidRPr="00182492" w:rsidRDefault="00013A10" w:rsidP="00013A10">
      <w:pPr>
        <w:pStyle w:val="StkBODYTEXT"/>
        <w:rPr>
          <w:lang w:val="pt-BR"/>
        </w:rPr>
      </w:pPr>
      <w:r>
        <w:rPr>
          <w:lang w:val="en-US"/>
        </w:rPr>
        <w:t>Here we have the path</w:t>
      </w:r>
      <w:r w:rsidRPr="005F10FB">
        <w:rPr>
          <w:lang w:val="en-US"/>
        </w:rPr>
        <w:t xml:space="preserve"> file </w:t>
      </w:r>
      <w:r>
        <w:rPr>
          <w:lang w:val="en-US"/>
        </w:rPr>
        <w:t>which</w:t>
      </w:r>
      <w:r w:rsidRPr="005F10FB">
        <w:rPr>
          <w:lang w:val="en-US"/>
        </w:rPr>
        <w:t xml:space="preserve"> need to be modified in order to set the Predix instances</w:t>
      </w:r>
      <w:r>
        <w:rPr>
          <w:lang w:val="pt-BR"/>
        </w:rPr>
        <w:t xml:space="preserve"> (UAA, TimeSeries, Redis, Assets) and the microservices.</w:t>
      </w:r>
    </w:p>
    <w:p w:rsidR="00013A10" w:rsidRDefault="00013A10" w:rsidP="00013A10">
      <w:pPr>
        <w:pStyle w:val="StkBULLETS1"/>
      </w:pPr>
      <w:r w:rsidRPr="005F10FB">
        <w:t>/</w:t>
      </w:r>
      <w:r>
        <w:t>&lt;rootname&gt;/server</w:t>
      </w:r>
      <w:r w:rsidRPr="005F10FB">
        <w:t>/</w:t>
      </w:r>
      <w:r>
        <w:t>localConfig.json</w:t>
      </w:r>
    </w:p>
    <w:p w:rsidR="00013A10" w:rsidRDefault="00013A10" w:rsidP="00013A10">
      <w:pPr>
        <w:pStyle w:val="StkBULLETS1"/>
      </w:pPr>
      <w:r w:rsidRPr="005F10FB">
        <w:t>/</w:t>
      </w:r>
      <w:r>
        <w:t>&lt;rootname&gt;</w:t>
      </w:r>
      <w:r w:rsidRPr="005F10FB">
        <w:t>/</w:t>
      </w:r>
      <w:r>
        <w:t>server</w:t>
      </w:r>
      <w:r w:rsidRPr="005F10FB">
        <w:t>/</w:t>
      </w:r>
      <w:r>
        <w:t>app.js</w:t>
      </w:r>
    </w:p>
    <w:p w:rsidR="00013A10" w:rsidRDefault="00013A10" w:rsidP="00013A10">
      <w:pPr>
        <w:pStyle w:val="StkBULLETS1"/>
      </w:pPr>
      <w:r w:rsidRPr="005F10FB">
        <w:t>/</w:t>
      </w:r>
      <w:r>
        <w:t>&lt;rootname&gt;/server/routes/proxy.js</w:t>
      </w:r>
    </w:p>
    <w:p w:rsidR="00013A10" w:rsidRDefault="00013A10" w:rsidP="00013A10">
      <w:pPr>
        <w:pStyle w:val="StkBULLETS1"/>
      </w:pPr>
      <w:r w:rsidRPr="005F10FB">
        <w:t>/</w:t>
      </w:r>
      <w:r>
        <w:t>&lt;rootname&gt;</w:t>
      </w:r>
      <w:r w:rsidRPr="005F10FB">
        <w:t>/</w:t>
      </w:r>
      <w:r>
        <w:t>public</w:t>
      </w:r>
      <w:r w:rsidRPr="005F10FB">
        <w:t>/</w:t>
      </w:r>
      <w:r>
        <w:t>elements</w:t>
      </w:r>
      <w:r w:rsidRPr="005F10FB">
        <w:t>/</w:t>
      </w:r>
      <w:r>
        <w:t>seed-app</w:t>
      </w:r>
      <w:r w:rsidRPr="005F10FB">
        <w:t>/</w:t>
      </w:r>
      <w:r>
        <w:t>seed-app.html</w:t>
      </w:r>
    </w:p>
    <w:p w:rsidR="00013A10" w:rsidRPr="00447387" w:rsidRDefault="00013A10" w:rsidP="00013A10">
      <w:pPr>
        <w:pStyle w:val="StkBULLETS1"/>
        <w:numPr>
          <w:ilvl w:val="0"/>
          <w:numId w:val="0"/>
        </w:numPr>
        <w:ind w:left="922"/>
      </w:pPr>
    </w:p>
    <w:p w:rsidR="00013A10" w:rsidRDefault="00013A10" w:rsidP="00013A10">
      <w:pPr>
        <w:pStyle w:val="StkSUBNUMBERING"/>
        <w:rPr>
          <w:b/>
        </w:rPr>
      </w:pPr>
      <w:proofErr w:type="spellStart"/>
      <w:r w:rsidRPr="002F5966">
        <w:rPr>
          <w:b/>
        </w:rPr>
        <w:t>localConfig.json</w:t>
      </w:r>
      <w:proofErr w:type="spellEnd"/>
      <w:r w:rsidRPr="002F5966">
        <w:rPr>
          <w:b/>
        </w:rPr>
        <w:t xml:space="preserve"> File</w:t>
      </w:r>
    </w:p>
    <w:p w:rsidR="00013A10" w:rsidRDefault="00013A10" w:rsidP="00013A10">
      <w:pPr>
        <w:pStyle w:val="StkBODYTEXT"/>
        <w:ind w:left="482"/>
        <w:rPr>
          <w:lang w:val="pt-BR"/>
        </w:rPr>
      </w:pPr>
      <w:r>
        <w:rPr>
          <w:lang w:val="en-US"/>
        </w:rPr>
        <w:t xml:space="preserve">Here you need to modify the </w:t>
      </w:r>
      <w:r w:rsidRPr="00434093">
        <w:rPr>
          <w:rFonts w:ascii="Segoe UI" w:hAnsi="Segoe UI" w:cs="Segoe UI"/>
          <w:color w:val="24292E"/>
          <w:shd w:val="clear" w:color="auto" w:fill="FFFFFF"/>
          <w:lang w:val="en-US"/>
        </w:rPr>
        <w:t>two</w:t>
      </w:r>
      <w:r>
        <w:rPr>
          <w:lang w:val="en-US"/>
        </w:rPr>
        <w:t xml:space="preserve"> base64ClientCredential values. Change the value of the tag </w:t>
      </w:r>
      <w:proofErr w:type="spellStart"/>
      <w:r>
        <w:rPr>
          <w:lang w:val="en-US"/>
        </w:rPr>
        <w:t>uaaURL</w:t>
      </w:r>
      <w:proofErr w:type="spellEnd"/>
      <w:r>
        <w:rPr>
          <w:lang w:val="en-US"/>
        </w:rPr>
        <w:t xml:space="preserve">. If you are using Assets, enter the value for </w:t>
      </w:r>
      <w:proofErr w:type="spellStart"/>
      <w:r>
        <w:rPr>
          <w:lang w:val="en-US"/>
        </w:rPr>
        <w:t>assetURL</w:t>
      </w:r>
      <w:proofErr w:type="spellEnd"/>
      <w:r>
        <w:rPr>
          <w:lang w:val="en-US"/>
        </w:rPr>
        <w:t xml:space="preserve">. The backend microservice is named </w:t>
      </w:r>
      <w:proofErr w:type="spellStart"/>
      <w:r>
        <w:rPr>
          <w:lang w:val="en-US"/>
        </w:rPr>
        <w:t>redisServiceURL</w:t>
      </w:r>
      <w:proofErr w:type="spellEnd"/>
      <w:r>
        <w:rPr>
          <w:lang w:val="en-US"/>
        </w:rPr>
        <w:t>, enter the new value</w:t>
      </w:r>
      <w:r>
        <w:rPr>
          <w:lang w:val="pt-BR"/>
        </w:rPr>
        <w:t>.</w:t>
      </w:r>
    </w:p>
    <w:p w:rsidR="00013A10" w:rsidRDefault="00013A10" w:rsidP="00013A10">
      <w:pPr>
        <w:pStyle w:val="StkBODYTEXT"/>
        <w:ind w:left="482"/>
        <w:rPr>
          <w:lang w:val="pt-BR"/>
        </w:rPr>
      </w:pPr>
    </w:p>
    <w:p w:rsidR="00013A10" w:rsidRPr="00182492" w:rsidRDefault="00013A10" w:rsidP="00013A10">
      <w:pPr>
        <w:pStyle w:val="StkBODYTEXT"/>
        <w:ind w:left="482"/>
        <w:rPr>
          <w:lang w:val="pt-BR"/>
        </w:rPr>
      </w:pPr>
      <w:r>
        <w:rPr>
          <w:noProof/>
          <w:lang w:val="en-US"/>
        </w:rPr>
        <w:drawing>
          <wp:inline distT="0" distB="0" distL="0" distR="0" wp14:anchorId="08336F20" wp14:editId="383AC810">
            <wp:extent cx="6332220" cy="2837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10" w:rsidRDefault="00013A10" w:rsidP="00013A10">
      <w:pPr>
        <w:pStyle w:val="StkBULLETS1"/>
        <w:numPr>
          <w:ilvl w:val="0"/>
          <w:numId w:val="0"/>
        </w:numPr>
        <w:ind w:left="922"/>
        <w:rPr>
          <w:b/>
        </w:rPr>
      </w:pPr>
    </w:p>
    <w:p w:rsidR="00013A10" w:rsidRDefault="00013A10" w:rsidP="00013A10">
      <w:pPr>
        <w:pStyle w:val="StkBULLETS1"/>
        <w:numPr>
          <w:ilvl w:val="0"/>
          <w:numId w:val="0"/>
        </w:numPr>
        <w:ind w:left="922"/>
        <w:rPr>
          <w:b/>
        </w:rPr>
      </w:pPr>
    </w:p>
    <w:p w:rsidR="00013A10" w:rsidRDefault="00013A10" w:rsidP="00013A10">
      <w:pPr>
        <w:pStyle w:val="StkBULLETS1"/>
        <w:numPr>
          <w:ilvl w:val="0"/>
          <w:numId w:val="0"/>
        </w:numPr>
        <w:ind w:left="922"/>
        <w:rPr>
          <w:b/>
        </w:rPr>
      </w:pPr>
      <w:r>
        <w:rPr>
          <w:b/>
        </w:rPr>
        <w:t xml:space="preserve"> </w:t>
      </w:r>
    </w:p>
    <w:p w:rsidR="00013A10" w:rsidRDefault="00013A10" w:rsidP="00013A10">
      <w:pPr>
        <w:pStyle w:val="StkSUBNUMBERING"/>
        <w:numPr>
          <w:ilvl w:val="0"/>
          <w:numId w:val="0"/>
        </w:numPr>
        <w:ind w:left="482"/>
        <w:rPr>
          <w:b/>
          <w:lang w:val="pt-BR"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ind w:left="482"/>
        <w:rPr>
          <w:b/>
          <w:lang w:val="pt-BR"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ind w:left="482"/>
        <w:rPr>
          <w:b/>
          <w:lang w:val="pt-BR"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ind w:left="482"/>
        <w:rPr>
          <w:b/>
          <w:lang w:val="pt-BR"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ind w:left="482"/>
        <w:rPr>
          <w:b/>
          <w:lang w:val="pt-BR"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ind w:left="482"/>
        <w:rPr>
          <w:b/>
          <w:lang w:val="pt-BR"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ind w:left="482"/>
        <w:rPr>
          <w:b/>
          <w:lang w:val="pt-BR"/>
        </w:rPr>
      </w:pPr>
    </w:p>
    <w:p w:rsidR="00013A10" w:rsidRDefault="00013A10" w:rsidP="006E32A4">
      <w:pPr>
        <w:pStyle w:val="StkSUBNUMBERING"/>
        <w:numPr>
          <w:ilvl w:val="0"/>
          <w:numId w:val="0"/>
        </w:numPr>
        <w:ind w:firstLine="482"/>
        <w:rPr>
          <w:b/>
        </w:rPr>
      </w:pPr>
      <w:r>
        <w:rPr>
          <w:b/>
        </w:rPr>
        <w:t>app.js File</w:t>
      </w:r>
    </w:p>
    <w:p w:rsidR="00013A10" w:rsidRDefault="00013A10" w:rsidP="00013A10">
      <w:pPr>
        <w:pStyle w:val="StkNUMBERING"/>
        <w:numPr>
          <w:ilvl w:val="0"/>
          <w:numId w:val="0"/>
        </w:numPr>
        <w:ind w:left="482"/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 xml:space="preserve">The </w:t>
      </w:r>
      <w:proofErr w:type="spellStart"/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predix</w:t>
      </w:r>
      <w:proofErr w:type="spellEnd"/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-</w:t>
      </w:r>
      <w:proofErr w:type="spellStart"/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webapp</w:t>
      </w:r>
      <w:proofErr w:type="spellEnd"/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-starter Express web application includes these features:</w:t>
      </w:r>
    </w:p>
    <w:p w:rsidR="00013A10" w:rsidRDefault="00013A10" w:rsidP="00013A10">
      <w:pPr>
        <w:pStyle w:val="StkNUMBERING"/>
        <w:numPr>
          <w:ilvl w:val="0"/>
          <w:numId w:val="3"/>
        </w:numP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  <w: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R</w:t>
      </w:r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outes to mock data files to demonstrate the UI</w:t>
      </w:r>
      <w: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.</w:t>
      </w:r>
    </w:p>
    <w:p w:rsidR="00013A10" w:rsidRDefault="00013A10" w:rsidP="00013A10">
      <w:pPr>
        <w:pStyle w:val="StkNUMBERING"/>
        <w:numPr>
          <w:ilvl w:val="0"/>
          <w:numId w:val="3"/>
        </w:numP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  <w: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A</w:t>
      </w:r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 xml:space="preserve"> proxy module for calling Predix services such as asset and time series</w:t>
      </w:r>
    </w:p>
    <w:p w:rsidR="00013A10" w:rsidRDefault="00013A10" w:rsidP="00013A10">
      <w:pPr>
        <w:pStyle w:val="StkNUMBERING"/>
        <w:numPr>
          <w:ilvl w:val="0"/>
          <w:numId w:val="3"/>
        </w:numP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Passport-</w:t>
      </w:r>
      <w:proofErr w:type="spellStart"/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predix</w:t>
      </w:r>
      <w:proofErr w:type="spellEnd"/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-</w:t>
      </w:r>
      <w:proofErr w:type="spellStart"/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oauth</w:t>
      </w:r>
      <w:proofErr w:type="spellEnd"/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 xml:space="preserve"> for authentication, and a sample secure route</w:t>
      </w:r>
      <w: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.</w:t>
      </w:r>
    </w:p>
    <w:p w:rsidR="00013A10" w:rsidRDefault="00013A10" w:rsidP="00013A10">
      <w:pPr>
        <w:pStyle w:val="StkNUMBERING"/>
        <w:numPr>
          <w:ilvl w:val="0"/>
          <w:numId w:val="0"/>
        </w:numPr>
        <w:ind w:left="482"/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  <w: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If you need to modify the endpoints and the name of your micro-service. Then you have to change the following code:</w:t>
      </w:r>
    </w:p>
    <w:p w:rsidR="00013A10" w:rsidRDefault="00013A10" w:rsidP="00013A10">
      <w:pPr>
        <w:pStyle w:val="StkNUMBERING"/>
        <w:numPr>
          <w:ilvl w:val="0"/>
          <w:numId w:val="0"/>
        </w:numPr>
        <w:ind w:left="482"/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219D272" wp14:editId="73AB47F0">
            <wp:extent cx="6332220" cy="4024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10" w:rsidRPr="00447387" w:rsidRDefault="00013A10" w:rsidP="00013A10">
      <w:pPr>
        <w:pStyle w:val="StkSUBNUMBERING"/>
        <w:numPr>
          <w:ilvl w:val="0"/>
          <w:numId w:val="0"/>
        </w:numPr>
        <w:ind w:left="482"/>
        <w:rPr>
          <w:b/>
          <w:lang w:val="pt-BR"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Pr="00293B09" w:rsidRDefault="00013A10" w:rsidP="00013A10">
      <w:pPr>
        <w:pStyle w:val="StkSUBNUMBERING"/>
        <w:numPr>
          <w:ilvl w:val="0"/>
          <w:numId w:val="0"/>
        </w:numPr>
        <w:rPr>
          <w:b/>
        </w:rPr>
      </w:pPr>
    </w:p>
    <w:p w:rsidR="00013A10" w:rsidRDefault="00013A10" w:rsidP="00013A10">
      <w:pPr>
        <w:pStyle w:val="StkSUBNUMBERING"/>
        <w:numPr>
          <w:ilvl w:val="0"/>
          <w:numId w:val="0"/>
        </w:numPr>
        <w:ind w:left="992"/>
        <w:rPr>
          <w:b/>
        </w:rPr>
      </w:pPr>
    </w:p>
    <w:p w:rsidR="00013A10" w:rsidRDefault="00013A10" w:rsidP="006E32A4">
      <w:pPr>
        <w:pStyle w:val="StkSUBNUMBERING"/>
        <w:numPr>
          <w:ilvl w:val="0"/>
          <w:numId w:val="0"/>
        </w:numPr>
        <w:ind w:left="992" w:hanging="510"/>
        <w:rPr>
          <w:b/>
        </w:rPr>
      </w:pPr>
      <w:r>
        <w:rPr>
          <w:b/>
        </w:rPr>
        <w:t>proxy.js File</w:t>
      </w:r>
    </w:p>
    <w:p w:rsidR="00013A10" w:rsidRDefault="00013A10" w:rsidP="00013A10">
      <w:pPr>
        <w:pStyle w:val="StkNUMBERING"/>
        <w:numPr>
          <w:ilvl w:val="0"/>
          <w:numId w:val="0"/>
        </w:numPr>
        <w:ind w:left="482"/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  <w:r w:rsidRPr="00293B09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This module can be used to set up reverse proxying from client to Predix services</w:t>
      </w:r>
      <w: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t>. In order to modify the POST method used to request data from the microservice, you will need to modify the following code:</w:t>
      </w:r>
    </w:p>
    <w:p w:rsidR="00013A10" w:rsidRDefault="00013A10" w:rsidP="00013A10">
      <w:pPr>
        <w:pStyle w:val="StkNUMBERING"/>
        <w:numPr>
          <w:ilvl w:val="0"/>
          <w:numId w:val="0"/>
        </w:numPr>
        <w:ind w:left="482"/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  <w: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CF3AAF1" wp14:editId="7AF190A0">
            <wp:extent cx="6332220" cy="3781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10" w:rsidRDefault="00013A10" w:rsidP="00013A10">
      <w:pPr>
        <w:pStyle w:val="StkNUMBERING"/>
        <w:numPr>
          <w:ilvl w:val="0"/>
          <w:numId w:val="0"/>
        </w:numPr>
        <w:ind w:left="482"/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en-US"/>
        </w:rPr>
      </w:pPr>
    </w:p>
    <w:p w:rsidR="00013A10" w:rsidRPr="006E32A4" w:rsidRDefault="000C7FCC" w:rsidP="006E32A4">
      <w:pPr>
        <w:pStyle w:val="StkSUBNUMBERING"/>
        <w:numPr>
          <w:ilvl w:val="0"/>
          <w:numId w:val="4"/>
        </w:numPr>
        <w:rPr>
          <w:rFonts w:cs="Arial"/>
          <w:b/>
          <w:bCs/>
          <w:iCs/>
          <w:sz w:val="24"/>
          <w:lang w:val="es-MX"/>
        </w:rPr>
      </w:pPr>
      <w:r w:rsidRPr="006E32A4">
        <w:rPr>
          <w:rFonts w:cs="Arial"/>
          <w:b/>
          <w:bCs/>
          <w:iCs/>
          <w:sz w:val="24"/>
          <w:lang w:val="es-MX"/>
        </w:rPr>
        <w:t>Push the Application to the Cloud:</w:t>
      </w:r>
    </w:p>
    <w:p w:rsidR="000C7FCC" w:rsidRPr="00434093" w:rsidRDefault="000C7FCC" w:rsidP="000C7FCC">
      <w:pPr>
        <w:pStyle w:val="StkNUMBERING"/>
        <w:numPr>
          <w:ilvl w:val="0"/>
          <w:numId w:val="0"/>
        </w:numP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pt-BR"/>
        </w:rPr>
      </w:pPr>
      <w:r w:rsidRPr="00434093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pt-BR"/>
        </w:rPr>
        <w:t>Pushing (deploying) to a cloud environment requires knowledge of the commands involved and a valid user account with the environment. GE uses Cloud Foundry for its cloud platform</w:t>
      </w:r>
      <w:r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pt-BR"/>
        </w:rPr>
        <w:t>.</w:t>
      </w:r>
    </w:p>
    <w:p w:rsidR="000C7FCC" w:rsidRPr="00434093" w:rsidRDefault="000C7FCC" w:rsidP="00320E0F">
      <w:pPr>
        <w:pStyle w:val="StkSUBNUMBERING"/>
        <w:numPr>
          <w:ilvl w:val="0"/>
          <w:numId w:val="0"/>
        </w:numPr>
        <w:ind w:left="992" w:hanging="510"/>
        <w:rPr>
          <w:rFonts w:ascii="Segoe UI" w:hAnsi="Segoe UI" w:cs="Segoe UI"/>
          <w:color w:val="24292E"/>
          <w:shd w:val="clear" w:color="auto" w:fill="FFFFFF"/>
        </w:rPr>
      </w:pPr>
      <w:r w:rsidRPr="00434093">
        <w:rPr>
          <w:b/>
          <w:shd w:val="clear" w:color="auto" w:fill="FFFFFF"/>
        </w:rPr>
        <w:t xml:space="preserve">Update </w:t>
      </w:r>
      <w:proofErr w:type="spellStart"/>
      <w:r w:rsidRPr="00434093">
        <w:rPr>
          <w:b/>
          <w:shd w:val="clear" w:color="auto" w:fill="FFFFFF"/>
        </w:rPr>
        <w:t>manifest.yml</w:t>
      </w:r>
      <w:proofErr w:type="spellEnd"/>
    </w:p>
    <w:p w:rsidR="00320E0F" w:rsidRDefault="00320E0F" w:rsidP="00320E0F">
      <w:pPr>
        <w:pStyle w:val="StkSUBNUMBERING"/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434093">
        <w:rPr>
          <w:rFonts w:ascii="Segoe UI" w:hAnsi="Segoe UI" w:cs="Segoe UI"/>
          <w:color w:val="24292E"/>
          <w:shd w:val="clear" w:color="auto" w:fill="FFFFFF"/>
        </w:rPr>
        <w:t xml:space="preserve">Change the </w:t>
      </w:r>
      <w:r>
        <w:rPr>
          <w:rFonts w:ascii="Segoe UI" w:hAnsi="Segoe UI" w:cs="Segoe UI"/>
          <w:color w:val="24292E"/>
          <w:shd w:val="clear" w:color="auto" w:fill="FFFFFF"/>
        </w:rPr>
        <w:t xml:space="preserve">name field in your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manifest.yml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match the desired name of the backend application (Note, this is the name that will appear in Predix for the app)</w:t>
      </w:r>
    </w:p>
    <w:p w:rsidR="00320E0F" w:rsidRDefault="00320E0F" w:rsidP="00320E0F">
      <w:pPr>
        <w:pStyle w:val="StkSUBNUMBERING"/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Edit the service section to match the named services instances deployed in your Predix space:</w:t>
      </w:r>
    </w:p>
    <w:p w:rsidR="00320E0F" w:rsidRPr="00B9580F" w:rsidRDefault="00320E0F" w:rsidP="00320E0F">
      <w:pPr>
        <w:pStyle w:val="StkSUBNUMBERING"/>
        <w:numPr>
          <w:ilvl w:val="0"/>
          <w:numId w:val="0"/>
        </w:numPr>
        <w:ind w:left="2554" w:hanging="510"/>
        <w:rPr>
          <w:rFonts w:ascii="Segoe UI" w:hAnsi="Segoe UI" w:cs="Segoe UI"/>
          <w:color w:val="24292E"/>
          <w:shd w:val="clear" w:color="auto" w:fill="FFFFFF"/>
        </w:rPr>
      </w:pPr>
      <w:r w:rsidRPr="00B9580F">
        <w:rPr>
          <w:rFonts w:ascii="Segoe UI" w:hAnsi="Segoe UI" w:cs="Segoe UI"/>
          <w:color w:val="24292E"/>
          <w:shd w:val="clear" w:color="auto" w:fill="FFFFFF"/>
        </w:rPr>
        <w:t>services:</w:t>
      </w:r>
    </w:p>
    <w:p w:rsidR="00320E0F" w:rsidRPr="00B9580F" w:rsidRDefault="00320E0F" w:rsidP="00320E0F">
      <w:pPr>
        <w:pStyle w:val="StkSUBNUMBERING"/>
        <w:numPr>
          <w:ilvl w:val="0"/>
          <w:numId w:val="0"/>
        </w:numPr>
        <w:ind w:left="2554" w:hanging="510"/>
        <w:rPr>
          <w:rFonts w:ascii="Segoe UI" w:hAnsi="Segoe UI" w:cs="Segoe UI"/>
          <w:color w:val="24292E"/>
          <w:shd w:val="clear" w:color="auto" w:fill="FFFFFF"/>
        </w:rPr>
      </w:pPr>
      <w:r w:rsidRPr="00B9580F">
        <w:rPr>
          <w:rFonts w:ascii="Segoe UI" w:hAnsi="Segoe UI" w:cs="Segoe UI"/>
          <w:color w:val="24292E"/>
          <w:shd w:val="clear" w:color="auto" w:fill="FFFFFF"/>
        </w:rPr>
        <w:t>- &lt;</w:t>
      </w:r>
      <w:r>
        <w:rPr>
          <w:rFonts w:ascii="Segoe UI" w:hAnsi="Segoe UI" w:cs="Segoe UI"/>
          <w:color w:val="24292E"/>
          <w:shd w:val="clear" w:color="auto" w:fill="FFFFFF"/>
        </w:rPr>
        <w:t xml:space="preserve">Enter </w:t>
      </w:r>
      <w:r w:rsidRPr="00B9580F">
        <w:rPr>
          <w:rFonts w:ascii="Segoe UI" w:hAnsi="Segoe UI" w:cs="Segoe UI"/>
          <w:color w:val="24292E"/>
          <w:shd w:val="clear" w:color="auto" w:fill="FFFFFF"/>
        </w:rPr>
        <w:t>UAA-service&gt;</w:t>
      </w:r>
    </w:p>
    <w:p w:rsidR="00320E0F" w:rsidRPr="00B9580F" w:rsidRDefault="00320E0F" w:rsidP="00320E0F">
      <w:pPr>
        <w:pStyle w:val="StkSUBNUMBERING"/>
        <w:numPr>
          <w:ilvl w:val="0"/>
          <w:numId w:val="0"/>
        </w:numPr>
        <w:ind w:left="2554" w:hanging="510"/>
        <w:rPr>
          <w:rFonts w:ascii="Segoe UI" w:hAnsi="Segoe UI" w:cs="Segoe UI"/>
          <w:color w:val="24292E"/>
          <w:shd w:val="clear" w:color="auto" w:fill="FFFFFF"/>
        </w:rPr>
      </w:pPr>
      <w:r w:rsidRPr="00B9580F">
        <w:rPr>
          <w:rFonts w:ascii="Segoe UI" w:hAnsi="Segoe UI" w:cs="Segoe UI"/>
          <w:color w:val="24292E"/>
          <w:shd w:val="clear" w:color="auto" w:fill="FFFFFF"/>
        </w:rPr>
        <w:t>- &lt;</w:t>
      </w:r>
      <w:r>
        <w:rPr>
          <w:rFonts w:ascii="Segoe UI" w:hAnsi="Segoe UI" w:cs="Segoe UI"/>
          <w:color w:val="24292E"/>
          <w:shd w:val="clear" w:color="auto" w:fill="FFFFFF"/>
        </w:rPr>
        <w:t xml:space="preserve">Enter </w:t>
      </w:r>
      <w:proofErr w:type="spellStart"/>
      <w:r w:rsidRPr="00B9580F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ime</w:t>
      </w:r>
      <w:r w:rsidRPr="00B9580F"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eries</w:t>
      </w:r>
      <w:proofErr w:type="spellEnd"/>
      <w:r w:rsidRPr="00B9580F">
        <w:rPr>
          <w:rFonts w:ascii="Segoe UI" w:hAnsi="Segoe UI" w:cs="Segoe UI"/>
          <w:color w:val="24292E"/>
          <w:shd w:val="clear" w:color="auto" w:fill="FFFFFF"/>
        </w:rPr>
        <w:t>-service&gt;</w:t>
      </w:r>
    </w:p>
    <w:p w:rsidR="00320E0F" w:rsidRDefault="00320E0F" w:rsidP="00320E0F">
      <w:pPr>
        <w:pStyle w:val="StkSUBNUMBERING"/>
        <w:numPr>
          <w:ilvl w:val="0"/>
          <w:numId w:val="0"/>
        </w:numPr>
        <w:ind w:left="2554" w:hanging="51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&lt;Enter REDIS-service&gt;</w:t>
      </w:r>
    </w:p>
    <w:p w:rsidR="00320E0F" w:rsidRDefault="00320E0F" w:rsidP="00320E0F">
      <w:pPr>
        <w:pStyle w:val="StkSUBNUMBERING"/>
        <w:numPr>
          <w:ilvl w:val="0"/>
          <w:numId w:val="0"/>
        </w:numPr>
        <w:ind w:left="2554" w:hanging="51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- &lt;Asset Service&gt;</w:t>
      </w:r>
    </w:p>
    <w:p w:rsidR="00320E0F" w:rsidRDefault="00320E0F" w:rsidP="00320E0F">
      <w:pPr>
        <w:pStyle w:val="StkSUBNUMBERING"/>
        <w:numPr>
          <w:ilvl w:val="0"/>
          <w:numId w:val="0"/>
        </w:numPr>
        <w:ind w:left="2554" w:hanging="51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 &lt;Access Control Service&gt;</w:t>
      </w:r>
    </w:p>
    <w:p w:rsidR="00320E0F" w:rsidRDefault="00320E0F" w:rsidP="00320E0F">
      <w:pPr>
        <w:pStyle w:val="StkSUBNUMBERING"/>
        <w:numPr>
          <w:ilvl w:val="0"/>
          <w:numId w:val="0"/>
        </w:numPr>
        <w:ind w:left="2554" w:hanging="510"/>
        <w:rPr>
          <w:rFonts w:ascii="Segoe UI" w:hAnsi="Segoe UI" w:cs="Segoe UI"/>
          <w:color w:val="24292E"/>
          <w:shd w:val="clear" w:color="auto" w:fill="FFFFFF"/>
        </w:rPr>
      </w:pPr>
    </w:p>
    <w:p w:rsidR="00320E0F" w:rsidRDefault="00320E0F" w:rsidP="00320E0F">
      <w:pPr>
        <w:pStyle w:val="StkSUBNUMBERING"/>
        <w:numPr>
          <w:ilvl w:val="0"/>
          <w:numId w:val="0"/>
        </w:numPr>
        <w:ind w:left="2554" w:hanging="510"/>
        <w:rPr>
          <w:rFonts w:ascii="Segoe UI" w:hAnsi="Segoe UI" w:cs="Segoe UI"/>
          <w:color w:val="24292E"/>
          <w:shd w:val="clear" w:color="auto" w:fill="FFFFFF"/>
        </w:rPr>
      </w:pPr>
    </w:p>
    <w:p w:rsidR="00320E0F" w:rsidRDefault="00320E0F" w:rsidP="00320E0F">
      <w:pPr>
        <w:pStyle w:val="StkSUBNUMBERING"/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Edit the Environment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 Section with the service instance details in your Predix space</w:t>
      </w:r>
    </w:p>
    <w:p w:rsidR="00320E0F" w:rsidRDefault="00320E0F" w:rsidP="00320E0F">
      <w:pPr>
        <w:pStyle w:val="StkSUBNUMBERING"/>
        <w:numPr>
          <w:ilvl w:val="0"/>
          <w:numId w:val="0"/>
        </w:numPr>
        <w:ind w:left="1534" w:firstLine="626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0070C0"/>
          <w:shd w:val="clear" w:color="auto" w:fill="FFFFFF"/>
        </w:rPr>
        <w:t>Base64ClientCredentials</w:t>
      </w:r>
      <w:r w:rsidRPr="007E69FE">
        <w:rPr>
          <w:rFonts w:ascii="Segoe UI" w:hAnsi="Segoe UI" w:cs="Segoe UI"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&lt;</w:t>
      </w:r>
      <w:r>
        <w:rPr>
          <w:rFonts w:ascii="Segoe UI" w:hAnsi="Segoe UI" w:cs="Segoe UI"/>
          <w:b/>
          <w:color w:val="24292E"/>
          <w:shd w:val="clear" w:color="auto" w:fill="FFFFFF"/>
        </w:rPr>
        <w:t>bas64EncodedClientS</w:t>
      </w:r>
      <w:r w:rsidRPr="007E69FE">
        <w:rPr>
          <w:rFonts w:ascii="Segoe UI" w:hAnsi="Segoe UI" w:cs="Segoe UI"/>
          <w:b/>
          <w:color w:val="24292E"/>
          <w:shd w:val="clear" w:color="auto" w:fill="FFFFFF"/>
        </w:rPr>
        <w:t>ecret</w:t>
      </w:r>
      <w:r>
        <w:rPr>
          <w:rFonts w:ascii="Segoe UI" w:hAnsi="Segoe UI" w:cs="Segoe UI"/>
          <w:color w:val="24292E"/>
          <w:shd w:val="clear" w:color="auto" w:fill="FFFFFF"/>
        </w:rPr>
        <w:t xml:space="preserve"> &gt;</w:t>
      </w:r>
    </w:p>
    <w:p w:rsidR="00320E0F" w:rsidRDefault="00320E0F" w:rsidP="00320E0F">
      <w:pPr>
        <w:pStyle w:val="StkSUBNUMBERING"/>
        <w:numPr>
          <w:ilvl w:val="0"/>
          <w:numId w:val="0"/>
        </w:numPr>
        <w:ind w:left="1534" w:firstLine="626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0070C0"/>
          <w:shd w:val="clear" w:color="auto" w:fill="FFFFFF"/>
        </w:rPr>
        <w:t>loginBase64ClientCredentials</w:t>
      </w:r>
      <w:r w:rsidRPr="007E69FE">
        <w:rPr>
          <w:rFonts w:ascii="Segoe UI" w:hAnsi="Segoe UI" w:cs="Segoe UI"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&lt;</w:t>
      </w:r>
      <w:r>
        <w:rPr>
          <w:rFonts w:ascii="Segoe UI" w:hAnsi="Segoe UI" w:cs="Segoe UI"/>
          <w:b/>
          <w:color w:val="24292E"/>
          <w:shd w:val="clear" w:color="auto" w:fill="FFFFFF"/>
        </w:rPr>
        <w:t>bas64EncodedClientS</w:t>
      </w:r>
      <w:r w:rsidRPr="007E69FE">
        <w:rPr>
          <w:rFonts w:ascii="Segoe UI" w:hAnsi="Segoe UI" w:cs="Segoe UI"/>
          <w:b/>
          <w:color w:val="24292E"/>
          <w:shd w:val="clear" w:color="auto" w:fill="FFFFFF"/>
        </w:rPr>
        <w:t>ecret</w:t>
      </w:r>
      <w:r>
        <w:rPr>
          <w:rFonts w:ascii="Segoe UI" w:hAnsi="Segoe UI" w:cs="Segoe UI"/>
          <w:color w:val="24292E"/>
          <w:shd w:val="clear" w:color="auto" w:fill="FFFFFF"/>
        </w:rPr>
        <w:t xml:space="preserve"> &gt;</w:t>
      </w:r>
    </w:p>
    <w:p w:rsidR="00320E0F" w:rsidRDefault="00320E0F" w:rsidP="00320E0F">
      <w:pPr>
        <w:pStyle w:val="StkSUBNUMBERING"/>
        <w:numPr>
          <w:ilvl w:val="0"/>
          <w:numId w:val="0"/>
        </w:numPr>
        <w:ind w:left="1534" w:firstLine="626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0070C0"/>
          <w:shd w:val="clear" w:color="auto" w:fill="FFFFFF"/>
        </w:rPr>
        <w:t>inteltsqueryURL</w:t>
      </w:r>
      <w:proofErr w:type="spellEnd"/>
      <w:r w:rsidRPr="007E69FE">
        <w:rPr>
          <w:rFonts w:ascii="Segoe UI" w:hAnsi="Segoe UI" w:cs="Segoe UI"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&lt;full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URL for </w:t>
      </w:r>
      <w:proofErr w:type="spellStart"/>
      <w:r>
        <w:rPr>
          <w:rFonts w:ascii="Segoe UI" w:hAnsi="Segoe UI" w:cs="Segoe UI"/>
          <w:b/>
          <w:color w:val="24292E"/>
          <w:shd w:val="clear" w:color="auto" w:fill="FFFFFF"/>
        </w:rPr>
        <w:t>Timeseries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&gt;</w:t>
      </w:r>
    </w:p>
    <w:p w:rsidR="00320E0F" w:rsidRDefault="00320E0F" w:rsidP="00320E0F">
      <w:pPr>
        <w:pStyle w:val="StkSUBNUMBERING"/>
        <w:numPr>
          <w:ilvl w:val="0"/>
          <w:numId w:val="0"/>
        </w:numPr>
        <w:ind w:left="1534" w:firstLine="626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0070C0"/>
          <w:shd w:val="clear" w:color="auto" w:fill="FFFFFF"/>
        </w:rPr>
        <w:t>redisServiceURL</w:t>
      </w:r>
      <w:proofErr w:type="spellEnd"/>
      <w:r w:rsidRPr="007E69FE">
        <w:rPr>
          <w:rFonts w:ascii="Segoe UI" w:hAnsi="Segoe UI" w:cs="Segoe UI"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&lt;Backend App URL&gt;</w:t>
      </w:r>
    </w:p>
    <w:p w:rsidR="000C7FCC" w:rsidRDefault="000C7FCC" w:rsidP="000C7FCC">
      <w:pPr>
        <w:pStyle w:val="StkBODYTEXT"/>
        <w:ind w:left="992"/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465469B1" wp14:editId="2F677FF9">
            <wp:extent cx="5891660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544" cy="39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A4" w:rsidRDefault="006E32A4" w:rsidP="006E32A4">
      <w:pPr>
        <w:pStyle w:val="StkSUBNUMBERING"/>
        <w:numPr>
          <w:ilvl w:val="0"/>
          <w:numId w:val="0"/>
        </w:numPr>
        <w:ind w:left="1440"/>
        <w:rPr>
          <w:b/>
          <w:lang w:val="pt-BR"/>
        </w:rPr>
      </w:pPr>
    </w:p>
    <w:p w:rsidR="000C7FCC" w:rsidRDefault="000C7FCC" w:rsidP="006E178E">
      <w:pPr>
        <w:pStyle w:val="StkSUBNUMBERING"/>
        <w:numPr>
          <w:ilvl w:val="0"/>
          <w:numId w:val="0"/>
        </w:numPr>
        <w:ind w:left="992" w:hanging="510"/>
        <w:rPr>
          <w:b/>
          <w:lang w:val="pt-BR"/>
        </w:rPr>
      </w:pPr>
      <w:r>
        <w:rPr>
          <w:b/>
          <w:lang w:val="pt-BR"/>
        </w:rPr>
        <w:t>Push to the cloud</w:t>
      </w:r>
    </w:p>
    <w:p w:rsidR="000C7FCC" w:rsidRPr="006E178E" w:rsidRDefault="006E32A4" w:rsidP="006E178E">
      <w:pPr>
        <w:pStyle w:val="StkSUBNUMBERING"/>
        <w:numPr>
          <w:ilvl w:val="0"/>
          <w:numId w:val="6"/>
        </w:numPr>
        <w:rPr>
          <w:b/>
          <w:lang w:val="pt-BR"/>
        </w:rPr>
      </w:pPr>
      <w:r w:rsidRPr="006E178E">
        <w:rPr>
          <w:b/>
          <w:lang w:val="pt-BR"/>
        </w:rPr>
        <w:t xml:space="preserve">RUN the Command &lt; </w:t>
      </w:r>
      <w:r w:rsidR="000C7FCC" w:rsidRPr="006E178E">
        <w:rPr>
          <w:b/>
          <w:lang w:val="pt-BR"/>
        </w:rPr>
        <w:t>cf push</w:t>
      </w:r>
      <w:r w:rsidRPr="006E178E">
        <w:rPr>
          <w:b/>
          <w:lang w:val="pt-BR"/>
        </w:rPr>
        <w:t xml:space="preserve"> &gt;</w:t>
      </w:r>
    </w:p>
    <w:p w:rsidR="000C7FCC" w:rsidRDefault="000C7FCC" w:rsidP="000C7FCC">
      <w:pPr>
        <w:pStyle w:val="StkNUMBERING"/>
        <w:numPr>
          <w:ilvl w:val="0"/>
          <w:numId w:val="0"/>
        </w:numPr>
        <w:ind w:left="992"/>
      </w:pPr>
    </w:p>
    <w:p w:rsidR="000C7FCC" w:rsidRDefault="000C7FCC" w:rsidP="006E178E">
      <w:pPr>
        <w:pStyle w:val="StkSUBNUMBERING"/>
        <w:numPr>
          <w:ilvl w:val="0"/>
          <w:numId w:val="6"/>
        </w:numPr>
        <w:rPr>
          <w:b/>
          <w:lang w:val="pt-BR"/>
        </w:rPr>
      </w:pPr>
      <w:r w:rsidRPr="00434093">
        <w:rPr>
          <w:b/>
          <w:lang w:val="pt-BR"/>
        </w:rPr>
        <w:t xml:space="preserve">Access the cloud deployment of your Starter application </w:t>
      </w:r>
    </w:p>
    <w:p w:rsidR="000C7FCC" w:rsidRDefault="000C7FCC" w:rsidP="000C7FCC">
      <w:pPr>
        <w:pStyle w:val="StkSUBNUMBERING"/>
        <w:numPr>
          <w:ilvl w:val="0"/>
          <w:numId w:val="0"/>
        </w:numPr>
        <w:ind w:left="992"/>
        <w:rPr>
          <w:color w:val="000000" w:themeColor="text1"/>
          <w:szCs w:val="20"/>
          <w:lang w:val="pt-BR"/>
        </w:rPr>
      </w:pPr>
      <w:r w:rsidRPr="002F5966">
        <w:rPr>
          <w:color w:val="000000" w:themeColor="text1"/>
          <w:szCs w:val="20"/>
          <w:lang w:val="pt-BR"/>
        </w:rPr>
        <w:t>The output of the cf push command includes the URL to which your application was deployed. Below is an example:</w:t>
      </w:r>
    </w:p>
    <w:p w:rsidR="000C7FCC" w:rsidRPr="007E4AAF" w:rsidRDefault="000C7FCC" w:rsidP="000C7FCC">
      <w:pPr>
        <w:pStyle w:val="StkSUBNUMBERING"/>
        <w:numPr>
          <w:ilvl w:val="0"/>
          <w:numId w:val="0"/>
        </w:numPr>
        <w:ind w:left="992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30A530AD" wp14:editId="4C491FAF">
            <wp:extent cx="5853593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573" cy="22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C" w:rsidRDefault="000C7FCC" w:rsidP="000C7FCC">
      <w:pPr>
        <w:pStyle w:val="StkBODYTEXT"/>
        <w:rPr>
          <w:lang w:val="en-US"/>
        </w:rPr>
      </w:pPr>
    </w:p>
    <w:p w:rsidR="000C7FCC" w:rsidRDefault="000C7FCC" w:rsidP="000C7FCC"/>
    <w:p w:rsidR="000C7FCC" w:rsidRDefault="000C7FCC" w:rsidP="000C7FCC">
      <w:pPr>
        <w:pStyle w:val="StkSUBNUMBERING"/>
        <w:numPr>
          <w:ilvl w:val="0"/>
          <w:numId w:val="0"/>
        </w:numPr>
        <w:ind w:left="360"/>
        <w:rPr>
          <w:b/>
        </w:rPr>
      </w:pPr>
    </w:p>
    <w:p w:rsidR="00013A10" w:rsidRDefault="00013A10" w:rsidP="006E178E">
      <w:pPr>
        <w:pStyle w:val="StkNUMBERING"/>
        <w:numPr>
          <w:ilvl w:val="0"/>
          <w:numId w:val="4"/>
        </w:numPr>
      </w:pPr>
      <w:bookmarkStart w:id="0" w:name="_GoBack"/>
      <w:bookmarkEnd w:id="0"/>
      <w:r w:rsidRPr="002F5966">
        <w:t xml:space="preserve">Running </w:t>
      </w:r>
      <w:proofErr w:type="spellStart"/>
      <w:r w:rsidRPr="002F5966">
        <w:t>the</w:t>
      </w:r>
      <w:proofErr w:type="spellEnd"/>
      <w:r w:rsidRPr="002F5966">
        <w:t xml:space="preserve"> app </w:t>
      </w:r>
      <w:proofErr w:type="spellStart"/>
      <w:r w:rsidRPr="002F5966">
        <w:t>locally</w:t>
      </w:r>
      <w:proofErr w:type="spellEnd"/>
    </w:p>
    <w:p w:rsidR="00013A10" w:rsidRDefault="00013A10" w:rsidP="00013A10">
      <w:pPr>
        <w:pStyle w:val="StkNUMBERING"/>
        <w:numPr>
          <w:ilvl w:val="0"/>
          <w:numId w:val="0"/>
        </w:numPr>
        <w:ind w:left="360"/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pt-BR"/>
        </w:rPr>
      </w:pPr>
      <w:r w:rsidRPr="002F5966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pt-BR"/>
        </w:rPr>
        <w:t>The default gulp task will start a local web server. Just run this command:</w:t>
      </w:r>
    </w:p>
    <w:p w:rsidR="00013A10" w:rsidRDefault="00013A10" w:rsidP="00013A10">
      <w:pPr>
        <w:pStyle w:val="StkNUMBERING"/>
        <w:numPr>
          <w:ilvl w:val="0"/>
          <w:numId w:val="0"/>
        </w:numPr>
        <w:ind w:left="360" w:firstLine="208"/>
        <w:rPr>
          <w:rFonts w:ascii="Consolas" w:hAnsi="Consolas" w:cs="Consolas"/>
          <w:b w:val="0"/>
          <w:bCs w:val="0"/>
          <w:iCs w:val="0"/>
          <w:color w:val="0070C0"/>
          <w:sz w:val="20"/>
          <w:szCs w:val="20"/>
          <w:lang w:val="pt-BR"/>
        </w:rPr>
      </w:pPr>
      <w:r w:rsidRPr="002F5966">
        <w:rPr>
          <w:rFonts w:ascii="Consolas" w:hAnsi="Consolas" w:cs="Consolas"/>
          <w:b w:val="0"/>
          <w:bCs w:val="0"/>
          <w:iCs w:val="0"/>
          <w:color w:val="0070C0"/>
          <w:sz w:val="20"/>
          <w:szCs w:val="20"/>
          <w:lang w:val="pt-BR"/>
        </w:rPr>
        <w:t>gulp</w:t>
      </w:r>
    </w:p>
    <w:p w:rsidR="00013A10" w:rsidRDefault="00013A10" w:rsidP="00013A10">
      <w:pPr>
        <w:pStyle w:val="StkNUMBERING"/>
        <w:numPr>
          <w:ilvl w:val="0"/>
          <w:numId w:val="0"/>
        </w:numPr>
        <w:ind w:left="360" w:hanging="360"/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pt-BR"/>
        </w:rPr>
      </w:pPr>
      <w:r>
        <w:rPr>
          <w:rFonts w:ascii="Consolas" w:hAnsi="Consolas" w:cs="Consolas"/>
          <w:b w:val="0"/>
          <w:bCs w:val="0"/>
          <w:iCs w:val="0"/>
          <w:color w:val="000000" w:themeColor="text1"/>
          <w:sz w:val="20"/>
          <w:szCs w:val="20"/>
          <w:lang w:val="pt-BR"/>
        </w:rPr>
        <w:tab/>
      </w:r>
      <w:r w:rsidRPr="002F5966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pt-BR"/>
        </w:rPr>
        <w:t>Browse to </w:t>
      </w:r>
      <w:hyperlink r:id="rId10" w:history="1">
        <w:r w:rsidRPr="002F5966">
          <w:rPr>
            <w:rFonts w:cs="Times New Roman"/>
            <w:b w:val="0"/>
            <w:bCs w:val="0"/>
            <w:iCs w:val="0"/>
            <w:color w:val="000000" w:themeColor="text1"/>
            <w:sz w:val="20"/>
            <w:szCs w:val="20"/>
            <w:lang w:val="pt-BR"/>
          </w:rPr>
          <w:t>http://localhost:5000</w:t>
        </w:r>
      </w:hyperlink>
      <w:r w:rsidRPr="002F5966">
        <w:rPr>
          <w:rFonts w:cs="Times New Roman"/>
          <w:b w:val="0"/>
          <w:bCs w:val="0"/>
          <w:iCs w:val="0"/>
          <w:color w:val="000000" w:themeColor="text1"/>
          <w:sz w:val="20"/>
          <w:szCs w:val="20"/>
          <w:lang w:val="pt-BR"/>
        </w:rPr>
        <w:t>. Initially, the app will use mock data for the views service, asset service, and time series service. Later you can connect your app to real instances of these services.</w:t>
      </w:r>
    </w:p>
    <w:sectPr w:rsidR="0001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D4"/>
    <w:multiLevelType w:val="hybridMultilevel"/>
    <w:tmpl w:val="F88CAE5A"/>
    <w:lvl w:ilvl="0" w:tplc="C0E0E1B2">
      <w:start w:val="1"/>
      <w:numFmt w:val="lowerLetter"/>
      <w:lvlText w:val="%1."/>
      <w:lvlJc w:val="left"/>
      <w:pPr>
        <w:ind w:left="13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DCC4EBB"/>
    <w:multiLevelType w:val="hybridMultilevel"/>
    <w:tmpl w:val="CE8A1170"/>
    <w:lvl w:ilvl="0" w:tplc="7D50F01A">
      <w:start w:val="1"/>
      <w:numFmt w:val="bullet"/>
      <w:pStyle w:val="Stk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564B"/>
    <w:multiLevelType w:val="hybridMultilevel"/>
    <w:tmpl w:val="1BA4C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76E0"/>
    <w:multiLevelType w:val="hybridMultilevel"/>
    <w:tmpl w:val="290863E8"/>
    <w:lvl w:ilvl="0" w:tplc="AD88BD9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6BF27F57"/>
    <w:multiLevelType w:val="hybridMultilevel"/>
    <w:tmpl w:val="FBEE6326"/>
    <w:lvl w:ilvl="0" w:tplc="3CC8406C">
      <w:start w:val="4"/>
      <w:numFmt w:val="bullet"/>
      <w:lvlText w:val="-"/>
      <w:lvlJc w:val="left"/>
      <w:pPr>
        <w:ind w:left="14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7576789C"/>
    <w:multiLevelType w:val="multilevel"/>
    <w:tmpl w:val="D238351A"/>
    <w:lvl w:ilvl="0">
      <w:start w:val="1"/>
      <w:numFmt w:val="decimal"/>
      <w:pStyle w:val="StkNUMBERING"/>
      <w:lvlText w:val="%1."/>
      <w:lvlJc w:val="left"/>
      <w:pPr>
        <w:ind w:left="360" w:hanging="360"/>
      </w:pPr>
      <w:rPr>
        <w:rFonts w:hint="default"/>
        <w:b/>
        <w:i w:val="0"/>
        <w:spacing w:val="0"/>
        <w:position w:val="0"/>
        <w:sz w:val="24"/>
      </w:rPr>
    </w:lvl>
    <w:lvl w:ilvl="1">
      <w:start w:val="1"/>
      <w:numFmt w:val="decimal"/>
      <w:pStyle w:val="StkSUBNUMBERING"/>
      <w:isLgl/>
      <w:lvlText w:val="%1.%2."/>
      <w:lvlJc w:val="left"/>
      <w:pPr>
        <w:tabs>
          <w:tab w:val="num" w:pos="992"/>
        </w:tabs>
        <w:ind w:left="992" w:hanging="510"/>
      </w:pPr>
      <w:rPr>
        <w:rFonts w:ascii="Arial" w:hAnsi="Arial" w:hint="default"/>
        <w:b/>
        <w:i w:val="0"/>
        <w:sz w:val="20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2552" w:hanging="851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3572" w:hanging="102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820"/>
        </w:tabs>
        <w:ind w:left="4820" w:hanging="1248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5812"/>
        </w:tabs>
        <w:ind w:left="5812" w:hanging="142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6662" w:hanging="141"/>
      </w:pPr>
      <w:rPr>
        <w:rFonts w:ascii="Arial" w:hAnsi="Arial" w:hint="default"/>
        <w:b/>
        <w:i w:val="0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10"/>
    <w:rsid w:val="000034EB"/>
    <w:rsid w:val="00013A10"/>
    <w:rsid w:val="00015142"/>
    <w:rsid w:val="00016F1D"/>
    <w:rsid w:val="000202F6"/>
    <w:rsid w:val="00032702"/>
    <w:rsid w:val="000349BF"/>
    <w:rsid w:val="000375A7"/>
    <w:rsid w:val="00056DF4"/>
    <w:rsid w:val="00060FA9"/>
    <w:rsid w:val="000619FC"/>
    <w:rsid w:val="000622C4"/>
    <w:rsid w:val="00063826"/>
    <w:rsid w:val="00070822"/>
    <w:rsid w:val="00080973"/>
    <w:rsid w:val="00086EA4"/>
    <w:rsid w:val="000A14E4"/>
    <w:rsid w:val="000A7A57"/>
    <w:rsid w:val="000B0BA1"/>
    <w:rsid w:val="000C6C50"/>
    <w:rsid w:val="000C7FCC"/>
    <w:rsid w:val="000E3909"/>
    <w:rsid w:val="000E5744"/>
    <w:rsid w:val="000E7FAF"/>
    <w:rsid w:val="00104074"/>
    <w:rsid w:val="001057B6"/>
    <w:rsid w:val="001175CF"/>
    <w:rsid w:val="00133476"/>
    <w:rsid w:val="001345E1"/>
    <w:rsid w:val="00146057"/>
    <w:rsid w:val="00165C1C"/>
    <w:rsid w:val="001733DD"/>
    <w:rsid w:val="001754E1"/>
    <w:rsid w:val="00176033"/>
    <w:rsid w:val="0018380A"/>
    <w:rsid w:val="00197BC7"/>
    <w:rsid w:val="001A1E3C"/>
    <w:rsid w:val="001A43F4"/>
    <w:rsid w:val="001B7790"/>
    <w:rsid w:val="001B7C9F"/>
    <w:rsid w:val="001C56BB"/>
    <w:rsid w:val="001D13C3"/>
    <w:rsid w:val="001D3AF6"/>
    <w:rsid w:val="001D5216"/>
    <w:rsid w:val="001E637C"/>
    <w:rsid w:val="001E6AA8"/>
    <w:rsid w:val="00201B56"/>
    <w:rsid w:val="00202EBF"/>
    <w:rsid w:val="00207777"/>
    <w:rsid w:val="0021371F"/>
    <w:rsid w:val="00221858"/>
    <w:rsid w:val="002310F0"/>
    <w:rsid w:val="00234E81"/>
    <w:rsid w:val="002400A7"/>
    <w:rsid w:val="00261BAA"/>
    <w:rsid w:val="00267F5C"/>
    <w:rsid w:val="00267FD1"/>
    <w:rsid w:val="00275EE3"/>
    <w:rsid w:val="00277DC7"/>
    <w:rsid w:val="00281D3D"/>
    <w:rsid w:val="002847AB"/>
    <w:rsid w:val="002932AD"/>
    <w:rsid w:val="002A439B"/>
    <w:rsid w:val="002A5A8B"/>
    <w:rsid w:val="002B2E10"/>
    <w:rsid w:val="002B698E"/>
    <w:rsid w:val="002D417A"/>
    <w:rsid w:val="002E3FA5"/>
    <w:rsid w:val="00302E80"/>
    <w:rsid w:val="00320E0F"/>
    <w:rsid w:val="00320EA7"/>
    <w:rsid w:val="00323C23"/>
    <w:rsid w:val="00350593"/>
    <w:rsid w:val="00360751"/>
    <w:rsid w:val="003720AA"/>
    <w:rsid w:val="0037522F"/>
    <w:rsid w:val="003839AB"/>
    <w:rsid w:val="003864A1"/>
    <w:rsid w:val="003C19D3"/>
    <w:rsid w:val="003C4DB5"/>
    <w:rsid w:val="003D01B5"/>
    <w:rsid w:val="003D0CEF"/>
    <w:rsid w:val="003E154C"/>
    <w:rsid w:val="003E4404"/>
    <w:rsid w:val="003E7300"/>
    <w:rsid w:val="003F63F9"/>
    <w:rsid w:val="00404ACA"/>
    <w:rsid w:val="00405FDD"/>
    <w:rsid w:val="00417B9D"/>
    <w:rsid w:val="00426A66"/>
    <w:rsid w:val="00435531"/>
    <w:rsid w:val="00463B87"/>
    <w:rsid w:val="004704B3"/>
    <w:rsid w:val="00473616"/>
    <w:rsid w:val="00481955"/>
    <w:rsid w:val="004A4F20"/>
    <w:rsid w:val="004A680C"/>
    <w:rsid w:val="004B0708"/>
    <w:rsid w:val="004C0FFC"/>
    <w:rsid w:val="004C53B9"/>
    <w:rsid w:val="004D3209"/>
    <w:rsid w:val="004D58D2"/>
    <w:rsid w:val="004E7271"/>
    <w:rsid w:val="004F72B5"/>
    <w:rsid w:val="0050478E"/>
    <w:rsid w:val="00504DF7"/>
    <w:rsid w:val="00512C9C"/>
    <w:rsid w:val="005230FD"/>
    <w:rsid w:val="00544A79"/>
    <w:rsid w:val="00553ADB"/>
    <w:rsid w:val="00560185"/>
    <w:rsid w:val="00561FAB"/>
    <w:rsid w:val="0057051F"/>
    <w:rsid w:val="00572FF9"/>
    <w:rsid w:val="00577F07"/>
    <w:rsid w:val="0059003F"/>
    <w:rsid w:val="00595198"/>
    <w:rsid w:val="005A5565"/>
    <w:rsid w:val="005B7E82"/>
    <w:rsid w:val="005C5B3D"/>
    <w:rsid w:val="005D5B27"/>
    <w:rsid w:val="005D7307"/>
    <w:rsid w:val="005E0C25"/>
    <w:rsid w:val="005E7AC6"/>
    <w:rsid w:val="006027BA"/>
    <w:rsid w:val="00603018"/>
    <w:rsid w:val="00603EB6"/>
    <w:rsid w:val="0062130C"/>
    <w:rsid w:val="00623C0A"/>
    <w:rsid w:val="0063737B"/>
    <w:rsid w:val="006376AB"/>
    <w:rsid w:val="00661D79"/>
    <w:rsid w:val="0066485B"/>
    <w:rsid w:val="0066648F"/>
    <w:rsid w:val="00673C71"/>
    <w:rsid w:val="006B594D"/>
    <w:rsid w:val="006C4B38"/>
    <w:rsid w:val="006C5CE3"/>
    <w:rsid w:val="006E178E"/>
    <w:rsid w:val="006E32A4"/>
    <w:rsid w:val="007002AE"/>
    <w:rsid w:val="00700F4A"/>
    <w:rsid w:val="00701432"/>
    <w:rsid w:val="007014CD"/>
    <w:rsid w:val="00712532"/>
    <w:rsid w:val="00721CEB"/>
    <w:rsid w:val="007277D9"/>
    <w:rsid w:val="00734E31"/>
    <w:rsid w:val="00737B58"/>
    <w:rsid w:val="0074287F"/>
    <w:rsid w:val="00743FA7"/>
    <w:rsid w:val="007461BE"/>
    <w:rsid w:val="007500DD"/>
    <w:rsid w:val="00755DCF"/>
    <w:rsid w:val="007573C5"/>
    <w:rsid w:val="0075754C"/>
    <w:rsid w:val="0077540A"/>
    <w:rsid w:val="00775C7A"/>
    <w:rsid w:val="0078053E"/>
    <w:rsid w:val="00790038"/>
    <w:rsid w:val="00797355"/>
    <w:rsid w:val="007A735C"/>
    <w:rsid w:val="007B0020"/>
    <w:rsid w:val="007B36EB"/>
    <w:rsid w:val="007C4C42"/>
    <w:rsid w:val="007D2972"/>
    <w:rsid w:val="007F1494"/>
    <w:rsid w:val="007F2F58"/>
    <w:rsid w:val="0080670B"/>
    <w:rsid w:val="008117FA"/>
    <w:rsid w:val="00812204"/>
    <w:rsid w:val="008152D2"/>
    <w:rsid w:val="00817A7A"/>
    <w:rsid w:val="0082017E"/>
    <w:rsid w:val="00826790"/>
    <w:rsid w:val="0083206C"/>
    <w:rsid w:val="008355D0"/>
    <w:rsid w:val="00837AED"/>
    <w:rsid w:val="008530DB"/>
    <w:rsid w:val="008568E1"/>
    <w:rsid w:val="00857536"/>
    <w:rsid w:val="0086020D"/>
    <w:rsid w:val="00865451"/>
    <w:rsid w:val="00866E9D"/>
    <w:rsid w:val="00880252"/>
    <w:rsid w:val="00886211"/>
    <w:rsid w:val="00894ECD"/>
    <w:rsid w:val="00895A4E"/>
    <w:rsid w:val="008967CC"/>
    <w:rsid w:val="008B050B"/>
    <w:rsid w:val="008B127F"/>
    <w:rsid w:val="008B179B"/>
    <w:rsid w:val="008C67BB"/>
    <w:rsid w:val="008D6C34"/>
    <w:rsid w:val="008D7010"/>
    <w:rsid w:val="008F0D95"/>
    <w:rsid w:val="008F4CC1"/>
    <w:rsid w:val="00900A8F"/>
    <w:rsid w:val="009023D0"/>
    <w:rsid w:val="00911911"/>
    <w:rsid w:val="009213BC"/>
    <w:rsid w:val="009274F7"/>
    <w:rsid w:val="00930BD0"/>
    <w:rsid w:val="009458A6"/>
    <w:rsid w:val="00947AFB"/>
    <w:rsid w:val="009709D2"/>
    <w:rsid w:val="00987DF2"/>
    <w:rsid w:val="00992A4E"/>
    <w:rsid w:val="00994123"/>
    <w:rsid w:val="009B0697"/>
    <w:rsid w:val="009C5C19"/>
    <w:rsid w:val="009E5378"/>
    <w:rsid w:val="009E7A7E"/>
    <w:rsid w:val="009F678A"/>
    <w:rsid w:val="00A03106"/>
    <w:rsid w:val="00A07017"/>
    <w:rsid w:val="00A1308F"/>
    <w:rsid w:val="00A15098"/>
    <w:rsid w:val="00A205B8"/>
    <w:rsid w:val="00A22703"/>
    <w:rsid w:val="00A6048C"/>
    <w:rsid w:val="00A730DF"/>
    <w:rsid w:val="00A86F59"/>
    <w:rsid w:val="00A931A7"/>
    <w:rsid w:val="00A96DAB"/>
    <w:rsid w:val="00AA08B4"/>
    <w:rsid w:val="00AA27DF"/>
    <w:rsid w:val="00AD1C19"/>
    <w:rsid w:val="00AD412C"/>
    <w:rsid w:val="00AE493C"/>
    <w:rsid w:val="00AE5CE0"/>
    <w:rsid w:val="00AE5F72"/>
    <w:rsid w:val="00AE62D8"/>
    <w:rsid w:val="00B0056C"/>
    <w:rsid w:val="00B05C98"/>
    <w:rsid w:val="00B17128"/>
    <w:rsid w:val="00B20843"/>
    <w:rsid w:val="00B31367"/>
    <w:rsid w:val="00B313CD"/>
    <w:rsid w:val="00B37379"/>
    <w:rsid w:val="00B53EA3"/>
    <w:rsid w:val="00B901A3"/>
    <w:rsid w:val="00B924B2"/>
    <w:rsid w:val="00B928AD"/>
    <w:rsid w:val="00BB55D8"/>
    <w:rsid w:val="00BC36C3"/>
    <w:rsid w:val="00BD4E47"/>
    <w:rsid w:val="00BD5926"/>
    <w:rsid w:val="00BE56F7"/>
    <w:rsid w:val="00BF639A"/>
    <w:rsid w:val="00C0078A"/>
    <w:rsid w:val="00C359AF"/>
    <w:rsid w:val="00C53B44"/>
    <w:rsid w:val="00C63138"/>
    <w:rsid w:val="00C72046"/>
    <w:rsid w:val="00C775F9"/>
    <w:rsid w:val="00C77718"/>
    <w:rsid w:val="00C904E2"/>
    <w:rsid w:val="00CA6FBB"/>
    <w:rsid w:val="00CC7D10"/>
    <w:rsid w:val="00CD68D8"/>
    <w:rsid w:val="00D01C4E"/>
    <w:rsid w:val="00D02622"/>
    <w:rsid w:val="00D07DEA"/>
    <w:rsid w:val="00D10396"/>
    <w:rsid w:val="00D12202"/>
    <w:rsid w:val="00D13780"/>
    <w:rsid w:val="00D1436A"/>
    <w:rsid w:val="00D15320"/>
    <w:rsid w:val="00D16B7F"/>
    <w:rsid w:val="00D2154C"/>
    <w:rsid w:val="00D37660"/>
    <w:rsid w:val="00D57239"/>
    <w:rsid w:val="00D61E50"/>
    <w:rsid w:val="00D7059E"/>
    <w:rsid w:val="00D70C1F"/>
    <w:rsid w:val="00D71AE7"/>
    <w:rsid w:val="00D7219D"/>
    <w:rsid w:val="00D72DEA"/>
    <w:rsid w:val="00D93B98"/>
    <w:rsid w:val="00DA0F82"/>
    <w:rsid w:val="00DA6D41"/>
    <w:rsid w:val="00DD2235"/>
    <w:rsid w:val="00DD3842"/>
    <w:rsid w:val="00DD44C9"/>
    <w:rsid w:val="00E02834"/>
    <w:rsid w:val="00E2291B"/>
    <w:rsid w:val="00E3489C"/>
    <w:rsid w:val="00E34F96"/>
    <w:rsid w:val="00E364FD"/>
    <w:rsid w:val="00E50486"/>
    <w:rsid w:val="00E70A88"/>
    <w:rsid w:val="00E74BF0"/>
    <w:rsid w:val="00E76F32"/>
    <w:rsid w:val="00E777BC"/>
    <w:rsid w:val="00EA25E3"/>
    <w:rsid w:val="00EA3170"/>
    <w:rsid w:val="00EA5B35"/>
    <w:rsid w:val="00EB5585"/>
    <w:rsid w:val="00EC11A8"/>
    <w:rsid w:val="00EC2CB2"/>
    <w:rsid w:val="00EC499A"/>
    <w:rsid w:val="00EC7045"/>
    <w:rsid w:val="00EC719D"/>
    <w:rsid w:val="00ED3BCB"/>
    <w:rsid w:val="00ED6940"/>
    <w:rsid w:val="00F11C50"/>
    <w:rsid w:val="00F14B41"/>
    <w:rsid w:val="00F16EA7"/>
    <w:rsid w:val="00F26B23"/>
    <w:rsid w:val="00F27FFA"/>
    <w:rsid w:val="00F3323D"/>
    <w:rsid w:val="00F65BAE"/>
    <w:rsid w:val="00F65E07"/>
    <w:rsid w:val="00F81381"/>
    <w:rsid w:val="00F91A0E"/>
    <w:rsid w:val="00F93D2C"/>
    <w:rsid w:val="00F96F10"/>
    <w:rsid w:val="00FA4D38"/>
    <w:rsid w:val="00FA7918"/>
    <w:rsid w:val="00FB04AA"/>
    <w:rsid w:val="00FB2D74"/>
    <w:rsid w:val="00FC2248"/>
    <w:rsid w:val="00FC281C"/>
    <w:rsid w:val="00FC3FF8"/>
    <w:rsid w:val="00FD1B4F"/>
    <w:rsid w:val="00FD63AE"/>
    <w:rsid w:val="00FE2EEC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81A2"/>
  <w15:chartTrackingRefBased/>
  <w15:docId w15:val="{FB130F56-F1FE-4A70-90DC-584C944D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3A10"/>
    <w:pPr>
      <w:spacing w:before="200" w:line="240" w:lineRule="auto"/>
      <w:ind w:left="454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kBODYTEXT">
    <w:name w:val="Stk BODY TEXT"/>
    <w:link w:val="StkBODYTEXTCharChar"/>
    <w:qFormat/>
    <w:rsid w:val="00013A10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  <w:lang w:val="es-MX"/>
    </w:rPr>
  </w:style>
  <w:style w:type="character" w:customStyle="1" w:styleId="StkBODYTEXTCharChar">
    <w:name w:val="Stk BODY TEXT Char Char"/>
    <w:basedOn w:val="DefaultParagraphFont"/>
    <w:link w:val="StkBODYTEXT"/>
    <w:rsid w:val="00013A10"/>
    <w:rPr>
      <w:rFonts w:ascii="Arial" w:eastAsia="Times New Roman" w:hAnsi="Arial" w:cs="Times New Roman"/>
      <w:color w:val="000000" w:themeColor="text1"/>
      <w:sz w:val="20"/>
      <w:szCs w:val="20"/>
      <w:lang w:val="es-MX"/>
    </w:rPr>
  </w:style>
  <w:style w:type="paragraph" w:customStyle="1" w:styleId="StkNUMBERING">
    <w:name w:val="Stk NUMBERING"/>
    <w:basedOn w:val="Heading2"/>
    <w:autoRedefine/>
    <w:rsid w:val="00013A10"/>
    <w:pPr>
      <w:keepLines w:val="0"/>
      <w:numPr>
        <w:numId w:val="1"/>
      </w:numPr>
      <w:tabs>
        <w:tab w:val="num" w:pos="360"/>
      </w:tabs>
      <w:spacing w:before="120"/>
      <w:ind w:left="454" w:firstLine="0"/>
    </w:pPr>
    <w:rPr>
      <w:rFonts w:ascii="Arial" w:eastAsia="Times New Roman" w:hAnsi="Arial" w:cs="Arial"/>
      <w:b/>
      <w:bCs/>
      <w:iCs/>
      <w:color w:val="auto"/>
      <w:sz w:val="24"/>
      <w:szCs w:val="24"/>
      <w:lang w:val="es-MX"/>
    </w:rPr>
  </w:style>
  <w:style w:type="paragraph" w:customStyle="1" w:styleId="StkSUBNUMBERING">
    <w:name w:val="Stk SUBNUMBERING"/>
    <w:rsid w:val="00013A10"/>
    <w:pPr>
      <w:numPr>
        <w:ilvl w:val="1"/>
        <w:numId w:val="1"/>
      </w:numPr>
      <w:spacing w:before="120"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StkBULLETS1">
    <w:name w:val="Stk BULLETS 1"/>
    <w:autoRedefine/>
    <w:qFormat/>
    <w:rsid w:val="00013A10"/>
    <w:pPr>
      <w:numPr>
        <w:numId w:val="2"/>
      </w:numPr>
      <w:tabs>
        <w:tab w:val="left" w:pos="850"/>
        <w:tab w:val="left" w:pos="1411"/>
      </w:tabs>
      <w:autoSpaceDE w:val="0"/>
      <w:autoSpaceDN w:val="0"/>
      <w:adjustRightInd w:val="0"/>
      <w:spacing w:after="0" w:line="240" w:lineRule="auto"/>
      <w:ind w:left="922"/>
    </w:pPr>
    <w:rPr>
      <w:rFonts w:ascii="Arial" w:eastAsiaTheme="minorEastAsia" w:hAnsi="Arial" w:cs="Symbol"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A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Patrick (GE Digital)</dc:creator>
  <cp:keywords/>
  <dc:description/>
  <cp:lastModifiedBy>Bean, Patrick (GE Digital)</cp:lastModifiedBy>
  <cp:revision>3</cp:revision>
  <dcterms:created xsi:type="dcterms:W3CDTF">2017-07-14T00:21:00Z</dcterms:created>
  <dcterms:modified xsi:type="dcterms:W3CDTF">2017-07-14T00:25:00Z</dcterms:modified>
</cp:coreProperties>
</file>