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Trajetória operacional e histórico de treinamento na estimação de emissões horárias de CO₂ em uma unidade termelétrica a carvão</w:t>
      </w:r>
    </w:p>
    <w:p>
      <w:pPr>
        <w:keepNext/>
        <w:spacing w:after="60"/>
        <w:jc w:val="center"/>
      </w:pPr>
      <w:r>
        <w:t>Guilherme Pereira Rodrigues da Costa · Felipe Calmon · Thiago Menezes</w:t>
      </w:r>
    </w:p>
    <w:p>
      <w:pPr>
        <w:keepNext/>
        <w:spacing w:after="240"/>
        <w:jc w:val="center"/>
      </w:pPr>
      <w:r>
        <w:rPr>
          <w:sz w:val="21"/>
        </w:rPr>
        <w:t>Pontifícia Universidade Católica do Rio de Janeiro (PUC-Rio)</w:t>
      </w:r>
    </w:p>
    <w:p>
      <w:pPr>
        <w:pStyle w:val="Heading1"/>
      </w:pPr>
      <w:r>
        <w:t>Resumo</w:t>
      </w:r>
    </w:p>
    <w:p>
      <w:pPr/>
      <w:r>
        <w:t>Este estudo investiga a contribuição da trajetória operacional e da abrangência histórica do treinamento para estimar a massa horária de CO₂ da unidade 2 da usina Iatan, nos Estados Unidos. Para tanto, dados públicos da Environmental Protection Agency foram utilizados na comparação de três conjuntos de atributos, redes neurais multicamadas e XGBoost, com validação cronológica, busca de hiperparâmetros e diferentes janelas históricas. O acréscimo dos registros de 2011 a 2022 ao treinamento de janeiro a outubro de 2025 associou-se à redução de 13,28% do erro absoluto médio. Na comparação final com histórico ampliado, a inclusão da trajetória não melhorou o resultado global, embora tenha reduzido essa métrica em 22,90% nas 258 horas de rampas intensas. O benefício observado dependeu, portanto, do contexto operacional. Em comparação complementar com cinco sementes e amostras comuns, o XGBoost apresentou menor MAE que a MLP nas dez comparações pareadas entre famílias. Esses resultados descritivos se restringem ao estudo retrospectivo de uma unidade, com teste final em novembro e dezembro de 2025, período consultado em diferentes etapas do desenvolvimento.</w:t>
      </w:r>
    </w:p>
    <w:p>
      <w:r>
        <w:t>Palavras-chave: emissões de CO₂; termelétricas a carvão; XGBoost; trajetória operacional; validação temporal; dados CEMS.</w:t>
      </w:r>
    </w:p>
    <w:p>
      <w:pPr>
        <w:pStyle w:val="Heading1"/>
      </w:pPr>
      <w:r>
        <w:t>Abstract</w:t>
      </w:r>
    </w:p>
    <w:p>
      <w:pPr/>
      <w:r>
        <w:t>This study investigates how operational trajectory and the historical coverage of training data contribute to estimates of hourly CO₂ mass from Iatan Unit 2 in the United States. Public Environmental Protection Agency records were used to compare three feature sets, multilayer perceptrons and XGBoost, with chronological validation, hyperparameter search and historical training windows. Adding records from 2011 to 2022 to training data from January to October 2025 was associated with a 13.28% reduction in mean absolute error. In the final comparison with expanded historical data, including trajectory did not improve overall performance, although it reduced this metric by 22.90% during 258 intense ramp hours. Its observed benefit therefore depended on operating context. In a complementary comparison with five seeds and shared samples, XGBoost had lower MAE than the MLP in all ten paired comparisons between families. These descriptive findings are limited to a retrospective single-unit study, with final evaluation in November and December 2025 and repeated consultation of that period during model development.</w:t>
      </w:r>
    </w:p>
    <w:p>
      <w:r>
        <w:t>Keywords: CO₂ emissions; coal-fired power plants; XGBoost; operational trajectory; temporal validation; CEMS data.</w:t>
      </w:r>
    </w:p>
    <w:p>
      <w:pPr>
        <w:pStyle w:val="Heading1"/>
        <w:pageBreakBefore w:val="0"/>
      </w:pPr>
      <w:r>
        <w:t>1 Introdução</w:t>
      </w:r>
    </w:p>
    <w:p>
      <w:pPr/>
      <w:r>
        <w:t>Em usinas térmicas, a relação entre carga e emissão varia com o regime operacional. Com dados horários de CEMS, Suri, de Chalendar e Azevedo (2025) mostram que menor utilização e maior necessidade de partidas e rampas podem degradar a eficiência e elevar a intensidade de CO₂. Em uma termelétrica a carvão, Wang et al. (2025) identificam geração, tempo de operação e taxa de carga entre os atributos mais relevantes para a predição. Essas evidências motivam testar se a trajetória recente acrescenta informação à carga atual, sem presumir uma relação causal.</w:t>
      </w:r>
    </w:p>
    <w:p>
      <w:pPr/>
      <w:r>
        <w:t>Essa questão pode ser examinada em escala horária com os dados públicos do Clean Air Markets Program Data (CAMPD), da United States Environmental Protection Agency (EPA) (United States, 2026). Gu, Sward e Zhang (2023) mostraram que informações públicas, incluindo CEMS e bases auxiliares, podem sustentar modelos de XGBoost e redes neurais para estimar taxas de CO₂, NOx e SO₂ de unidades geradoras. A literatura de monitoramento preditivo também destaca a qualidade dos dados e a transferibilidade como condições centrais para o uso de aprendizado de máquina em emissões (Zuo et al., 2024). No presente estudo, a interpretação dos campos horários segue ainda os procedimentos de monitoramento, cálculo e reporte da EPA (United States, 2022).</w:t>
      </w:r>
    </w:p>
    <w:p>
      <w:pPr/>
      <w:r>
        <w:t>A pergunta que orienta esta pesquisa é: em que medida a inclusão de informações sobre estados, memória e trajetória operacional melhora a estimação das emissões horárias de CO₂ em relação ao uso apenas da carga atual? Busca-se avaliar essa contribuição para o desempenho dos modelos, considerando também a abrangência temporal dos dados de treinamento.</w:t>
      </w:r>
    </w:p>
    <w:p>
      <w:pPr/>
      <w:r>
        <w:t>O caso analisado é a unidade 2 da usina Iatan, no Missouri, Estados Unidos. A investigação compara representações com diferentes atributos em redes neurais multicamadas e XGBoost, examina o uso do histórico da própria unidade e confronta os modelos em uma amostra comum. Ao avaliar erros globais e resultados em partidas e rampas, o trabalho relaciona as informações utilizadas aos erros observados, respeitadas as diferenças de seleção e ajuste entre etapas. Essa contribuição permanece restrita à unidade e aos períodos analisados.</w:t>
      </w:r>
    </w:p>
    <w:p>
      <w:pPr>
        <w:pStyle w:val="Heading1"/>
        <w:pageBreakBefore w:val="0"/>
      </w:pPr>
      <w:r>
        <w:t>2 Fundamentação teórica e trabalhos relacionados</w:t>
      </w:r>
    </w:p>
    <w:p>
      <w:pPr/>
      <w:r>
        <w:t>Entre os trabalhos mais próximos deste estudo, Gu, Sward e Zhang (2023) utilizaram somente informações públicas para modelar emissões de unidades térmicas de Nova York, comparando XGBoost, redes neurais e regressão linear em versões com maior e menor disponibilidade de atributos. Em uma usina a carvão, Wang et al. (2025) compararam regressão linear, XGBoost e LSTM após seleção de atributos e identificaram o XGBoost como o modelo de melhor desempenho em seu conjunto de dados. X. Liu et al. (2025b), por sua vez, compararam modelos lineares e não lineares em 365 registros diários de uma unidade de 1.000 MW: na Tabela 1 do estudo, a regressão linear apresentou o menor MAE, enquanto ElasticNet apresentou o maior R². As diferenças de frequência, variáveis e protocolo de avaliação impedem comparar diretamente os erros, mas mostram que a escolha da família de modelo depende da estrutura dos dados disponíveis.</w:t>
      </w:r>
    </w:p>
    <w:p>
      <w:pPr/>
      <w:r>
        <w:t>Em sistemas de monitoramento preditivo, Kaya, Tüfekci e Uzun (2019) propuseram um procedimento de referência com cinco anos de dados de turbina a gás, enquanto Potts, Hackney e Leontidis (2023) compararam XGBoost e um modelo profundo para dados tabulares, examinando também o compromisso entre acrescentar atributos e perder observações por valores ausentes. A revisão de Zuo et al. (2024) chega a uma conclusão convergente: qualidade dos dados, parametrização e transferibilidade condicionam o desempenho de modelos de emissões. Essas evidências reforçam, neste trabalho, a necessidade de preservar a completude das amostras e de interpretar ganhos de desempenho dentro do protocolo em que foram obtidos.</w:t>
      </w:r>
    </w:p>
    <w:p>
      <w:pPr/>
      <w:r>
        <w:t>Si et al. (2019) desenvolveram um PEMS com redes neurais em Keras para NOx em uma unidade de cogeração a gás. A aplicação fornece um precedente para redes alimentadas por variáveis operacionais, mas difere deste estudo quanto a poluente, combustível e particionamento: os autores empregam divisão aleatória e reportam coeficiente de correlação r. Aqui, preserva-se a avaliação cronológica, e r não é interpretado como R² nem seus erros são comparados aos da massa horária de CO₂.</w:t>
      </w:r>
    </w:p>
    <w:p>
      <w:pPr/>
      <w:r>
        <w:t>Entre os métodos aplicáveis a dados tabulares, o gradient boosting combina modelos sequencialmente para construir uma função preditiva (Friedman, 2001). O XGBoost acrescenta regularização e recursos computacionais ao ajuste de conjuntos de árvores (Chen; Guestrin, 2016). Seu uso em estudos de emissões com dados públicos ou operacionais aparece, entre outros, em Gu, Sward e Zhang (2023), Potts, Hackney e Leontidis (2023) e Wang et al. (2025). Neste estudo, a comparação com MLP permite verificar se a mudança de família de modelo altera a resposta obtida para os mesmos tipos de atributos.</w:t>
      </w:r>
    </w:p>
    <w:p>
      <w:pPr/>
      <w:r>
        <w:t>Grinsztajn, Oyallon e Varoquaux (2022) comparam redes e árvores em 45 bases tabulares e examinam também o orçamento de ajuste. Seu benchmark, voltado especialmente a amostras médias, ajuda a discutir a representação dos atributos e a necessidade de documentar a seleção. Ele não estabelece superioridade universal do XGBoost nem identifica o mecanismo responsável pelos resultados da Iatan. Por isso, a comparação entre famílias neste trabalho é interpretada como comparação entre configurações e procedimentos efetivamente executados.</w:t>
      </w:r>
    </w:p>
    <w:p>
      <w:pPr/>
      <w:r>
        <w:t>Além do método, a organização da avaliação influencia a leitura dos resultados. Cerqueira, Torgo e Mozetič (2020) mostram que a adequação dos procedimentos de estimação de desempenho depende da dependência temporal e da estacionariedade; em suas séries não estacionárias, avaliações fora da amostra repetidas em diferentes períodos tiveram melhor desempenho. Aqui, essa evidência fundamenta o cuidado com a cronologia, sem reproduzir seu benchmark de previsão autoregressiva. Para transferência entre domínios, Couture et al. (2024) separam plantas entre treino e teste para avaliar unidades não vistas. Em um preprint sobre frotas de turbinas a gás, Potts et al. (2026) combinam diagnósticos de faixa operacional, distância no espaço de atributos e incerteza para reconhecer situações fora da distribuição conhecida. No presente caso, a análise permanece temporal e dentro de uma única unidade; as mudanças de distribuição são tratadas de modo descritivo, distinguindo-as de concept drift (Gama et al., 2014).</w:t>
      </w:r>
    </w:p>
    <w:p>
      <w:pPr/>
      <w:r>
        <w:t>Outras fontes ajudam a delimitar o alcance do problema. Guevara et al. (2024) tratam emissões de usinas em escala de inventário global e com perfis temporais, uma finalidade distinta da estimação horária condicionada à operação de uma única unidade. Em outro processo industrial, o preprint de Fayaz et al. (2026) compara plantas de cimento, mas restringe a análise de memória de curto prazo à planta com dados de um minuto, a única com CO₂ disponível. Nessa análise, o histórico beneficiou mais a estimação de NOx do que a de CO e CO₂, indicando dependência do poluente, do processo e da resolução temporal. Ashraf, Dua e Debnath (2026) ressaltam, por sua vez, que a aplicação industrial de modelos precisa permanecer coerente com restrições e conhecimento do domínio.</w:t>
      </w:r>
    </w:p>
    <w:p>
      <w:pPr/>
      <w:r>
        <w:t>A busca bibliográfica ampliada acrescentou evidências diretamente relacionadas às decisões do presente estudo. Zhang et al. (2026) propõem, para a predição dinâmica de CO₂ em uma unidade a carvão, uma seleção em duas etapas que combina importância por XGBoost e correlação de Pearson para reduzir redundância e multicolinearidade antes de um modelo LSTM. Huang et al. (2027), em artigo disponibilizado online em outubro de 2026, avaliam uma unidade de ciclo combinado gás-vapor, com previsão de curto horizonte, histórico reduzido, regimes operacionais e calibração conformal, mostrando que a utilidade do histórico deve ser interpretada em conjunto com a condição operacional. Jin et al. (2026) tratam transferência entre usinas e evidenciam que o desempenho depende da relação entre domínio de origem e domínio-alvo. Liu et al. (2025a) mostram que a regulação profunda de carga pode elevar a intensidade de carbono em uma unidade a carvão, enquanto Lu, Tang e Duan (2024) destacam que a operação dinâmica pode afetar a medição da vazão de gases associada ao CEMS. Esses trabalhos não são diretamente comparáveis à Iatan quanto a alvo, instalação e protocolo, mas ajudam a interpretar redundância de atributos, valor do histórico, diferenças entre regimes, transferência e limitações metrológicas.</w:t>
      </w:r>
    </w:p>
    <w:p>
      <w:pPr>
        <w:pStyle w:val="Heading1"/>
        <w:pageBreakBefore w:val="0"/>
      </w:pPr>
      <w:r>
        <w:t>3 Metodologia</w:t>
      </w:r>
    </w:p>
    <w:p>
      <w:pPr>
        <w:pStyle w:val="Heading2"/>
        <w:pageBreakBefore w:val="0"/>
      </w:pPr>
      <w:r>
        <w:t>Delineamento e dados</w:t>
      </w:r>
    </w:p>
    <w:p>
      <w:pPr/>
      <w:r>
        <w:t>A pesquisa é quantitativa, observacional e retrospectiva, voltada à estimação de emissões. A pergunta foi delimitada a partir da literatura e examinada por comparações empíricas. A interpretação dos padrões e a escolha do histórico tiveram caráter exploratório. O objetivo é avaliar capacidade de estimação, sem atribuir causalidade às variáveis. Essa distinção é relevante na modelagem preditiva (Shmueli, 2010) e também separa este trabalho de desenhos voltados explicitamente à identificação causal, como a aplicação exploratória de LiNGAM a dados de NOx de uma usina a carvão realizada por Saito e Fujiwara (2023), cuja interpretação causal depende das hipóteses do método.</w:t>
      </w:r>
    </w:p>
    <w:p>
      <w:pPr/>
      <w:r>
        <w:t>A seleção da unidade, a preparação dos dados, a construção das representações, o ajuste dos modelos e a interpretação dos resultados compõem o encadeamento da pesquisa. Essa organização aproxima-se do processo de descoberta de conhecimento descrito por Fayyad, Piatetsky-Shapiro e Smyth (1996), no qual o ajuste dos modelos integra um processo mais amplo de preparação e avaliação. As decisões exploratórias permanecem identificadas como retrospectivas.</w:t>
      </w:r>
    </w:p>
    <w:p>
      <w:pPr/>
      <w:r>
        <w:t>A seleção considerou unidades a carvão com registros de CO₂ associados à própria unidade, método CEM e cobertura de monitoramento em 2025. Foram exigidas completude dos registros, participação de medição e operação ao longo do ano. Os filtros e suas contagens constam no Apêndice A. Entre as unidades elegíveis, a comparação da variabilidade operacional levou à Iatan Unit 2, Facility ID 6065, caracterizada na Tabela 1. Como a escolha utilizou informações de todo o ano de 2025, trata-se de seleção retrospectiva de um caso informativo, sem amostragem probabilística.</w:t>
      </w:r>
    </w:p>
    <w:p>
      <w:pPr>
        <w:pStyle w:val="Caption"/>
      </w:pPr>
      <w:r>
        <w:t>Tabela 1 Caracterização da unidade Iatan 2 em 2025</w:t>
      </w:r>
    </w:p>
    <w:tbl>
      <w:tblPr>
        <w:tblW w:type="dxa" w:w="9632"/>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6357"/>
        <w:gridCol w:w="3275"/>
      </w:tblGrid>
      <w:tr>
        <w:trPr>
          <w:cantSplit/>
          <w:tblHeader w:val="true"/>
        </w:trPr>
        <w:tc>
          <w:tcPr>
            <w:tcW w:type="dxa" w:w="6357"/>
            <w:vAlign w:val="center"/>
            <w:shd w:fill="F1F1F1" w:val="clear"/>
          </w:tcPr>
          <w:p>
            <w:pPr>
              <w:keepNext/>
              <w:keepLines/>
              <w:widowControl w:val="0"/>
              <w:spacing w:before="0" w:after="0" w:line="252" w:lineRule="auto"/>
              <w:jc w:val="left"/>
            </w:pPr>
            <w:r>
              <w:rPr>
                <w:rFonts w:ascii="Times New Roman" w:hAnsi="Times New Roman"/>
                <w:b/>
                <w:color w:val="000000"/>
                <w:sz w:val="20"/>
              </w:rPr>
              <w:t>Indicador</w:t>
            </w:r>
          </w:p>
        </w:tc>
        <w:tc>
          <w:tcPr>
            <w:tcW w:type="dxa" w:w="3275"/>
            <w:vAlign w:val="center"/>
            <w:shd w:fill="F1F1F1" w:val="clear"/>
          </w:tcPr>
          <w:p>
            <w:pPr>
              <w:keepNext/>
              <w:keepLines/>
              <w:widowControl w:val="0"/>
              <w:spacing w:before="0" w:after="0" w:line="252" w:lineRule="auto"/>
              <w:jc w:val="center"/>
            </w:pPr>
            <w:r>
              <w:rPr>
                <w:rFonts w:ascii="Times New Roman" w:hAnsi="Times New Roman"/>
                <w:b/>
                <w:color w:val="000000"/>
                <w:sz w:val="20"/>
              </w:rPr>
              <w:t>Valor</w:t>
            </w:r>
          </w:p>
        </w:tc>
      </w:tr>
      <w:tr>
        <w:trPr>
          <w:cantSplit/>
        </w:trPr>
        <w:tc>
          <w:tcPr>
            <w:tcW w:type="dxa" w:w="6357"/>
            <w:vAlign w:val="center"/>
          </w:tcPr>
          <w:p>
            <w:pPr>
              <w:keepNext w:val="0"/>
              <w:keepLines/>
              <w:widowControl w:val="0"/>
              <w:spacing w:before="0" w:after="0" w:line="252" w:lineRule="auto"/>
              <w:jc w:val="left"/>
            </w:pPr>
            <w:r>
              <w:rPr>
                <w:rFonts w:ascii="Times New Roman" w:hAnsi="Times New Roman"/>
                <w:b w:val="0"/>
                <w:color w:val="000000"/>
                <w:sz w:val="20"/>
              </w:rPr>
              <w:t>Registros horários</w:t>
            </w:r>
          </w:p>
        </w:tc>
        <w:tc>
          <w:tcPr>
            <w:tcW w:type="dxa" w:w="3275"/>
            <w:vAlign w:val="center"/>
          </w:tcPr>
          <w:p>
            <w:pPr>
              <w:keepNext w:val="0"/>
              <w:keepLines/>
              <w:widowControl w:val="0"/>
              <w:spacing w:before="0" w:after="0" w:line="252" w:lineRule="auto"/>
              <w:jc w:val="center"/>
            </w:pPr>
            <w:r>
              <w:rPr>
                <w:rFonts w:ascii="Times New Roman" w:hAnsi="Times New Roman"/>
                <w:b w:val="0"/>
                <w:color w:val="000000"/>
                <w:sz w:val="20"/>
              </w:rPr>
              <w:t>8.760</w:t>
            </w:r>
          </w:p>
        </w:tc>
      </w:tr>
      <w:tr>
        <w:trPr>
          <w:cantSplit/>
        </w:trPr>
        <w:tc>
          <w:tcPr>
            <w:tcW w:type="dxa" w:w="6357"/>
            <w:vAlign w:val="center"/>
          </w:tcPr>
          <w:p>
            <w:pPr>
              <w:keepNext w:val="0"/>
              <w:keepLines/>
              <w:widowControl w:val="0"/>
              <w:spacing w:before="0" w:after="0" w:line="252" w:lineRule="auto"/>
              <w:jc w:val="left"/>
            </w:pPr>
            <w:r>
              <w:rPr>
                <w:rFonts w:ascii="Times New Roman" w:hAnsi="Times New Roman"/>
                <w:b w:val="0"/>
                <w:color w:val="000000"/>
                <w:sz w:val="20"/>
              </w:rPr>
              <w:t>Horas ON e OFF</w:t>
            </w:r>
          </w:p>
        </w:tc>
        <w:tc>
          <w:tcPr>
            <w:tcW w:type="dxa" w:w="3275"/>
            <w:vAlign w:val="center"/>
          </w:tcPr>
          <w:p>
            <w:pPr>
              <w:keepNext w:val="0"/>
              <w:keepLines/>
              <w:widowControl w:val="0"/>
              <w:spacing w:before="0" w:after="0" w:line="252" w:lineRule="auto"/>
              <w:jc w:val="left"/>
            </w:pPr>
            <w:r>
              <w:rPr>
                <w:rFonts w:ascii="Times New Roman" w:hAnsi="Times New Roman"/>
                <w:b w:val="0"/>
                <w:color w:val="000000"/>
                <w:sz w:val="20"/>
              </w:rPr>
              <w:t>6.249 e 2.511</w:t>
            </w:r>
          </w:p>
        </w:tc>
      </w:tr>
      <w:tr>
        <w:trPr>
          <w:cantSplit/>
        </w:trPr>
        <w:tc>
          <w:tcPr>
            <w:tcW w:type="dxa" w:w="6357"/>
            <w:vAlign w:val="center"/>
          </w:tcPr>
          <w:p>
            <w:pPr>
              <w:keepNext w:val="0"/>
              <w:keepLines/>
              <w:widowControl w:val="0"/>
              <w:spacing w:before="0" w:after="0" w:line="252" w:lineRule="auto"/>
              <w:jc w:val="left"/>
            </w:pPr>
            <w:r>
              <w:rPr>
                <w:rFonts w:ascii="Times New Roman" w:hAnsi="Times New Roman"/>
                <w:b w:val="0"/>
                <w:color w:val="000000"/>
                <w:sz w:val="20"/>
              </w:rPr>
              <w:t>Operação integral e parcial entre as horas ON</w:t>
            </w:r>
          </w:p>
        </w:tc>
        <w:tc>
          <w:tcPr>
            <w:tcW w:type="dxa" w:w="3275"/>
            <w:vAlign w:val="center"/>
          </w:tcPr>
          <w:p>
            <w:pPr>
              <w:keepNext w:val="0"/>
              <w:keepLines/>
              <w:widowControl w:val="0"/>
              <w:spacing w:before="0" w:after="0" w:line="252" w:lineRule="auto"/>
              <w:jc w:val="left"/>
            </w:pPr>
            <w:r>
              <w:rPr>
                <w:rFonts w:ascii="Times New Roman" w:hAnsi="Times New Roman"/>
                <w:b w:val="0"/>
                <w:color w:val="000000"/>
                <w:sz w:val="20"/>
              </w:rPr>
              <w:t>6.172 e 77</w:t>
            </w:r>
          </w:p>
        </w:tc>
      </w:tr>
      <w:tr>
        <w:trPr>
          <w:cantSplit/>
        </w:trPr>
        <w:tc>
          <w:tcPr>
            <w:tcW w:type="dxa" w:w="6357"/>
            <w:vAlign w:val="center"/>
          </w:tcPr>
          <w:p>
            <w:pPr>
              <w:keepNext w:val="0"/>
              <w:keepLines/>
              <w:widowControl w:val="0"/>
              <w:spacing w:before="0" w:after="0" w:line="252" w:lineRule="auto"/>
              <w:jc w:val="left"/>
            </w:pPr>
            <w:r>
              <w:rPr>
                <w:rFonts w:ascii="Times New Roman" w:hAnsi="Times New Roman"/>
                <w:b w:val="0"/>
                <w:color w:val="000000"/>
                <w:sz w:val="20"/>
              </w:rPr>
              <w:t>Horas ON com indicador Measured</w:t>
            </w:r>
          </w:p>
        </w:tc>
        <w:tc>
          <w:tcPr>
            <w:tcW w:type="dxa" w:w="3275"/>
            <w:vAlign w:val="center"/>
          </w:tcPr>
          <w:p>
            <w:pPr>
              <w:keepNext w:val="0"/>
              <w:keepLines/>
              <w:widowControl w:val="0"/>
              <w:spacing w:before="0" w:after="0" w:line="252" w:lineRule="auto"/>
              <w:jc w:val="center"/>
            </w:pPr>
            <w:r>
              <w:rPr>
                <w:rFonts w:ascii="Times New Roman" w:hAnsi="Times New Roman"/>
                <w:b w:val="0"/>
                <w:color w:val="000000"/>
                <w:sz w:val="20"/>
              </w:rPr>
              <w:t>6.209 (99,36%)</w:t>
            </w:r>
          </w:p>
        </w:tc>
      </w:tr>
      <w:tr>
        <w:trPr>
          <w:cantSplit/>
        </w:trPr>
        <w:tc>
          <w:tcPr>
            <w:tcW w:type="dxa" w:w="6357"/>
            <w:vAlign w:val="center"/>
          </w:tcPr>
          <w:p>
            <w:pPr>
              <w:keepNext w:val="0"/>
              <w:keepLines/>
              <w:widowControl w:val="0"/>
              <w:spacing w:before="0" w:after="0" w:line="252" w:lineRule="auto"/>
              <w:jc w:val="left"/>
            </w:pPr>
            <w:r>
              <w:rPr>
                <w:rFonts w:ascii="Times New Roman" w:hAnsi="Times New Roman"/>
                <w:b w:val="0"/>
                <w:color w:val="000000"/>
                <w:sz w:val="20"/>
              </w:rPr>
              <w:t>Horas ON com indicador Measured and Substitute</w:t>
            </w:r>
          </w:p>
        </w:tc>
        <w:tc>
          <w:tcPr>
            <w:tcW w:type="dxa" w:w="3275"/>
            <w:vAlign w:val="center"/>
          </w:tcPr>
          <w:p>
            <w:pPr>
              <w:keepNext w:val="0"/>
              <w:keepLines/>
              <w:widowControl w:val="0"/>
              <w:spacing w:before="0" w:after="0" w:line="252" w:lineRule="auto"/>
              <w:jc w:val="center"/>
            </w:pPr>
            <w:r>
              <w:rPr>
                <w:rFonts w:ascii="Times New Roman" w:hAnsi="Times New Roman"/>
                <w:b w:val="0"/>
                <w:color w:val="000000"/>
                <w:sz w:val="20"/>
              </w:rPr>
              <w:t>40 (0,64%)</w:t>
            </w:r>
          </w:p>
        </w:tc>
      </w:tr>
      <w:tr>
        <w:trPr>
          <w:cantSplit/>
        </w:trPr>
        <w:tc>
          <w:tcPr>
            <w:tcW w:type="dxa" w:w="6357"/>
            <w:vAlign w:val="center"/>
          </w:tcPr>
          <w:p>
            <w:pPr>
              <w:keepNext w:val="0"/>
              <w:keepLines/>
              <w:widowControl w:val="0"/>
              <w:spacing w:before="0" w:after="0" w:line="252" w:lineRule="auto"/>
              <w:jc w:val="left"/>
            </w:pPr>
            <w:r>
              <w:rPr>
                <w:rFonts w:ascii="Times New Roman" w:hAnsi="Times New Roman"/>
                <w:b w:val="0"/>
                <w:color w:val="000000"/>
                <w:sz w:val="20"/>
              </w:rPr>
              <w:t>Partidas e desligamentos observados</w:t>
            </w:r>
          </w:p>
        </w:tc>
        <w:tc>
          <w:tcPr>
            <w:tcW w:type="dxa" w:w="3275"/>
            <w:vAlign w:val="center"/>
          </w:tcPr>
          <w:p>
            <w:pPr>
              <w:keepNext w:val="0"/>
              <w:keepLines/>
              <w:widowControl w:val="0"/>
              <w:spacing w:before="0" w:after="0" w:line="252" w:lineRule="auto"/>
              <w:jc w:val="left"/>
            </w:pPr>
            <w:r>
              <w:rPr>
                <w:rFonts w:ascii="Times New Roman" w:hAnsi="Times New Roman"/>
                <w:b w:val="0"/>
                <w:color w:val="000000"/>
                <w:sz w:val="20"/>
              </w:rPr>
              <w:t>38 e 37</w:t>
            </w:r>
          </w:p>
        </w:tc>
      </w:tr>
      <w:tr>
        <w:trPr>
          <w:cantSplit/>
        </w:trPr>
        <w:tc>
          <w:tcPr>
            <w:tcW w:type="dxa" w:w="6357"/>
            <w:vAlign w:val="center"/>
          </w:tcPr>
          <w:p>
            <w:pPr>
              <w:keepNext w:val="0"/>
              <w:keepLines/>
              <w:widowControl w:val="0"/>
              <w:spacing w:before="0" w:after="0" w:line="252" w:lineRule="auto"/>
              <w:jc w:val="left"/>
            </w:pPr>
            <w:r>
              <w:rPr>
                <w:rFonts w:ascii="Times New Roman" w:hAnsi="Times New Roman"/>
                <w:b w:val="0"/>
                <w:color w:val="000000"/>
                <w:sz w:val="20"/>
              </w:rPr>
              <w:t>Carga média e mediana durante operação</w:t>
            </w:r>
          </w:p>
        </w:tc>
        <w:tc>
          <w:tcPr>
            <w:tcW w:type="dxa" w:w="3275"/>
            <w:vAlign w:val="center"/>
          </w:tcPr>
          <w:p>
            <w:pPr>
              <w:keepNext w:val="0"/>
              <w:keepLines/>
              <w:widowControl w:val="0"/>
              <w:spacing w:before="0" w:after="0" w:line="252" w:lineRule="auto"/>
              <w:jc w:val="left"/>
            </w:pPr>
            <w:r>
              <w:rPr>
                <w:rFonts w:ascii="Times New Roman" w:hAnsi="Times New Roman"/>
                <w:b w:val="0"/>
                <w:color w:val="000000"/>
                <w:sz w:val="20"/>
              </w:rPr>
              <w:t>666,30 e 696,00 MW</w:t>
            </w:r>
          </w:p>
        </w:tc>
      </w:tr>
      <w:tr>
        <w:trPr>
          <w:cantSplit/>
        </w:trPr>
        <w:tc>
          <w:tcPr>
            <w:tcW w:type="dxa" w:w="6357"/>
            <w:vAlign w:val="center"/>
          </w:tcPr>
          <w:p>
            <w:pPr>
              <w:keepNext w:val="0"/>
              <w:keepLines/>
              <w:widowControl w:val="0"/>
              <w:spacing w:before="0" w:after="0" w:line="252" w:lineRule="auto"/>
              <w:jc w:val="left"/>
            </w:pPr>
            <w:r>
              <w:rPr>
                <w:rFonts w:ascii="Times New Roman" w:hAnsi="Times New Roman"/>
                <w:b w:val="0"/>
                <w:color w:val="000000"/>
                <w:sz w:val="20"/>
              </w:rPr>
              <w:t>Percentis 5 e 95 da carga durante operação</w:t>
            </w:r>
          </w:p>
        </w:tc>
        <w:tc>
          <w:tcPr>
            <w:tcW w:type="dxa" w:w="3275"/>
            <w:vAlign w:val="center"/>
          </w:tcPr>
          <w:p>
            <w:pPr>
              <w:keepNext w:val="0"/>
              <w:keepLines/>
              <w:widowControl w:val="0"/>
              <w:spacing w:before="0" w:after="0" w:line="252" w:lineRule="auto"/>
              <w:jc w:val="left"/>
            </w:pPr>
            <w:r>
              <w:rPr>
                <w:rFonts w:ascii="Times New Roman" w:hAnsi="Times New Roman"/>
                <w:b w:val="0"/>
                <w:color w:val="000000"/>
                <w:sz w:val="20"/>
              </w:rPr>
              <w:t>136,00 e 945,00 MW</w:t>
            </w:r>
          </w:p>
        </w:tc>
      </w:tr>
      <w:tr>
        <w:trPr>
          <w:cantSplit/>
        </w:trPr>
        <w:tc>
          <w:tcPr>
            <w:tcW w:type="dxa" w:w="6357"/>
            <w:vAlign w:val="center"/>
          </w:tcPr>
          <w:p>
            <w:pPr>
              <w:keepNext w:val="0"/>
              <w:keepLines/>
              <w:widowControl w:val="0"/>
              <w:spacing w:before="0" w:after="0" w:line="252" w:lineRule="auto"/>
              <w:jc w:val="left"/>
            </w:pPr>
            <w:r>
              <w:rPr>
                <w:rFonts w:ascii="Times New Roman" w:hAnsi="Times New Roman"/>
                <w:b w:val="0"/>
                <w:color w:val="000000"/>
                <w:sz w:val="20"/>
              </w:rPr>
              <w:t>Amplitude entre os percentis 5 e 95</w:t>
            </w:r>
          </w:p>
        </w:tc>
        <w:tc>
          <w:tcPr>
            <w:tcW w:type="dxa" w:w="3275"/>
            <w:vAlign w:val="center"/>
          </w:tcPr>
          <w:p>
            <w:pPr>
              <w:keepNext w:val="0"/>
              <w:keepLines/>
              <w:widowControl w:val="0"/>
              <w:spacing w:before="0" w:after="0" w:line="252" w:lineRule="auto"/>
              <w:jc w:val="left"/>
            </w:pPr>
            <w:r>
              <w:rPr>
                <w:rFonts w:ascii="Times New Roman" w:hAnsi="Times New Roman"/>
                <w:b w:val="0"/>
                <w:color w:val="000000"/>
                <w:sz w:val="20"/>
              </w:rPr>
              <w:t>809,00 MW</w:t>
            </w:r>
          </w:p>
        </w:tc>
      </w:tr>
      <w:tr>
        <w:trPr>
          <w:cantSplit/>
        </w:trPr>
        <w:tc>
          <w:tcPr>
            <w:tcW w:type="dxa" w:w="6357"/>
            <w:vAlign w:val="center"/>
          </w:tcPr>
          <w:p>
            <w:pPr>
              <w:keepNext/>
              <w:keepLines/>
              <w:widowControl w:val="0"/>
              <w:spacing w:before="0" w:after="0" w:line="252" w:lineRule="auto"/>
              <w:jc w:val="left"/>
            </w:pPr>
            <w:r>
              <w:rPr>
                <w:rFonts w:ascii="Times New Roman" w:hAnsi="Times New Roman"/>
                <w:b w:val="0"/>
                <w:color w:val="000000"/>
                <w:sz w:val="20"/>
              </w:rPr>
              <w:t>Percentil 95 da variação absoluta horária</w:t>
            </w:r>
          </w:p>
        </w:tc>
        <w:tc>
          <w:tcPr>
            <w:tcW w:type="dxa" w:w="3275"/>
            <w:vAlign w:val="center"/>
          </w:tcPr>
          <w:p>
            <w:pPr>
              <w:keepNext/>
              <w:keepLines/>
              <w:widowControl w:val="0"/>
              <w:spacing w:before="0" w:after="0" w:line="252" w:lineRule="auto"/>
              <w:jc w:val="left"/>
            </w:pPr>
            <w:r>
              <w:rPr>
                <w:rFonts w:ascii="Times New Roman" w:hAnsi="Times New Roman"/>
                <w:b w:val="0"/>
                <w:color w:val="000000"/>
                <w:sz w:val="20"/>
              </w:rPr>
              <w:t>175,50 MW por intervalo de uma hora</w:t>
            </w:r>
          </w:p>
        </w:tc>
      </w:tr>
    </w:tbl>
    <w:p>
      <w:pPr>
        <w:pStyle w:val="ArticleNote"/>
      </w:pPr>
      <w:r>
        <w:t>Fonte: relatórios de seleção, tratamento e caracterização do projeto e auditoria complementar dos indicadores. As proporções de medição usam as 6.249 horas ON como denominador. As transições são contabilizadas na série horária completa.</w:t>
      </w:r>
    </w:p>
    <w:p>
      <w:pPr/>
      <w:r>
        <w:t>A comparabilidade documental do monitoramento foi examinada de 2011 a 2025, confrontando os indicadores dos registros horários com os planos da unidade. A auditoria verificou continuidade temporal, categorias de reporte e vigência dos métodos. Seu alcance é documental: as fontes consultadas são posteriores aos períodos analisados e não permitem avaliar calibração, precisão metrológica ou efeitos causais das trocas de componentes. Os resultados detalhados constam no Apêndice B, seção B2.</w:t>
      </w:r>
    </w:p>
    <w:p>
      <w:pPr>
        <w:pStyle w:val="Heading2"/>
        <w:pageBreakBefore w:val="0"/>
      </w:pPr>
      <w:r>
        <w:t>Preparação e representação operacional</w:t>
      </w:r>
    </w:p>
    <w:p>
      <w:pPr/>
      <w:r>
        <w:t>A resposta corresponde à massa de CO₂ reportada no campo CO2 Mass (short tons), e a carga foi obtida de Gross Load (MW). Ambas se referem ao registro horário. A massa permaneceu na unidade original, inclusive em horas parcialmente operadas, sem divisão por Operating Time. Trata-se, portanto, de estimação contemporânea, com carga conhecida na mesma hora e avaliação em períodos posteriores ao treinamento.</w:t>
      </w:r>
    </w:p>
    <w:p>
      <w:pPr/>
      <w:r>
        <w:t>Definiu-se ON por Operating Time &gt; 0 e OFF por Operating Time = 0, preservando horas parcialmente operadas e horas ON com carga zero. Em 2025, os valores ausentes de carga e CO₂ estavam associados às horas OFF e receberam zero apenas em colunas tratadas, com preservação dos originais. Não houve interpolação nem imputação estatística de valores ON. Os valores extremos foram sinalizados pela regra do intervalo interquartil descrita por Guthrie (2020). Os registros identificados foram mantidos, pois o sinal estatístico isolado não demonstrava erro de medição e poderia corresponder a condições operacionais relevantes.</w:t>
      </w:r>
    </w:p>
    <w:p>
      <w:pPr/>
      <w:r>
        <w:t>A comparação utilizou três conjuntos de entrada: A contém apenas a carga contemporânea; B acrescenta trajetória e memória operacional, reunindo os sete atributos da Tabela 2; C amplia essa representação para 24 atributos, descritos no Apêndice A. Esses conjuntos permitem examinar o valor preditivo das informações adicionais em relação à carga atual. O conhecimento da operação orientou a escolha e a construção dos atributos. Os estimadores foram ajustados aos dados, sem imposição de equações físicas na função de perda.</w:t>
      </w:r>
    </w:p>
    <w:p>
      <w:pPr>
        <w:pStyle w:val="Caption"/>
      </w:pPr>
      <w:r>
        <w:t>Tabela 2 Atributos do cenário B</w:t>
      </w:r>
    </w:p>
    <w:tbl>
      <w:tblPr>
        <w:tblW w:type="dxa" w:w="9632"/>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3275"/>
        <w:gridCol w:w="6357"/>
      </w:tblGrid>
      <w:tr>
        <w:trPr>
          <w:cantSplit/>
          <w:tblHeader w:val="true"/>
        </w:trPr>
        <w:tc>
          <w:tcPr>
            <w:tcW w:type="dxa" w:w="3275"/>
            <w:vAlign w:val="center"/>
            <w:shd w:fill="F1F1F1" w:val="clear"/>
          </w:tcPr>
          <w:p>
            <w:pPr>
              <w:keepNext/>
              <w:keepLines/>
              <w:widowControl w:val="0"/>
              <w:spacing w:before="0" w:after="0" w:line="252" w:lineRule="auto"/>
              <w:jc w:val="left"/>
            </w:pPr>
            <w:r>
              <w:rPr>
                <w:rFonts w:ascii="Times New Roman" w:hAnsi="Times New Roman"/>
                <w:b/>
                <w:color w:val="000000"/>
                <w:sz w:val="20"/>
              </w:rPr>
              <w:t>Atributo</w:t>
            </w:r>
          </w:p>
        </w:tc>
        <w:tc>
          <w:tcPr>
            <w:tcW w:type="dxa" w:w="6357"/>
            <w:vAlign w:val="center"/>
            <w:shd w:fill="F1F1F1" w:val="clear"/>
          </w:tcPr>
          <w:p>
            <w:pPr>
              <w:keepNext/>
              <w:keepLines/>
              <w:widowControl w:val="0"/>
              <w:spacing w:before="0" w:after="0" w:line="252" w:lineRule="auto"/>
              <w:jc w:val="center"/>
            </w:pPr>
            <w:r>
              <w:rPr>
                <w:rFonts w:ascii="Times New Roman" w:hAnsi="Times New Roman"/>
                <w:b/>
                <w:color w:val="000000"/>
                <w:sz w:val="20"/>
              </w:rPr>
              <w:t>Definição operacional</w:t>
            </w:r>
          </w:p>
        </w:tc>
      </w:tr>
      <w:tr>
        <w:trPr>
          <w:cantSplit/>
        </w:trPr>
        <w:tc>
          <w:tcPr>
            <w:tcW w:type="dxa" w:w="3275"/>
            <w:vAlign w:val="center"/>
          </w:tcPr>
          <w:p>
            <w:pPr>
              <w:keepNext w:val="0"/>
              <w:keepLines/>
              <w:widowControl w:val="0"/>
              <w:spacing w:before="0" w:after="0" w:line="252" w:lineRule="auto"/>
              <w:jc w:val="left"/>
            </w:pPr>
            <w:r>
              <w:rPr>
                <w:rFonts w:ascii="Times New Roman" w:hAnsi="Times New Roman"/>
                <w:b w:val="0"/>
                <w:color w:val="000000"/>
                <w:sz w:val="20"/>
              </w:rPr>
              <w:t>Carga atual</w:t>
            </w:r>
          </w:p>
        </w:tc>
        <w:tc>
          <w:tcPr>
            <w:tcW w:type="dxa" w:w="6357"/>
            <w:vAlign w:val="center"/>
          </w:tcPr>
          <w:p>
            <w:pPr>
              <w:keepNext w:val="0"/>
              <w:keepLines/>
              <w:widowControl w:val="0"/>
              <w:spacing w:before="0" w:after="0" w:line="252" w:lineRule="auto"/>
              <w:jc w:val="left"/>
            </w:pPr>
            <w:r>
              <w:rPr>
                <w:rFonts w:ascii="Times New Roman" w:hAnsi="Times New Roman"/>
                <w:b w:val="0"/>
                <w:color w:val="000000"/>
                <w:sz w:val="20"/>
              </w:rPr>
              <w:t>P(t), em MW.</w:t>
            </w:r>
          </w:p>
        </w:tc>
      </w:tr>
      <w:tr>
        <w:trPr>
          <w:cantSplit/>
        </w:trPr>
        <w:tc>
          <w:tcPr>
            <w:tcW w:type="dxa" w:w="3275"/>
            <w:vAlign w:val="center"/>
          </w:tcPr>
          <w:p>
            <w:pPr>
              <w:keepNext w:val="0"/>
              <w:keepLines/>
              <w:widowControl w:val="0"/>
              <w:spacing w:before="0" w:after="0" w:line="252" w:lineRule="auto"/>
              <w:jc w:val="left"/>
            </w:pPr>
            <w:r>
              <w:rPr>
                <w:rFonts w:ascii="Times New Roman" w:hAnsi="Times New Roman"/>
                <w:b w:val="0"/>
                <w:color w:val="000000"/>
                <w:sz w:val="20"/>
              </w:rPr>
              <w:t>Carga defasada</w:t>
            </w:r>
          </w:p>
        </w:tc>
        <w:tc>
          <w:tcPr>
            <w:tcW w:type="dxa" w:w="6357"/>
            <w:vAlign w:val="center"/>
          </w:tcPr>
          <w:p>
            <w:pPr>
              <w:keepNext w:val="0"/>
              <w:keepLines/>
              <w:widowControl w:val="0"/>
              <w:spacing w:before="0" w:after="0" w:line="252" w:lineRule="auto"/>
              <w:jc w:val="left"/>
            </w:pPr>
            <w:r>
              <w:rPr>
                <w:rFonts w:ascii="Times New Roman" w:hAnsi="Times New Roman"/>
                <w:b w:val="0"/>
                <w:color w:val="000000"/>
                <w:sz w:val="20"/>
              </w:rPr>
              <w:t>P(t−1), na hora de calendário anterior.</w:t>
            </w:r>
          </w:p>
        </w:tc>
      </w:tr>
      <w:tr>
        <w:trPr>
          <w:cantSplit/>
        </w:trPr>
        <w:tc>
          <w:tcPr>
            <w:tcW w:type="dxa" w:w="3275"/>
            <w:vAlign w:val="center"/>
          </w:tcPr>
          <w:p>
            <w:pPr>
              <w:keepNext w:val="0"/>
              <w:keepLines/>
              <w:widowControl w:val="0"/>
              <w:spacing w:before="0" w:after="0" w:line="252" w:lineRule="auto"/>
              <w:jc w:val="left"/>
            </w:pPr>
            <w:r>
              <w:rPr>
                <w:rFonts w:ascii="Times New Roman" w:hAnsi="Times New Roman"/>
                <w:b w:val="0"/>
                <w:color w:val="000000"/>
                <w:sz w:val="20"/>
              </w:rPr>
              <w:t>Variação de carga</w:t>
            </w:r>
          </w:p>
        </w:tc>
        <w:tc>
          <w:tcPr>
            <w:tcW w:type="dxa" w:w="6357"/>
            <w:vAlign w:val="center"/>
          </w:tcPr>
          <w:p>
            <w:pPr>
              <w:keepNext w:val="0"/>
              <w:keepLines/>
              <w:widowControl w:val="0"/>
              <w:spacing w:before="0" w:after="0" w:line="252" w:lineRule="auto"/>
              <w:jc w:val="left"/>
            </w:pPr>
            <w:r>
              <w:rPr>
                <w:rFonts w:ascii="Times New Roman" w:hAnsi="Times New Roman"/>
                <w:b w:val="0"/>
                <w:color w:val="000000"/>
                <w:sz w:val="20"/>
              </w:rPr>
              <w:t>ΔP(t) = P(t) − P(t−1).</w:t>
            </w:r>
          </w:p>
        </w:tc>
      </w:tr>
      <w:tr>
        <w:trPr>
          <w:cantSplit/>
        </w:trPr>
        <w:tc>
          <w:tcPr>
            <w:tcW w:type="dxa" w:w="3275"/>
            <w:vAlign w:val="center"/>
          </w:tcPr>
          <w:p>
            <w:pPr>
              <w:keepNext w:val="0"/>
              <w:keepLines/>
              <w:widowControl w:val="0"/>
              <w:spacing w:before="0" w:after="0" w:line="252" w:lineRule="auto"/>
              <w:jc w:val="left"/>
            </w:pPr>
            <w:r>
              <w:rPr>
                <w:rFonts w:ascii="Times New Roman" w:hAnsi="Times New Roman"/>
                <w:b w:val="0"/>
                <w:color w:val="000000"/>
                <w:sz w:val="20"/>
              </w:rPr>
              <w:t>Variação absoluta</w:t>
            </w:r>
          </w:p>
        </w:tc>
        <w:tc>
          <w:tcPr>
            <w:tcW w:type="dxa" w:w="6357"/>
            <w:vAlign w:val="center"/>
          </w:tcPr>
          <w:p>
            <w:pPr>
              <w:keepNext w:val="0"/>
              <w:keepLines/>
              <w:widowControl w:val="0"/>
              <w:spacing w:before="0" w:after="0" w:line="252" w:lineRule="auto"/>
              <w:jc w:val="left"/>
            </w:pPr>
            <w:r>
              <w:rPr>
                <w:rFonts w:ascii="Times New Roman" w:hAnsi="Times New Roman"/>
                <w:b w:val="0"/>
                <w:color w:val="000000"/>
                <w:sz w:val="20"/>
              </w:rPr>
              <w:t>|ΔP(t)|.</w:t>
            </w:r>
          </w:p>
        </w:tc>
      </w:tr>
      <w:tr>
        <w:trPr>
          <w:cantSplit/>
        </w:trPr>
        <w:tc>
          <w:tcPr>
            <w:tcW w:type="dxa" w:w="3275"/>
            <w:vAlign w:val="center"/>
          </w:tcPr>
          <w:p>
            <w:pPr>
              <w:keepNext w:val="0"/>
              <w:keepLines/>
              <w:widowControl w:val="0"/>
              <w:spacing w:before="0" w:after="0" w:line="252" w:lineRule="auto"/>
              <w:jc w:val="left"/>
            </w:pPr>
            <w:r>
              <w:rPr>
                <w:rFonts w:ascii="Times New Roman" w:hAnsi="Times New Roman"/>
                <w:b w:val="0"/>
                <w:color w:val="000000"/>
                <w:sz w:val="20"/>
              </w:rPr>
              <w:t>Média das três horas anteriores</w:t>
            </w:r>
          </w:p>
        </w:tc>
        <w:tc>
          <w:tcPr>
            <w:tcW w:type="dxa" w:w="6357"/>
            <w:vAlign w:val="center"/>
          </w:tcPr>
          <w:p>
            <w:pPr>
              <w:keepNext w:val="0"/>
              <w:keepLines/>
              <w:widowControl w:val="0"/>
              <w:spacing w:before="0" w:after="0" w:line="252" w:lineRule="auto"/>
              <w:jc w:val="left"/>
            </w:pPr>
            <w:r>
              <w:rPr>
                <w:rFonts w:ascii="Times New Roman" w:hAnsi="Times New Roman"/>
                <w:b w:val="0"/>
                <w:color w:val="000000"/>
                <w:sz w:val="20"/>
              </w:rPr>
              <w:t>Média dos valores disponíveis em t−1, t−2 e t−3, com pelo menos um valor válido.</w:t>
            </w:r>
          </w:p>
        </w:tc>
      </w:tr>
      <w:tr>
        <w:trPr>
          <w:cantSplit/>
        </w:trPr>
        <w:tc>
          <w:tcPr>
            <w:tcW w:type="dxa" w:w="3275"/>
            <w:vAlign w:val="center"/>
          </w:tcPr>
          <w:p>
            <w:pPr>
              <w:keepNext w:val="0"/>
              <w:keepLines/>
              <w:widowControl w:val="0"/>
              <w:spacing w:before="0" w:after="0" w:line="252" w:lineRule="auto"/>
              <w:jc w:val="left"/>
            </w:pPr>
            <w:r>
              <w:rPr>
                <w:rFonts w:ascii="Times New Roman" w:hAnsi="Times New Roman"/>
                <w:b w:val="0"/>
                <w:color w:val="000000"/>
                <w:sz w:val="20"/>
              </w:rPr>
              <w:t>Tempo de operação defasado</w:t>
            </w:r>
          </w:p>
        </w:tc>
        <w:tc>
          <w:tcPr>
            <w:tcW w:type="dxa" w:w="6357"/>
            <w:vAlign w:val="center"/>
          </w:tcPr>
          <w:p>
            <w:pPr>
              <w:keepNext w:val="0"/>
              <w:keepLines/>
              <w:widowControl w:val="0"/>
              <w:spacing w:before="0" w:after="0" w:line="252" w:lineRule="auto"/>
              <w:jc w:val="left"/>
            </w:pPr>
            <w:r>
              <w:rPr>
                <w:rFonts w:ascii="Times New Roman" w:hAnsi="Times New Roman"/>
                <w:b w:val="0"/>
                <w:color w:val="000000"/>
                <w:sz w:val="20"/>
              </w:rPr>
              <w:t>Operating Time(t−1).</w:t>
            </w:r>
          </w:p>
        </w:tc>
      </w:tr>
      <w:tr>
        <w:trPr>
          <w:cantSplit/>
        </w:trPr>
        <w:tc>
          <w:tcPr>
            <w:tcW w:type="dxa" w:w="3275"/>
            <w:vAlign w:val="center"/>
          </w:tcPr>
          <w:p>
            <w:pPr>
              <w:keepNext/>
              <w:keepLines/>
              <w:widowControl w:val="0"/>
              <w:spacing w:before="0" w:after="0" w:line="252" w:lineRule="auto"/>
              <w:jc w:val="left"/>
            </w:pPr>
            <w:r>
              <w:rPr>
                <w:rFonts w:ascii="Times New Roman" w:hAnsi="Times New Roman"/>
                <w:b w:val="0"/>
                <w:color w:val="000000"/>
                <w:sz w:val="20"/>
              </w:rPr>
              <w:t>Horas desde a partida</w:t>
            </w:r>
          </w:p>
        </w:tc>
        <w:tc>
          <w:tcPr>
            <w:tcW w:type="dxa" w:w="6357"/>
            <w:vAlign w:val="center"/>
          </w:tcPr>
          <w:p>
            <w:pPr>
              <w:keepNext/>
              <w:keepLines/>
              <w:widowControl w:val="0"/>
              <w:spacing w:before="0" w:after="0" w:line="252" w:lineRule="auto"/>
              <w:jc w:val="left"/>
            </w:pPr>
            <w:r>
              <w:rPr>
                <w:rFonts w:ascii="Times New Roman" w:hAnsi="Times New Roman"/>
                <w:b w:val="0"/>
                <w:color w:val="000000"/>
                <w:sz w:val="20"/>
              </w:rPr>
              <w:t>Contador de horas ON consecutivas desde a transição OFF para ON; inicia em 1.</w:t>
            </w:r>
          </w:p>
        </w:tc>
      </w:tr>
    </w:tbl>
    <w:p>
      <w:pPr>
        <w:pStyle w:val="ArticleNote"/>
      </w:pPr>
      <w:r>
        <w:t>O cenário A utiliza somente a primeira linha. O contador de partida avança por intervalo horário, inclusive em horas de operação parcial.</w:t>
      </w:r>
    </w:p>
    <w:p>
      <w:pPr/>
      <w:r>
        <w:t>As defasagens e janelas foram calculadas na série completa de calendário, antes da seleção das horas ON. Esse procedimento preserva a distância temporal entre registros separados por uma parada. Na comparação com histórico ampliado, o cálculo foi separado entre os blocos de 2011 a 2022 e de 2025, evitando tratar anos descontínuos como consecutivos. Os atributos utilizaram variáveis operacionais, sem incorporar valores futuros de CO₂ ou resíduos dos modelos.</w:t>
      </w:r>
    </w:p>
    <w:p>
      <w:pPr/>
      <w:r>
        <w:t>A correlação entre os atributos de B foi examinada por PCA, após padronização por escore z (Jolliffe; Cadima, 2016). A análise teve finalidade exploratória sobre as horas ON de 2025; os estimadores preservaram os atributos originais e sua interpretação operacional.</w:t>
      </w:r>
    </w:p>
    <w:p>
      <w:pPr/>
      <w:r>
        <w:t>Após a ampliação bibliográfica, incorporou-se ao Notebook 03A.05 uma auditoria das sete variáveis de B, motivada por Zhang et al. (2026). A fonte filtra atributos de uma unidade de 1.000 MW, amostrados a cada minuto em condição estável, antes de um LSTM; o presente estudo utiliza XGBoost e não reproduz esse protocolo. O limiar descritivo de |r| ≥ 0,90 é escolha própria. A rotina calcula correlações de Pearson no treinamento e verifica as identidades delta_load_1h = load_current_mw − load_lag_1h e abs_delta_load_1h = |delta_load_1h|. Na ablação separada do Notebook 03A.05A, retiraram-se a média de três horas, o delta e, conjuntamente, o delta e seu módulo, mantendo parâmetros, semente, 721 árvores, 88.686 observações de reajuste e 1.144 de teste. A previsão do B completo foi reproduzida exatamente antes da comparação. As variantes são diagnósticos retrospectivos, sem nova seleção pelo teste; seus resultados são apresentados no Apêndice D. Como discutido por Grinsztajn, Oyallon e Varoquaux (2022), a representação é relevante para modelos tabulares; correlação isolada não determina quais atributos devem ser excluídos.</w:t>
      </w:r>
    </w:p>
    <w:p>
      <w:pPr>
        <w:pStyle w:val="Heading2"/>
        <w:pageBreakBefore w:val="0"/>
      </w:pPr>
      <w:r>
        <w:t>Modelos e avaliação temporal</w:t>
      </w:r>
    </w:p>
    <w:p>
      <w:pPr/>
      <w:r>
        <w:t>Os experimentos iniciais separaram cronologicamente janeiro a setembro de 2025 para treinamento, outubro para validação e novembro e dezembro para teste. Nas redes neurais, entradas e resposta foram normalizadas por MinMaxScaler ajustado exclusivamente no treinamento, conforme a documentação do Scikit-learn (2025). As previsões retornaram à unidade original antes da avaliação.</w:t>
      </w:r>
    </w:p>
    <w:p>
      <w:pPr/>
      <w:r>
        <w:t>Utilizou-se uma rede perceptron multicamadas (MLP), com aprendizagem por retropropagação, ativações ReLU e otimizador Adam, fundamentados, respectivamente, em Rumelhart, Hinton e Williams (1986), Glorot, Bordes e Bengio (2011) e Kingma e Ba (2015). A arquitetura e os parâmetros foram escolhas do estudo, apresentadas no Apêndice A. A estrutura das camadas ocultas foi mantida entre cenários, embora a dimensão da entrada alterasse o total de parâmetros. Os modelos selecionados foram aplicados ao teste sem reajuste incluindo outubro, com comparação de B e C sobre os mesmos horários.</w:t>
      </w:r>
    </w:p>
    <w:p>
      <w:pPr/>
      <w:r>
        <w:t>Os mesmos cenários foram avaliados por XGBoost na comparação de referência. O número de árvores foi selecionado por interrupção antecipada segundo o RMSE de validação, sem escalonamento das entradas ou do alvo. A validação empregou cinco partições com treinamento expansivo e validação mensal (Tabela A5). Como cada mês de validação também selecionou o número de árvores, seus escores representam avaliação durante a seleção. Para o teste final, utilizou-se treinamento de janeiro a setembro, seleção em outubro e aplicação direta do modelo escolhido.</w:t>
      </w:r>
    </w:p>
    <w:p>
      <w:pPr/>
      <w:r>
        <w:t>A comparação entre MLP e XGBoost verificou o alinhamento dos horários e da resposta, sem timestamps duplicados. Seu alcance permanece restrito às configurações e aos procedimentos de seleção de cada família. A auditoria de orçamento contabilizou três ajustes finais de MLP, um por cenário, e 18 de XGBoost de referência, correspondentes a cinco validações por cenário e um ajuste final por cenário. Na MLP, selecionaram-se 24, 38 e 57 épocas para A, B e C, respectivamente. A busca posterior avaliou 30 configurações × cinco partições × dois cenários, totalizando 300 ajustes de seleção e dois reajustes finais. Esses números descrevem o procedimento, mas não equivalem a tempos ou custos computacionais; os experimentos originais não registraram duração comparável por ajuste. Não houve orçamento comum entre MLP e XGBoost.</w:t>
      </w:r>
    </w:p>
    <w:p>
      <w:pPr/>
      <w:r>
        <w:t>O complemento 03A.05C avaliou separadamente as famílias com histórico ampliado: 88.475 horas no treinamento de seleção, 211 na validação de outubro e 1.144 no teste de novembro e dezembro de 2025. Foram executados 20 ajustes, combinando MLP e XGBoost, cenários A e B e sementes 42 a 46, com uma configuração por família e cenário. Em ambas as famílias, outubro foi usado exclusivamente para interrupção antecipada, sem integrar um reajuste posterior. As mesmas observações e o mesmo alvo foram verificados por horário. A configuração da MLP e a do XGBoost foram mantidas entre sementes; os detalhes e os resultados constam na seção D3. O desenho iguala a quantidade de configurações e ajustes, sem igualar capacidade dos modelos, número de atualizações ou tempo computacional.</w:t>
      </w:r>
    </w:p>
    <w:p>
      <w:pPr/>
      <w:r>
        <w:t>Uma comparação adicional examinou A e B sob o mesmo orçamento de busca aleatória. A adoção da amostragem aleatória de hiperparâmetros segue Bergstra e Bengio (2012): as mesmas configurações foram avaliadas nas cinco partições temporais, com seleção pelo menor MAE médio. O espaço de busca, a amostragem e as configurações escolhidas estão no Apêndice A. Nesse protocolo, o número de árvores integrou a busca, sem interrupção antecipada. Após a seleção, os modelos foram reajustados com janeiro a outubro e avaliados em novembro e dezembro. Como a seleção de complexidade e o reajuste diferem do experimento anterior, a comparação entre etapas envolve o procedimento completo de modelagem.</w:t>
      </w:r>
    </w:p>
    <w:p>
      <w:pPr>
        <w:pStyle w:val="Heading2"/>
        <w:pageBreakBefore w:val="0"/>
      </w:pPr>
      <w:r>
        <w:t>Histórico e comparação final</w:t>
      </w:r>
    </w:p>
    <w:p>
      <w:pPr/>
      <w:r>
        <w:t>A análise histórica utilizou XGBoost com os parâmetros estruturais e critérios de parada da comparação de referência. Foram consideradas horas ON com carga e massa de CO₂ disponíveis, inclusive carga zero, atribuindo o mesmo peso às observações, sem ponderação por recência. O histórico de outubro de 2010 a dezembro de 2025 permitiu comparar janelas de diferentes extensões em backtests anuais. Em cada comparação, os dados anteriores ao ano-alvo foram separados entre treinamento e validação, e o modelo selecionado foi aplicado diretamente ao ano seguinte. As janelas, os anos-alvo e as regras de corte constam no Apêndice A.</w:t>
      </w:r>
    </w:p>
    <w:p>
      <w:pPr/>
      <w:r>
        <w:t>Os experimentos seguintes adotaram 2011 a 2022 como referência histórica. A delimitação considerou o início parcial de operação em 2010 e diferenças de utilização e carga em 2023 e 2024 (Apêndice A). Essa escolha foi exploratória, posterior aos backtests, inclusive ao de 2025; seu efeito não foi isolado mantendo todas as demais condições.</w:t>
      </w:r>
    </w:p>
    <w:p>
      <w:pPr/>
      <w:r>
        <w:t>A transferência exclusivamente histórica reservou o trecho final de 2022 para validação. Após selecionar o número de árvores, o modelo foi reajustado com todo o histórico de referência e aplicado às horas ON de 2025, utilizando apenas a carga atual como entrada. O valor incremental do histórico foi examinado em comparação pareada entre um modelo treinado com dados recentes de 2025 e outro que acrescentou 2011 a 2022. Ambos utilizaram a carga atual, seleção em outubro, reajuste incluindo esse mês e teste em novembro e dezembro.</w:t>
      </w:r>
    </w:p>
    <w:p>
      <w:pPr/>
      <w:r>
        <w:t>A comparação final utilizou histórico ampliado e a interseção das observações elegíveis para A e B. As verificações de integridade e a exclusão de atributos incompletos preservaram os mesmos registros para os dois cenários. A Tabela 3 apresenta as amostras comuns de seleção, validação, reajuste e teste. Essa organização permite comparar as representações sem confundir seu efeito com diferenças nas observações avaliadas.</w:t>
      </w:r>
    </w:p>
    <w:p>
      <w:pPr>
        <w:pStyle w:val="Caption"/>
      </w:pPr>
      <w:r>
        <w:t>Tabela 3 Amostras da comparação final</w:t>
      </w:r>
    </w:p>
    <w:tbl>
      <w:tblPr>
        <w:tblW w:type="dxa" w:w="9632"/>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3468"/>
        <w:gridCol w:w="4431"/>
        <w:gridCol w:w="1733"/>
      </w:tblGrid>
      <w:tr>
        <w:trPr>
          <w:cantSplit/>
          <w:tblHeader w:val="true"/>
        </w:trPr>
        <w:tc>
          <w:tcPr>
            <w:tcW w:type="dxa" w:w="3468"/>
            <w:vAlign w:val="center"/>
            <w:shd w:fill="F1F1F1" w:val="clear"/>
          </w:tcPr>
          <w:p>
            <w:pPr>
              <w:keepNext/>
              <w:keepLines/>
              <w:widowControl w:val="0"/>
              <w:spacing w:before="0" w:after="0" w:line="252" w:lineRule="auto"/>
              <w:jc w:val="left"/>
            </w:pPr>
            <w:r>
              <w:rPr>
                <w:rFonts w:ascii="Times New Roman" w:hAnsi="Times New Roman"/>
                <w:b/>
                <w:color w:val="000000"/>
                <w:sz w:val="20"/>
              </w:rPr>
              <w:t>Etapa</w:t>
            </w:r>
          </w:p>
        </w:tc>
        <w:tc>
          <w:tcPr>
            <w:tcW w:type="dxa" w:w="4431"/>
            <w:vAlign w:val="center"/>
            <w:shd w:fill="F1F1F1" w:val="clear"/>
          </w:tcPr>
          <w:p>
            <w:pPr>
              <w:keepNext/>
              <w:keepLines/>
              <w:widowControl w:val="0"/>
              <w:spacing w:before="0" w:after="0" w:line="252" w:lineRule="auto"/>
              <w:jc w:val="center"/>
            </w:pPr>
            <w:r>
              <w:rPr>
                <w:rFonts w:ascii="Times New Roman" w:hAnsi="Times New Roman"/>
                <w:b/>
                <w:color w:val="000000"/>
                <w:sz w:val="20"/>
              </w:rPr>
              <w:t>Período ou composição</w:t>
            </w:r>
          </w:p>
        </w:tc>
        <w:tc>
          <w:tcPr>
            <w:tcW w:type="dxa" w:w="1733"/>
            <w:vAlign w:val="center"/>
            <w:shd w:fill="F1F1F1" w:val="clear"/>
          </w:tcPr>
          <w:p>
            <w:pPr>
              <w:keepNext/>
              <w:keepLines/>
              <w:widowControl w:val="0"/>
              <w:spacing w:before="0" w:after="0" w:line="252" w:lineRule="auto"/>
              <w:jc w:val="center"/>
            </w:pPr>
            <w:r>
              <w:rPr>
                <w:rFonts w:ascii="Times New Roman" w:hAnsi="Times New Roman"/>
                <w:b/>
                <w:color w:val="000000"/>
                <w:sz w:val="20"/>
              </w:rPr>
              <w:t>n</w:t>
            </w:r>
          </w:p>
        </w:tc>
      </w:tr>
      <w:tr>
        <w:trPr>
          <w:cantSplit/>
        </w:trPr>
        <w:tc>
          <w:tcPr>
            <w:tcW w:type="dxa" w:w="3468"/>
            <w:vAlign w:val="center"/>
          </w:tcPr>
          <w:p>
            <w:pPr>
              <w:keepNext w:val="0"/>
              <w:keepLines/>
              <w:widowControl w:val="0"/>
              <w:spacing w:before="0" w:after="0" w:line="252" w:lineRule="auto"/>
              <w:jc w:val="left"/>
            </w:pPr>
            <w:r>
              <w:rPr>
                <w:rFonts w:ascii="Times New Roman" w:hAnsi="Times New Roman"/>
                <w:b w:val="0"/>
                <w:color w:val="000000"/>
                <w:sz w:val="20"/>
              </w:rPr>
              <w:t>Histórico comum</w:t>
            </w:r>
          </w:p>
        </w:tc>
        <w:tc>
          <w:tcPr>
            <w:tcW w:type="dxa" w:w="4431"/>
            <w:vAlign w:val="center"/>
          </w:tcPr>
          <w:p>
            <w:pPr>
              <w:keepNext w:val="0"/>
              <w:keepLines/>
              <w:widowControl w:val="0"/>
              <w:spacing w:before="0" w:after="0" w:line="252" w:lineRule="auto"/>
              <w:jc w:val="left"/>
            </w:pPr>
            <w:r>
              <w:rPr>
                <w:rFonts w:ascii="Times New Roman" w:hAnsi="Times New Roman"/>
                <w:b w:val="0"/>
                <w:color w:val="000000"/>
                <w:sz w:val="20"/>
              </w:rPr>
              <w:t>2011 a 2022</w:t>
            </w:r>
          </w:p>
        </w:tc>
        <w:tc>
          <w:tcPr>
            <w:tcW w:type="dxa" w:w="1733"/>
            <w:vAlign w:val="center"/>
          </w:tcPr>
          <w:p>
            <w:pPr>
              <w:keepNext w:val="0"/>
              <w:keepLines/>
              <w:widowControl w:val="0"/>
              <w:spacing w:before="0" w:after="0" w:line="252" w:lineRule="auto"/>
              <w:jc w:val="center"/>
            </w:pPr>
            <w:r>
              <w:rPr>
                <w:rFonts w:ascii="Times New Roman" w:hAnsi="Times New Roman"/>
                <w:b w:val="0"/>
                <w:color w:val="000000"/>
                <w:sz w:val="20"/>
              </w:rPr>
              <w:t>83.581</w:t>
            </w:r>
          </w:p>
        </w:tc>
      </w:tr>
      <w:tr>
        <w:trPr>
          <w:cantSplit/>
        </w:trPr>
        <w:tc>
          <w:tcPr>
            <w:tcW w:type="dxa" w:w="3468"/>
            <w:vAlign w:val="center"/>
          </w:tcPr>
          <w:p>
            <w:pPr>
              <w:keepNext w:val="0"/>
              <w:keepLines/>
              <w:widowControl w:val="0"/>
              <w:spacing w:before="0" w:after="0" w:line="252" w:lineRule="auto"/>
              <w:jc w:val="left"/>
            </w:pPr>
            <w:r>
              <w:rPr>
                <w:rFonts w:ascii="Times New Roman" w:hAnsi="Times New Roman"/>
                <w:b w:val="0"/>
                <w:color w:val="000000"/>
                <w:sz w:val="20"/>
              </w:rPr>
              <w:t>Dados recentes de seleção</w:t>
            </w:r>
          </w:p>
        </w:tc>
        <w:tc>
          <w:tcPr>
            <w:tcW w:type="dxa" w:w="4431"/>
            <w:vAlign w:val="center"/>
          </w:tcPr>
          <w:p>
            <w:pPr>
              <w:keepNext w:val="0"/>
              <w:keepLines/>
              <w:widowControl w:val="0"/>
              <w:spacing w:before="0" w:after="0" w:line="252" w:lineRule="auto"/>
              <w:jc w:val="left"/>
            </w:pPr>
            <w:r>
              <w:rPr>
                <w:rFonts w:ascii="Times New Roman" w:hAnsi="Times New Roman"/>
                <w:b w:val="0"/>
                <w:color w:val="000000"/>
                <w:sz w:val="20"/>
              </w:rPr>
              <w:t>Janeiro a setembro de 2025</w:t>
            </w:r>
          </w:p>
        </w:tc>
        <w:tc>
          <w:tcPr>
            <w:tcW w:type="dxa" w:w="1733"/>
            <w:vAlign w:val="center"/>
          </w:tcPr>
          <w:p>
            <w:pPr>
              <w:keepNext w:val="0"/>
              <w:keepLines/>
              <w:widowControl w:val="0"/>
              <w:spacing w:before="0" w:after="0" w:line="252" w:lineRule="auto"/>
              <w:jc w:val="center"/>
            </w:pPr>
            <w:r>
              <w:rPr>
                <w:rFonts w:ascii="Times New Roman" w:hAnsi="Times New Roman"/>
                <w:b w:val="0"/>
                <w:color w:val="000000"/>
                <w:sz w:val="20"/>
              </w:rPr>
              <w:t>4.894</w:t>
            </w:r>
          </w:p>
        </w:tc>
      </w:tr>
      <w:tr>
        <w:trPr>
          <w:cantSplit/>
        </w:trPr>
        <w:tc>
          <w:tcPr>
            <w:tcW w:type="dxa" w:w="3468"/>
            <w:vAlign w:val="center"/>
          </w:tcPr>
          <w:p>
            <w:pPr>
              <w:keepNext w:val="0"/>
              <w:keepLines/>
              <w:widowControl w:val="0"/>
              <w:spacing w:before="0" w:after="0" w:line="252" w:lineRule="auto"/>
              <w:jc w:val="left"/>
            </w:pPr>
            <w:r>
              <w:rPr>
                <w:rFonts w:ascii="Times New Roman" w:hAnsi="Times New Roman"/>
                <w:b w:val="0"/>
                <w:color w:val="000000"/>
                <w:sz w:val="20"/>
              </w:rPr>
              <w:t>Treinamento para seleção</w:t>
            </w:r>
          </w:p>
        </w:tc>
        <w:tc>
          <w:tcPr>
            <w:tcW w:type="dxa" w:w="4431"/>
            <w:vAlign w:val="center"/>
          </w:tcPr>
          <w:p>
            <w:pPr>
              <w:keepNext w:val="0"/>
              <w:keepLines/>
              <w:widowControl w:val="0"/>
              <w:spacing w:before="0" w:after="0" w:line="252" w:lineRule="auto"/>
              <w:jc w:val="left"/>
            </w:pPr>
            <w:r>
              <w:rPr>
                <w:rFonts w:ascii="Times New Roman" w:hAnsi="Times New Roman"/>
                <w:b w:val="0"/>
                <w:color w:val="000000"/>
                <w:sz w:val="20"/>
              </w:rPr>
              <w:t>Histórico + janeiro a setembro</w:t>
            </w:r>
          </w:p>
        </w:tc>
        <w:tc>
          <w:tcPr>
            <w:tcW w:type="dxa" w:w="1733"/>
            <w:vAlign w:val="center"/>
          </w:tcPr>
          <w:p>
            <w:pPr>
              <w:keepNext w:val="0"/>
              <w:keepLines/>
              <w:widowControl w:val="0"/>
              <w:spacing w:before="0" w:after="0" w:line="252" w:lineRule="auto"/>
              <w:jc w:val="center"/>
            </w:pPr>
            <w:r>
              <w:rPr>
                <w:rFonts w:ascii="Times New Roman" w:hAnsi="Times New Roman"/>
                <w:b w:val="0"/>
                <w:color w:val="000000"/>
                <w:sz w:val="20"/>
              </w:rPr>
              <w:t>88.475</w:t>
            </w:r>
          </w:p>
        </w:tc>
      </w:tr>
      <w:tr>
        <w:trPr>
          <w:cantSplit/>
        </w:trPr>
        <w:tc>
          <w:tcPr>
            <w:tcW w:type="dxa" w:w="3468"/>
            <w:vAlign w:val="center"/>
          </w:tcPr>
          <w:p>
            <w:pPr>
              <w:keepNext w:val="0"/>
              <w:keepLines/>
              <w:widowControl w:val="0"/>
              <w:spacing w:before="0" w:after="0" w:line="252" w:lineRule="auto"/>
              <w:jc w:val="left"/>
            </w:pPr>
            <w:r>
              <w:rPr>
                <w:rFonts w:ascii="Times New Roman" w:hAnsi="Times New Roman"/>
                <w:b w:val="0"/>
                <w:color w:val="000000"/>
                <w:sz w:val="20"/>
              </w:rPr>
              <w:t>Validação</w:t>
            </w:r>
          </w:p>
        </w:tc>
        <w:tc>
          <w:tcPr>
            <w:tcW w:type="dxa" w:w="4431"/>
            <w:vAlign w:val="center"/>
          </w:tcPr>
          <w:p>
            <w:pPr>
              <w:keepNext w:val="0"/>
              <w:keepLines/>
              <w:widowControl w:val="0"/>
              <w:spacing w:before="0" w:after="0" w:line="252" w:lineRule="auto"/>
              <w:jc w:val="left"/>
            </w:pPr>
            <w:r>
              <w:rPr>
                <w:rFonts w:ascii="Times New Roman" w:hAnsi="Times New Roman"/>
                <w:b w:val="0"/>
                <w:color w:val="000000"/>
                <w:sz w:val="20"/>
              </w:rPr>
              <w:t>Outubro de 2025</w:t>
            </w:r>
          </w:p>
        </w:tc>
        <w:tc>
          <w:tcPr>
            <w:tcW w:type="dxa" w:w="1733"/>
            <w:vAlign w:val="center"/>
          </w:tcPr>
          <w:p>
            <w:pPr>
              <w:keepNext w:val="0"/>
              <w:keepLines/>
              <w:widowControl w:val="0"/>
              <w:spacing w:before="0" w:after="0" w:line="252" w:lineRule="auto"/>
              <w:jc w:val="center"/>
            </w:pPr>
            <w:r>
              <w:rPr>
                <w:rFonts w:ascii="Times New Roman" w:hAnsi="Times New Roman"/>
                <w:b w:val="0"/>
                <w:color w:val="000000"/>
                <w:sz w:val="20"/>
              </w:rPr>
              <w:t>211</w:t>
            </w:r>
          </w:p>
        </w:tc>
      </w:tr>
      <w:tr>
        <w:trPr>
          <w:cantSplit/>
        </w:trPr>
        <w:tc>
          <w:tcPr>
            <w:tcW w:type="dxa" w:w="3468"/>
            <w:vAlign w:val="center"/>
          </w:tcPr>
          <w:p>
            <w:pPr>
              <w:keepNext w:val="0"/>
              <w:keepLines/>
              <w:widowControl w:val="0"/>
              <w:spacing w:before="0" w:after="0" w:line="252" w:lineRule="auto"/>
              <w:jc w:val="left"/>
            </w:pPr>
            <w:r>
              <w:rPr>
                <w:rFonts w:ascii="Times New Roman" w:hAnsi="Times New Roman"/>
                <w:b w:val="0"/>
                <w:color w:val="000000"/>
                <w:sz w:val="20"/>
              </w:rPr>
              <w:t>Reajuste final</w:t>
            </w:r>
          </w:p>
        </w:tc>
        <w:tc>
          <w:tcPr>
            <w:tcW w:type="dxa" w:w="4431"/>
            <w:vAlign w:val="center"/>
          </w:tcPr>
          <w:p>
            <w:pPr>
              <w:keepNext w:val="0"/>
              <w:keepLines/>
              <w:widowControl w:val="0"/>
              <w:spacing w:before="0" w:after="0" w:line="252" w:lineRule="auto"/>
              <w:jc w:val="left"/>
            </w:pPr>
            <w:r>
              <w:rPr>
                <w:rFonts w:ascii="Times New Roman" w:hAnsi="Times New Roman"/>
                <w:b w:val="0"/>
                <w:color w:val="000000"/>
                <w:sz w:val="20"/>
              </w:rPr>
              <w:t>Histórico + janeiro a outubro</w:t>
            </w:r>
          </w:p>
        </w:tc>
        <w:tc>
          <w:tcPr>
            <w:tcW w:type="dxa" w:w="1733"/>
            <w:vAlign w:val="center"/>
          </w:tcPr>
          <w:p>
            <w:pPr>
              <w:keepNext w:val="0"/>
              <w:keepLines/>
              <w:widowControl w:val="0"/>
              <w:spacing w:before="0" w:after="0" w:line="252" w:lineRule="auto"/>
              <w:jc w:val="center"/>
            </w:pPr>
            <w:r>
              <w:rPr>
                <w:rFonts w:ascii="Times New Roman" w:hAnsi="Times New Roman"/>
                <w:b w:val="0"/>
                <w:color w:val="000000"/>
                <w:sz w:val="20"/>
              </w:rPr>
              <w:t>88.686</w:t>
            </w:r>
          </w:p>
        </w:tc>
      </w:tr>
      <w:tr>
        <w:trPr>
          <w:cantSplit/>
        </w:trPr>
        <w:tc>
          <w:tcPr>
            <w:tcW w:type="dxa" w:w="3468"/>
            <w:vAlign w:val="center"/>
          </w:tcPr>
          <w:p>
            <w:pPr>
              <w:keepNext/>
              <w:keepLines/>
              <w:widowControl w:val="0"/>
              <w:spacing w:before="0" w:after="0" w:line="252" w:lineRule="auto"/>
              <w:jc w:val="left"/>
            </w:pPr>
            <w:r>
              <w:rPr>
                <w:rFonts w:ascii="Times New Roman" w:hAnsi="Times New Roman"/>
                <w:b w:val="0"/>
                <w:color w:val="000000"/>
                <w:sz w:val="20"/>
              </w:rPr>
              <w:t>Teste pareado</w:t>
            </w:r>
          </w:p>
        </w:tc>
        <w:tc>
          <w:tcPr>
            <w:tcW w:type="dxa" w:w="4431"/>
            <w:vAlign w:val="center"/>
          </w:tcPr>
          <w:p>
            <w:pPr>
              <w:keepNext/>
              <w:keepLines/>
              <w:widowControl w:val="0"/>
              <w:spacing w:before="0" w:after="0" w:line="252" w:lineRule="auto"/>
              <w:jc w:val="left"/>
            </w:pPr>
            <w:r>
              <w:rPr>
                <w:rFonts w:ascii="Times New Roman" w:hAnsi="Times New Roman"/>
                <w:b w:val="0"/>
                <w:color w:val="000000"/>
                <w:sz w:val="20"/>
              </w:rPr>
              <w:t>Novembro a dezembro de 2025</w:t>
            </w:r>
          </w:p>
        </w:tc>
        <w:tc>
          <w:tcPr>
            <w:tcW w:type="dxa" w:w="1733"/>
            <w:vAlign w:val="center"/>
          </w:tcPr>
          <w:p>
            <w:pPr>
              <w:keepNext/>
              <w:keepLines/>
              <w:widowControl w:val="0"/>
              <w:spacing w:before="0" w:after="0" w:line="252" w:lineRule="auto"/>
              <w:jc w:val="center"/>
            </w:pPr>
            <w:r>
              <w:rPr>
                <w:rFonts w:ascii="Times New Roman" w:hAnsi="Times New Roman"/>
                <w:b w:val="0"/>
                <w:color w:val="000000"/>
                <w:sz w:val="20"/>
              </w:rPr>
              <w:t>1.144</w:t>
            </w:r>
          </w:p>
        </w:tc>
      </w:tr>
    </w:tbl>
    <w:p>
      <w:pPr>
        <w:pStyle w:val="ArticleNote"/>
      </w:pPr>
      <w:r>
        <w:t>Os conjuntos A e B compartilham as mesmas observações em cada etapa. O teste permaneceu fora do ajuste, embora tenha sido examinado em etapas anteriores do projeto.</w:t>
      </w:r>
    </w:p>
    <w:p>
      <w:pPr/>
      <w:r>
        <w:t>Mantidos os parâmetros estruturais do XGBoost de referência, o número de árvores foi escolhido separadamente pelo RMSE de outubro. Os modelos foram então reajustados na mesma amostra, com os números selecionados fixados. Assim, a comparação preserva amostra e procedimento de seleção comuns, admitindo complexidades finais distintas.</w:t>
      </w:r>
    </w:p>
    <w:p>
      <w:pPr>
        <w:pStyle w:val="Heading2"/>
        <w:pageBreakBefore w:val="0"/>
      </w:pPr>
      <w:r>
        <w:t>Métricas e interpretação</w:t>
      </w:r>
    </w:p>
    <w:p>
      <w:pPr/>
      <w:r>
        <w:t>O desempenho foi avaliado principalmente por MAE, RMSE e R², com mediana do erro absoluto, NMAE e viés como medidas complementares. MAE e RMSE correspondem às medidas discutidas por Hyndman e Koehler (2006); o cálculo de R² segue a documentação do Scikit-learn (2025). As equações e convenções adotadas estão reunidas no Apêndice A. As métricas absolutas foram expressas na unidade do alvo; o NMAE utilizou a média observada como denominador. O viés foi calculado como observado menos estimado, de modo que valores negativos indicam superestimação média.</w:t>
      </w:r>
    </w:p>
    <w:p>
      <w:pPr/>
      <w:r>
        <w:t>A comparação pareada considerou tanto a magnitude da diferença de erro entre A e B quanto a proporção de horas em que B apresentou menor erro absoluto. Essa leitura distingue melhorias frequentes e pequenas de pioras menos frequentes, porém maiores.</w:t>
      </w:r>
    </w:p>
    <w:p>
      <w:pPr/>
      <w:r>
        <w:t>A análise por contexto distinguiu as primeiras seis horas ON após a partida e as rampas intensas, definidas pelo percentil 90 da variação absoluta de carga no treinamento. Os grupos podem se sobrepor e as demais horas correspondem ao complemento de sua união. Como a distribuição do treinamento variou entre etapas, os limiares e a composição das rampas também mudaram. As definições completas estão no Apêndice A.</w:t>
      </w:r>
    </w:p>
    <w:p>
      <w:pPr/>
      <w:r>
        <w:t>Os resultados principais são descritivos e utilizam uma semente por configuração. O complemento 03A.05B compara perdas pareadas, seguindo a formulação de Diebold e Mariano (1994), sem executar um teste DM/HAC. Para examinar a sensibilidade à dependência temporal, reamostram-se blocos não sobrepostos de 1, 3 e 7 dias de calendário, ancorados em 1º de novembro de 2025, com 10.000 réplicas e semente 42. A adaptação utiliza o princípio de blocos para observações dependentes (Künsch, 1989), sem assumir suas garantias automaticamente. Preservam-se as horas sem observações elegíveis e o último bloco parcial; cada réplica usa a razão entre somas das diferenças de perda e contagens ON. Os percentis 2,5 e 97,5 são limites exploratórios, condicionais aos modelos salvos, sem cobertura nominal demonstrada. Não são intervalos de previsão nem incorporam a variabilidade do treinamento. A consulta ao teste em diferentes etapas impede tratá-lo como avaliação inteiramente independente da seleção. O protocolo e a sensibilidade estão no Apêndice D.</w:t>
      </w:r>
    </w:p>
    <w:p>
      <w:pPr>
        <w:pStyle w:val="Heading1"/>
        <w:pageBreakBefore w:val="0"/>
      </w:pPr>
      <w:r>
        <w:t>4 Resultados</w:t>
      </w:r>
    </w:p>
    <w:p>
      <w:pPr>
        <w:pStyle w:val="Heading2"/>
        <w:pageBreakBefore w:val="0"/>
      </w:pPr>
      <w:r>
        <w:t>Representação operacional e modelos iniciais</w:t>
      </w:r>
    </w:p>
    <w:p>
      <w:pPr/>
      <w:r>
        <w:t>A PCA exigiu cinco dos sete componentes para superar 90% da variância explicada. Um autovalor próximo de zero foi compatível com a dependência algébrica entre carga atual, carga defasada e sua diferença. Esse diagnóstico confirmou redundâncias entre os atributos, preservados em sua forma original nos modelos.</w:t>
      </w:r>
    </w:p>
    <w:p>
      <w:pPr>
        <w:pStyle w:val="Caption"/>
      </w:pPr>
      <w:r>
        <w:t>Tabela 4 Desempenho dos modelos iniciais no teste de 2025</w:t>
      </w:r>
    </w:p>
    <w:tbl>
      <w:tblPr>
        <w:tblW w:type="dxa" w:w="9632"/>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408"/>
        <w:gridCol w:w="2504"/>
        <w:gridCol w:w="1637"/>
        <w:gridCol w:w="1637"/>
        <w:gridCol w:w="1446"/>
      </w:tblGrid>
      <w:tr>
        <w:trPr>
          <w:cantSplit/>
          <w:tblHeader w:val="true"/>
        </w:trPr>
        <w:tc>
          <w:tcPr>
            <w:tcW w:type="dxa" w:w="2408"/>
            <w:vAlign w:val="center"/>
            <w:shd w:fill="F1F1F1" w:val="clear"/>
          </w:tcPr>
          <w:p>
            <w:pPr>
              <w:keepNext/>
              <w:keepLines/>
              <w:widowControl w:val="0"/>
              <w:spacing w:before="0" w:after="0" w:line="252" w:lineRule="auto"/>
              <w:jc w:val="left"/>
            </w:pPr>
            <w:r>
              <w:rPr>
                <w:rFonts w:ascii="Times New Roman" w:hAnsi="Times New Roman"/>
                <w:b/>
                <w:color w:val="000000"/>
                <w:sz w:val="20"/>
              </w:rPr>
              <w:t>Modelo</w:t>
            </w:r>
          </w:p>
        </w:tc>
        <w:tc>
          <w:tcPr>
            <w:tcW w:type="dxa" w:w="2504"/>
            <w:vAlign w:val="center"/>
            <w:shd w:fill="F1F1F1" w:val="clear"/>
          </w:tcPr>
          <w:p>
            <w:pPr>
              <w:keepNext/>
              <w:keepLines/>
              <w:widowControl w:val="0"/>
              <w:spacing w:before="0" w:after="0" w:line="252" w:lineRule="auto"/>
              <w:jc w:val="center"/>
            </w:pPr>
            <w:r>
              <w:rPr>
                <w:rFonts w:ascii="Times New Roman" w:hAnsi="Times New Roman"/>
                <w:b/>
                <w:color w:val="000000"/>
                <w:sz w:val="20"/>
              </w:rPr>
              <w:t>Cenário</w:t>
            </w:r>
          </w:p>
        </w:tc>
        <w:tc>
          <w:tcPr>
            <w:tcW w:type="dxa" w:w="1637"/>
            <w:vAlign w:val="center"/>
            <w:shd w:fill="F1F1F1" w:val="clear"/>
          </w:tcPr>
          <w:p>
            <w:pPr>
              <w:keepNext/>
              <w:keepLines/>
              <w:widowControl w:val="0"/>
              <w:spacing w:before="0" w:after="0" w:line="252" w:lineRule="auto"/>
              <w:jc w:val="center"/>
            </w:pPr>
            <w:r>
              <w:rPr>
                <w:rFonts w:ascii="Times New Roman" w:hAnsi="Times New Roman"/>
                <w:b/>
                <w:color w:val="000000"/>
                <w:sz w:val="20"/>
              </w:rPr>
              <w:t>MAE</w:t>
            </w:r>
          </w:p>
        </w:tc>
        <w:tc>
          <w:tcPr>
            <w:tcW w:type="dxa" w:w="1637"/>
            <w:vAlign w:val="center"/>
            <w:shd w:fill="F1F1F1" w:val="clear"/>
          </w:tcPr>
          <w:p>
            <w:pPr>
              <w:keepNext/>
              <w:keepLines/>
              <w:widowControl w:val="0"/>
              <w:spacing w:before="0" w:after="0" w:line="252" w:lineRule="auto"/>
              <w:jc w:val="center"/>
            </w:pPr>
            <w:r>
              <w:rPr>
                <w:rFonts w:ascii="Times New Roman" w:hAnsi="Times New Roman"/>
                <w:b/>
                <w:color w:val="000000"/>
                <w:sz w:val="20"/>
              </w:rPr>
              <w:t>RMSE</w:t>
            </w:r>
          </w:p>
        </w:tc>
        <w:tc>
          <w:tcPr>
            <w:tcW w:type="dxa" w:w="1446"/>
            <w:vAlign w:val="center"/>
            <w:shd w:fill="F1F1F1" w:val="clear"/>
          </w:tcPr>
          <w:p>
            <w:pPr>
              <w:keepNext/>
              <w:keepLines/>
              <w:widowControl w:val="0"/>
              <w:spacing w:before="0" w:after="0" w:line="252" w:lineRule="auto"/>
              <w:jc w:val="center"/>
            </w:pPr>
            <w:r>
              <w:rPr>
                <w:rFonts w:ascii="Times New Roman" w:hAnsi="Times New Roman"/>
                <w:b/>
                <w:color w:val="000000"/>
                <w:sz w:val="20"/>
              </w:rPr>
              <w:t>R²</w:t>
            </w:r>
          </w:p>
        </w:tc>
      </w:tr>
      <w:tr>
        <w:trPr>
          <w:cantSplit/>
        </w:trPr>
        <w:tc>
          <w:tcPr>
            <w:tcW w:type="dxa" w:w="2408"/>
            <w:vAlign w:val="center"/>
          </w:tcPr>
          <w:p>
            <w:pPr>
              <w:keepNext w:val="0"/>
              <w:keepLines/>
              <w:widowControl w:val="0"/>
              <w:spacing w:before="0" w:after="0" w:line="252" w:lineRule="auto"/>
              <w:jc w:val="left"/>
            </w:pPr>
            <w:r>
              <w:rPr>
                <w:rFonts w:ascii="Times New Roman" w:hAnsi="Times New Roman"/>
                <w:b w:val="0"/>
                <w:color w:val="000000"/>
                <w:sz w:val="20"/>
              </w:rPr>
              <w:t>MLP</w:t>
            </w:r>
          </w:p>
        </w:tc>
        <w:tc>
          <w:tcPr>
            <w:tcW w:type="dxa" w:w="2504"/>
            <w:vAlign w:val="center"/>
          </w:tcPr>
          <w:p>
            <w:pPr>
              <w:keepNext w:val="0"/>
              <w:keepLines/>
              <w:widowControl w:val="0"/>
              <w:spacing w:before="0" w:after="0" w:line="252" w:lineRule="auto"/>
              <w:jc w:val="left"/>
            </w:pPr>
            <w:r>
              <w:rPr>
                <w:rFonts w:ascii="Times New Roman" w:hAnsi="Times New Roman"/>
                <w:b w:val="0"/>
                <w:color w:val="000000"/>
                <w:sz w:val="20"/>
              </w:rPr>
              <w:t>A  carga atual</w:t>
            </w:r>
          </w:p>
        </w:tc>
        <w:tc>
          <w:tcPr>
            <w:tcW w:type="dxa" w:w="1637"/>
            <w:vAlign w:val="center"/>
          </w:tcPr>
          <w:p>
            <w:pPr>
              <w:keepNext w:val="0"/>
              <w:keepLines/>
              <w:widowControl w:val="0"/>
              <w:spacing w:before="0" w:after="0" w:line="252" w:lineRule="auto"/>
              <w:jc w:val="center"/>
            </w:pPr>
            <w:r>
              <w:rPr>
                <w:rFonts w:ascii="Times New Roman" w:hAnsi="Times New Roman"/>
                <w:b w:val="0"/>
                <w:color w:val="000000"/>
                <w:sz w:val="20"/>
              </w:rPr>
              <w:t>67,2508</w:t>
            </w:r>
          </w:p>
        </w:tc>
        <w:tc>
          <w:tcPr>
            <w:tcW w:type="dxa" w:w="1637"/>
            <w:vAlign w:val="center"/>
          </w:tcPr>
          <w:p>
            <w:pPr>
              <w:keepNext w:val="0"/>
              <w:keepLines/>
              <w:widowControl w:val="0"/>
              <w:spacing w:before="0" w:after="0" w:line="252" w:lineRule="auto"/>
              <w:jc w:val="center"/>
            </w:pPr>
            <w:r>
              <w:rPr>
                <w:rFonts w:ascii="Times New Roman" w:hAnsi="Times New Roman"/>
                <w:b w:val="0"/>
                <w:color w:val="000000"/>
                <w:sz w:val="20"/>
              </w:rPr>
              <w:t>70,9010</w:t>
            </w:r>
          </w:p>
        </w:tc>
        <w:tc>
          <w:tcPr>
            <w:tcW w:type="dxa" w:w="1446"/>
            <w:vAlign w:val="center"/>
          </w:tcPr>
          <w:p>
            <w:pPr>
              <w:keepNext w:val="0"/>
              <w:keepLines/>
              <w:widowControl w:val="0"/>
              <w:spacing w:before="0" w:after="0" w:line="252" w:lineRule="auto"/>
              <w:jc w:val="center"/>
            </w:pPr>
            <w:r>
              <w:rPr>
                <w:rFonts w:ascii="Times New Roman" w:hAnsi="Times New Roman"/>
                <w:b w:val="0"/>
                <w:color w:val="000000"/>
                <w:sz w:val="20"/>
              </w:rPr>
              <w:t>0,8779</w:t>
            </w:r>
          </w:p>
        </w:tc>
      </w:tr>
      <w:tr>
        <w:trPr>
          <w:cantSplit/>
        </w:trPr>
        <w:tc>
          <w:tcPr>
            <w:tcW w:type="dxa" w:w="2408"/>
            <w:vAlign w:val="center"/>
          </w:tcPr>
          <w:p>
            <w:pPr>
              <w:keepNext w:val="0"/>
              <w:keepLines/>
              <w:widowControl w:val="0"/>
              <w:spacing w:before="0" w:after="0" w:line="252" w:lineRule="auto"/>
              <w:jc w:val="left"/>
            </w:pPr>
            <w:r>
              <w:rPr>
                <w:rFonts w:ascii="Times New Roman" w:hAnsi="Times New Roman"/>
                <w:b w:val="0"/>
                <w:color w:val="000000"/>
                <w:sz w:val="20"/>
              </w:rPr>
              <w:t>MLP</w:t>
            </w:r>
          </w:p>
        </w:tc>
        <w:tc>
          <w:tcPr>
            <w:tcW w:type="dxa" w:w="2504"/>
            <w:vAlign w:val="center"/>
          </w:tcPr>
          <w:p>
            <w:pPr>
              <w:keepNext w:val="0"/>
              <w:keepLines/>
              <w:widowControl w:val="0"/>
              <w:spacing w:before="0" w:after="0" w:line="252" w:lineRule="auto"/>
              <w:jc w:val="left"/>
            </w:pPr>
            <w:r>
              <w:rPr>
                <w:rFonts w:ascii="Times New Roman" w:hAnsi="Times New Roman"/>
                <w:b w:val="0"/>
                <w:color w:val="000000"/>
                <w:sz w:val="20"/>
              </w:rPr>
              <w:t>B  7 atributos</w:t>
            </w:r>
          </w:p>
        </w:tc>
        <w:tc>
          <w:tcPr>
            <w:tcW w:type="dxa" w:w="1637"/>
            <w:vAlign w:val="center"/>
          </w:tcPr>
          <w:p>
            <w:pPr>
              <w:keepNext w:val="0"/>
              <w:keepLines/>
              <w:widowControl w:val="0"/>
              <w:spacing w:before="0" w:after="0" w:line="252" w:lineRule="auto"/>
              <w:jc w:val="center"/>
            </w:pPr>
            <w:r>
              <w:rPr>
                <w:rFonts w:ascii="Times New Roman" w:hAnsi="Times New Roman"/>
                <w:b w:val="0"/>
                <w:color w:val="000000"/>
                <w:sz w:val="20"/>
              </w:rPr>
              <w:t>61,6102</w:t>
            </w:r>
          </w:p>
        </w:tc>
        <w:tc>
          <w:tcPr>
            <w:tcW w:type="dxa" w:w="1637"/>
            <w:vAlign w:val="center"/>
          </w:tcPr>
          <w:p>
            <w:pPr>
              <w:keepNext w:val="0"/>
              <w:keepLines/>
              <w:widowControl w:val="0"/>
              <w:spacing w:before="0" w:after="0" w:line="252" w:lineRule="auto"/>
              <w:jc w:val="center"/>
            </w:pPr>
            <w:r>
              <w:rPr>
                <w:rFonts w:ascii="Times New Roman" w:hAnsi="Times New Roman"/>
                <w:b w:val="0"/>
                <w:color w:val="000000"/>
                <w:sz w:val="20"/>
              </w:rPr>
              <w:t>67,0401</w:t>
            </w:r>
          </w:p>
        </w:tc>
        <w:tc>
          <w:tcPr>
            <w:tcW w:type="dxa" w:w="1446"/>
            <w:vAlign w:val="center"/>
          </w:tcPr>
          <w:p>
            <w:pPr>
              <w:keepNext w:val="0"/>
              <w:keepLines/>
              <w:widowControl w:val="0"/>
              <w:spacing w:before="0" w:after="0" w:line="252" w:lineRule="auto"/>
              <w:jc w:val="center"/>
            </w:pPr>
            <w:r>
              <w:rPr>
                <w:rFonts w:ascii="Times New Roman" w:hAnsi="Times New Roman"/>
                <w:b w:val="0"/>
                <w:color w:val="000000"/>
                <w:sz w:val="20"/>
              </w:rPr>
              <w:t>0,8908</w:t>
            </w:r>
          </w:p>
        </w:tc>
      </w:tr>
      <w:tr>
        <w:trPr>
          <w:cantSplit/>
        </w:trPr>
        <w:tc>
          <w:tcPr>
            <w:tcW w:type="dxa" w:w="2408"/>
            <w:vAlign w:val="center"/>
          </w:tcPr>
          <w:p>
            <w:pPr>
              <w:keepNext w:val="0"/>
              <w:keepLines/>
              <w:widowControl w:val="0"/>
              <w:spacing w:before="0" w:after="0" w:line="252" w:lineRule="auto"/>
              <w:jc w:val="left"/>
            </w:pPr>
            <w:r>
              <w:rPr>
                <w:rFonts w:ascii="Times New Roman" w:hAnsi="Times New Roman"/>
                <w:b w:val="0"/>
                <w:color w:val="000000"/>
                <w:sz w:val="20"/>
              </w:rPr>
              <w:t>MLP</w:t>
            </w:r>
          </w:p>
        </w:tc>
        <w:tc>
          <w:tcPr>
            <w:tcW w:type="dxa" w:w="2504"/>
            <w:vAlign w:val="center"/>
          </w:tcPr>
          <w:p>
            <w:pPr>
              <w:keepNext w:val="0"/>
              <w:keepLines/>
              <w:widowControl w:val="0"/>
              <w:spacing w:before="0" w:after="0" w:line="252" w:lineRule="auto"/>
              <w:jc w:val="left"/>
            </w:pPr>
            <w:r>
              <w:rPr>
                <w:rFonts w:ascii="Times New Roman" w:hAnsi="Times New Roman"/>
                <w:b w:val="0"/>
                <w:color w:val="000000"/>
                <w:sz w:val="20"/>
              </w:rPr>
              <w:t>C  24 atributos</w:t>
            </w:r>
          </w:p>
        </w:tc>
        <w:tc>
          <w:tcPr>
            <w:tcW w:type="dxa" w:w="1637"/>
            <w:vAlign w:val="center"/>
          </w:tcPr>
          <w:p>
            <w:pPr>
              <w:keepNext w:val="0"/>
              <w:keepLines/>
              <w:widowControl w:val="0"/>
              <w:spacing w:before="0" w:after="0" w:line="252" w:lineRule="auto"/>
              <w:jc w:val="center"/>
            </w:pPr>
            <w:r>
              <w:rPr>
                <w:rFonts w:ascii="Times New Roman" w:hAnsi="Times New Roman"/>
                <w:b w:val="0"/>
                <w:color w:val="000000"/>
                <w:sz w:val="20"/>
              </w:rPr>
              <w:t>62,6466</w:t>
            </w:r>
          </w:p>
        </w:tc>
        <w:tc>
          <w:tcPr>
            <w:tcW w:type="dxa" w:w="1637"/>
            <w:vAlign w:val="center"/>
          </w:tcPr>
          <w:p>
            <w:pPr>
              <w:keepNext w:val="0"/>
              <w:keepLines/>
              <w:widowControl w:val="0"/>
              <w:spacing w:before="0" w:after="0" w:line="252" w:lineRule="auto"/>
              <w:jc w:val="center"/>
            </w:pPr>
            <w:r>
              <w:rPr>
                <w:rFonts w:ascii="Times New Roman" w:hAnsi="Times New Roman"/>
                <w:b w:val="0"/>
                <w:color w:val="000000"/>
                <w:sz w:val="20"/>
              </w:rPr>
              <w:t>66,9842</w:t>
            </w:r>
          </w:p>
        </w:tc>
        <w:tc>
          <w:tcPr>
            <w:tcW w:type="dxa" w:w="1446"/>
            <w:vAlign w:val="center"/>
          </w:tcPr>
          <w:p>
            <w:pPr>
              <w:keepNext w:val="0"/>
              <w:keepLines/>
              <w:widowControl w:val="0"/>
              <w:spacing w:before="0" w:after="0" w:line="252" w:lineRule="auto"/>
              <w:jc w:val="center"/>
            </w:pPr>
            <w:r>
              <w:rPr>
                <w:rFonts w:ascii="Times New Roman" w:hAnsi="Times New Roman"/>
                <w:b w:val="0"/>
                <w:color w:val="000000"/>
                <w:sz w:val="20"/>
              </w:rPr>
              <w:t>0,8910</w:t>
            </w:r>
          </w:p>
        </w:tc>
      </w:tr>
      <w:tr>
        <w:trPr>
          <w:cantSplit/>
        </w:trPr>
        <w:tc>
          <w:tcPr>
            <w:tcW w:type="dxa" w:w="2408"/>
            <w:vAlign w:val="center"/>
          </w:tcPr>
          <w:p>
            <w:pPr>
              <w:keepNext w:val="0"/>
              <w:keepLines/>
              <w:widowControl w:val="0"/>
              <w:spacing w:before="0" w:after="0" w:line="252" w:lineRule="auto"/>
              <w:jc w:val="left"/>
            </w:pPr>
            <w:r>
              <w:rPr>
                <w:rFonts w:ascii="Times New Roman" w:hAnsi="Times New Roman"/>
                <w:b w:val="0"/>
                <w:color w:val="000000"/>
                <w:sz w:val="20"/>
              </w:rPr>
              <w:t>XGBoost 03A.02</w:t>
            </w:r>
          </w:p>
        </w:tc>
        <w:tc>
          <w:tcPr>
            <w:tcW w:type="dxa" w:w="2504"/>
            <w:vAlign w:val="center"/>
          </w:tcPr>
          <w:p>
            <w:pPr>
              <w:keepNext w:val="0"/>
              <w:keepLines/>
              <w:widowControl w:val="0"/>
              <w:spacing w:before="0" w:after="0" w:line="252" w:lineRule="auto"/>
              <w:jc w:val="left"/>
            </w:pPr>
            <w:r>
              <w:rPr>
                <w:rFonts w:ascii="Times New Roman" w:hAnsi="Times New Roman"/>
                <w:b w:val="0"/>
                <w:color w:val="000000"/>
                <w:sz w:val="20"/>
              </w:rPr>
              <w:t>A  carga atual</w:t>
            </w:r>
          </w:p>
        </w:tc>
        <w:tc>
          <w:tcPr>
            <w:tcW w:type="dxa" w:w="1637"/>
            <w:vAlign w:val="center"/>
          </w:tcPr>
          <w:p>
            <w:pPr>
              <w:keepNext w:val="0"/>
              <w:keepLines/>
              <w:widowControl w:val="0"/>
              <w:spacing w:before="0" w:after="0" w:line="252" w:lineRule="auto"/>
              <w:jc w:val="center"/>
            </w:pPr>
            <w:r>
              <w:rPr>
                <w:rFonts w:ascii="Times New Roman" w:hAnsi="Times New Roman"/>
                <w:b w:val="0"/>
                <w:color w:val="000000"/>
                <w:sz w:val="20"/>
              </w:rPr>
              <w:t>22,9625</w:t>
            </w:r>
          </w:p>
        </w:tc>
        <w:tc>
          <w:tcPr>
            <w:tcW w:type="dxa" w:w="1637"/>
            <w:vAlign w:val="center"/>
          </w:tcPr>
          <w:p>
            <w:pPr>
              <w:keepNext w:val="0"/>
              <w:keepLines/>
              <w:widowControl w:val="0"/>
              <w:spacing w:before="0" w:after="0" w:line="252" w:lineRule="auto"/>
              <w:jc w:val="center"/>
            </w:pPr>
            <w:r>
              <w:rPr>
                <w:rFonts w:ascii="Times New Roman" w:hAnsi="Times New Roman"/>
                <w:b w:val="0"/>
                <w:color w:val="000000"/>
                <w:sz w:val="20"/>
              </w:rPr>
              <w:t>28,0571</w:t>
            </w:r>
          </w:p>
        </w:tc>
        <w:tc>
          <w:tcPr>
            <w:tcW w:type="dxa" w:w="1446"/>
            <w:vAlign w:val="center"/>
          </w:tcPr>
          <w:p>
            <w:pPr>
              <w:keepNext w:val="0"/>
              <w:keepLines/>
              <w:widowControl w:val="0"/>
              <w:spacing w:before="0" w:after="0" w:line="252" w:lineRule="auto"/>
              <w:jc w:val="center"/>
            </w:pPr>
            <w:r>
              <w:rPr>
                <w:rFonts w:ascii="Times New Roman" w:hAnsi="Times New Roman"/>
                <w:b w:val="0"/>
                <w:color w:val="000000"/>
                <w:sz w:val="20"/>
              </w:rPr>
              <w:t>0,9809</w:t>
            </w:r>
          </w:p>
        </w:tc>
      </w:tr>
      <w:tr>
        <w:trPr>
          <w:cantSplit/>
        </w:trPr>
        <w:tc>
          <w:tcPr>
            <w:tcW w:type="dxa" w:w="2408"/>
            <w:vAlign w:val="center"/>
          </w:tcPr>
          <w:p>
            <w:pPr>
              <w:keepNext w:val="0"/>
              <w:keepLines/>
              <w:widowControl w:val="0"/>
              <w:spacing w:before="0" w:after="0" w:line="252" w:lineRule="auto"/>
              <w:jc w:val="left"/>
            </w:pPr>
            <w:r>
              <w:rPr>
                <w:rFonts w:ascii="Times New Roman" w:hAnsi="Times New Roman"/>
                <w:b w:val="0"/>
                <w:color w:val="000000"/>
                <w:sz w:val="20"/>
              </w:rPr>
              <w:t>XGBoost 03A.02</w:t>
            </w:r>
          </w:p>
        </w:tc>
        <w:tc>
          <w:tcPr>
            <w:tcW w:type="dxa" w:w="2504"/>
            <w:vAlign w:val="center"/>
          </w:tcPr>
          <w:p>
            <w:pPr>
              <w:keepNext w:val="0"/>
              <w:keepLines/>
              <w:widowControl w:val="0"/>
              <w:spacing w:before="0" w:after="0" w:line="252" w:lineRule="auto"/>
              <w:jc w:val="left"/>
            </w:pPr>
            <w:r>
              <w:rPr>
                <w:rFonts w:ascii="Times New Roman" w:hAnsi="Times New Roman"/>
                <w:b w:val="0"/>
                <w:color w:val="000000"/>
                <w:sz w:val="20"/>
              </w:rPr>
              <w:t>B  7 atributos</w:t>
            </w:r>
          </w:p>
        </w:tc>
        <w:tc>
          <w:tcPr>
            <w:tcW w:type="dxa" w:w="1637"/>
            <w:vAlign w:val="center"/>
          </w:tcPr>
          <w:p>
            <w:pPr>
              <w:keepNext w:val="0"/>
              <w:keepLines/>
              <w:widowControl w:val="0"/>
              <w:spacing w:before="0" w:after="0" w:line="252" w:lineRule="auto"/>
              <w:jc w:val="center"/>
            </w:pPr>
            <w:r>
              <w:rPr>
                <w:rFonts w:ascii="Times New Roman" w:hAnsi="Times New Roman"/>
                <w:b w:val="0"/>
                <w:color w:val="000000"/>
                <w:sz w:val="20"/>
              </w:rPr>
              <w:t>23,2657</w:t>
            </w:r>
          </w:p>
        </w:tc>
        <w:tc>
          <w:tcPr>
            <w:tcW w:type="dxa" w:w="1637"/>
            <w:vAlign w:val="center"/>
          </w:tcPr>
          <w:p>
            <w:pPr>
              <w:keepNext w:val="0"/>
              <w:keepLines/>
              <w:widowControl w:val="0"/>
              <w:spacing w:before="0" w:after="0" w:line="252" w:lineRule="auto"/>
              <w:jc w:val="center"/>
            </w:pPr>
            <w:r>
              <w:rPr>
                <w:rFonts w:ascii="Times New Roman" w:hAnsi="Times New Roman"/>
                <w:b w:val="0"/>
                <w:color w:val="000000"/>
                <w:sz w:val="20"/>
              </w:rPr>
              <w:t>28,8090</w:t>
            </w:r>
          </w:p>
        </w:tc>
        <w:tc>
          <w:tcPr>
            <w:tcW w:type="dxa" w:w="1446"/>
            <w:vAlign w:val="center"/>
          </w:tcPr>
          <w:p>
            <w:pPr>
              <w:keepNext w:val="0"/>
              <w:keepLines/>
              <w:widowControl w:val="0"/>
              <w:spacing w:before="0" w:after="0" w:line="252" w:lineRule="auto"/>
              <w:jc w:val="center"/>
            </w:pPr>
            <w:r>
              <w:rPr>
                <w:rFonts w:ascii="Times New Roman" w:hAnsi="Times New Roman"/>
                <w:b w:val="0"/>
                <w:color w:val="000000"/>
                <w:sz w:val="20"/>
              </w:rPr>
              <w:t>0,9798</w:t>
            </w:r>
          </w:p>
        </w:tc>
      </w:tr>
      <w:tr>
        <w:trPr>
          <w:cantSplit/>
        </w:trPr>
        <w:tc>
          <w:tcPr>
            <w:tcW w:type="dxa" w:w="2408"/>
            <w:vAlign w:val="center"/>
          </w:tcPr>
          <w:p>
            <w:pPr>
              <w:keepNext/>
              <w:keepLines/>
              <w:widowControl w:val="0"/>
              <w:spacing w:before="0" w:after="0" w:line="252" w:lineRule="auto"/>
              <w:jc w:val="left"/>
            </w:pPr>
            <w:r>
              <w:rPr>
                <w:rFonts w:ascii="Times New Roman" w:hAnsi="Times New Roman"/>
                <w:b w:val="0"/>
                <w:color w:val="000000"/>
                <w:sz w:val="20"/>
              </w:rPr>
              <w:t>XGBoost 03A.02</w:t>
            </w:r>
          </w:p>
        </w:tc>
        <w:tc>
          <w:tcPr>
            <w:tcW w:type="dxa" w:w="2504"/>
            <w:vAlign w:val="center"/>
          </w:tcPr>
          <w:p>
            <w:pPr>
              <w:keepNext/>
              <w:keepLines/>
              <w:widowControl w:val="0"/>
              <w:spacing w:before="0" w:after="0" w:line="252" w:lineRule="auto"/>
              <w:jc w:val="left"/>
            </w:pPr>
            <w:r>
              <w:rPr>
                <w:rFonts w:ascii="Times New Roman" w:hAnsi="Times New Roman"/>
                <w:b w:val="0"/>
                <w:color w:val="000000"/>
                <w:sz w:val="20"/>
              </w:rPr>
              <w:t>C  24 atributos</w:t>
            </w:r>
          </w:p>
        </w:tc>
        <w:tc>
          <w:tcPr>
            <w:tcW w:type="dxa" w:w="1637"/>
            <w:vAlign w:val="center"/>
          </w:tcPr>
          <w:p>
            <w:pPr>
              <w:keepNext/>
              <w:keepLines/>
              <w:widowControl w:val="0"/>
              <w:spacing w:before="0" w:after="0" w:line="252" w:lineRule="auto"/>
              <w:jc w:val="center"/>
            </w:pPr>
            <w:r>
              <w:rPr>
                <w:rFonts w:ascii="Times New Roman" w:hAnsi="Times New Roman"/>
                <w:b w:val="0"/>
                <w:color w:val="000000"/>
                <w:sz w:val="20"/>
              </w:rPr>
              <w:t>25,0194</w:t>
            </w:r>
          </w:p>
        </w:tc>
        <w:tc>
          <w:tcPr>
            <w:tcW w:type="dxa" w:w="1637"/>
            <w:vAlign w:val="center"/>
          </w:tcPr>
          <w:p>
            <w:pPr>
              <w:keepNext/>
              <w:keepLines/>
              <w:widowControl w:val="0"/>
              <w:spacing w:before="0" w:after="0" w:line="252" w:lineRule="auto"/>
              <w:jc w:val="center"/>
            </w:pPr>
            <w:r>
              <w:rPr>
                <w:rFonts w:ascii="Times New Roman" w:hAnsi="Times New Roman"/>
                <w:b w:val="0"/>
                <w:color w:val="000000"/>
                <w:sz w:val="20"/>
              </w:rPr>
              <w:t>30,6338</w:t>
            </w:r>
          </w:p>
        </w:tc>
        <w:tc>
          <w:tcPr>
            <w:tcW w:type="dxa" w:w="1446"/>
            <w:vAlign w:val="center"/>
          </w:tcPr>
          <w:p>
            <w:pPr>
              <w:keepNext/>
              <w:keepLines/>
              <w:widowControl w:val="0"/>
              <w:spacing w:before="0" w:after="0" w:line="252" w:lineRule="auto"/>
              <w:jc w:val="center"/>
            </w:pPr>
            <w:r>
              <w:rPr>
                <w:rFonts w:ascii="Times New Roman" w:hAnsi="Times New Roman"/>
                <w:b w:val="0"/>
                <w:color w:val="000000"/>
                <w:sz w:val="20"/>
              </w:rPr>
              <w:t>0,9772</w:t>
            </w:r>
          </w:p>
        </w:tc>
      </w:tr>
    </w:tbl>
    <w:p>
      <w:pPr>
        <w:pStyle w:val="ArticleNote"/>
      </w:pPr>
      <w:r>
        <w:t>Teste comum de 1.144 horas ON em novembro a dezembro. MAE e RMSE em short tons de CO₂ por registro horário. Protocolos de seleção específicos de cada família, descritos no método.</w:t>
      </w:r>
    </w:p>
    <w:p>
      <w:pPr/>
      <w:r>
        <w:t>Na MLP, a inclusão da trajetória reduziu o MAE global de B em relação a A, mas a ampliação para C não trouxe nova redução dessa métrica, apesar da pequena melhora no RMSE (Tabela 4). O benefício de B também variou por contexto: houve menor MAE nas partidas e maior erro nas rampas intensas. No XGBoost, C apresentou o menor erro médio de validação, enquanto A obteve o menor erro no teste. As configurações avaliadas apresentaram erros inferiores aos das MLPs na Tabela 4, embora as duas famílias tenham seguido procedimentos próprios de seleção.</w:t>
      </w:r>
    </w:p>
    <w:p>
      <w:pPr/>
      <w:r>
        <w:t>Na busca aleatória, B apresentou menor MAE em quatro das cinco validações, com pequena vantagem na comparação entre os MAEs médios. Essa vantagem não se manteve após o reajuste com dados de janeiro a outubro: no teste, B apresentou MAE e RMSE globais superiores aos de A. A análise por contexto mostrou menor MAE nas rampas e maior erro nas partidas.</w:t>
      </w:r>
    </w:p>
    <w:p>
      <w:pPr/>
      <w:r>
        <w:t>O protocolo com busca também apresentou erros superiores aos do XGBoost de referência. Essa diferença envolve as configurações selecionadas, a determinação do número de árvores e a incorporação de outubro ao reajuste. Assim, não pode ser atribuída exclusivamente ao método de busca. Os valores complementares de validação e da busca estão no Apêndice C.</w:t>
      </w:r>
    </w:p>
    <w:p>
      <w:pPr>
        <w:pStyle w:val="Heading2"/>
        <w:pageBreakBefore w:val="0"/>
      </w:pPr>
      <w:r>
        <w:t>Abrangência histórica e transferência para 2025</w:t>
      </w:r>
    </w:p>
    <w:p>
      <w:pPr/>
      <w:r>
        <w:t>A ampliação da janela histórica não produziu melhoria monotônica nos backtests. A janela com menor erro variou entre os anos-alvo, e essa ordenação foi conhecida apenas após a avaliação. Os resultados descrevem, portanto, o comportamento retrospectivo das janelas. O modelo treinado somente com dados de 2011 a 2022 foi avaliado em todo o ano de 2025. Suas métricas devem ser distinguidas da comparação incremental da Tabela 5, cujo teste abrange apenas novembro e dezembro. Esse comportamento é compatível com a preocupação de Huang et al. (2027) em avaliar modelos sob diferentes quantidades de histórico e condições operacionais, sem pressupor ganho monotônico apenas pela ampliação da série de treinamento.</w:t>
      </w:r>
    </w:p>
    <w:p>
      <w:pPr>
        <w:pStyle w:val="Caption"/>
      </w:pPr>
      <w:r>
        <w:t>Tabela 5 Valor incremental do histórico na comparação pareada</w:t>
      </w:r>
    </w:p>
    <w:tbl>
      <w:tblPr>
        <w:tblW w:type="dxa" w:w="9632"/>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238"/>
        <w:gridCol w:w="2697"/>
        <w:gridCol w:w="2697"/>
      </w:tblGrid>
      <w:tr>
        <w:trPr>
          <w:cantSplit/>
          <w:tblHeader w:val="true"/>
        </w:trPr>
        <w:tc>
          <w:tcPr>
            <w:tcW w:type="dxa" w:w="4238"/>
            <w:vAlign w:val="center"/>
            <w:shd w:fill="F1F1F1" w:val="clear"/>
          </w:tcPr>
          <w:p>
            <w:pPr>
              <w:keepNext/>
              <w:keepLines/>
              <w:widowControl w:val="0"/>
              <w:spacing w:before="0" w:after="0" w:line="252" w:lineRule="auto"/>
              <w:jc w:val="left"/>
            </w:pPr>
            <w:r>
              <w:rPr>
                <w:rFonts w:ascii="Times New Roman" w:hAnsi="Times New Roman"/>
                <w:b/>
                <w:color w:val="000000"/>
                <w:sz w:val="20"/>
              </w:rPr>
              <w:t>Indicador</w:t>
            </w:r>
          </w:p>
        </w:tc>
        <w:tc>
          <w:tcPr>
            <w:tcW w:type="dxa" w:w="2697"/>
            <w:vAlign w:val="center"/>
            <w:shd w:fill="F1F1F1" w:val="clear"/>
          </w:tcPr>
          <w:p>
            <w:pPr>
              <w:keepNext/>
              <w:keepLines/>
              <w:widowControl w:val="0"/>
              <w:spacing w:before="0" w:after="0" w:line="252" w:lineRule="auto"/>
              <w:jc w:val="center"/>
            </w:pPr>
            <w:r>
              <w:rPr>
                <w:rFonts w:ascii="Times New Roman" w:hAnsi="Times New Roman"/>
                <w:b/>
                <w:color w:val="000000"/>
                <w:sz w:val="20"/>
              </w:rPr>
              <w:t>Somente 2025</w:t>
            </w:r>
          </w:p>
        </w:tc>
        <w:tc>
          <w:tcPr>
            <w:tcW w:type="dxa" w:w="2697"/>
            <w:vAlign w:val="center"/>
            <w:shd w:fill="F1F1F1" w:val="clear"/>
          </w:tcPr>
          <w:p>
            <w:pPr>
              <w:keepNext/>
              <w:keepLines/>
              <w:widowControl w:val="0"/>
              <w:spacing w:before="0" w:after="0" w:line="252" w:lineRule="auto"/>
              <w:jc w:val="center"/>
            </w:pPr>
            <w:r>
              <w:rPr>
                <w:rFonts w:ascii="Times New Roman" w:hAnsi="Times New Roman"/>
                <w:b/>
                <w:color w:val="000000"/>
                <w:sz w:val="20"/>
              </w:rPr>
              <w:t>Histórico + 2025</w:t>
            </w:r>
          </w:p>
        </w:tc>
      </w:tr>
      <w:tr>
        <w:trPr>
          <w:cantSplit/>
        </w:trPr>
        <w:tc>
          <w:tcPr>
            <w:tcW w:type="dxa" w:w="4238"/>
            <w:vAlign w:val="center"/>
          </w:tcPr>
          <w:p>
            <w:pPr>
              <w:keepNext w:val="0"/>
              <w:keepLines/>
              <w:widowControl w:val="0"/>
              <w:spacing w:before="0" w:after="0" w:line="252" w:lineRule="auto"/>
              <w:jc w:val="left"/>
            </w:pPr>
            <w:r>
              <w:rPr>
                <w:rFonts w:ascii="Times New Roman" w:hAnsi="Times New Roman"/>
                <w:b w:val="0"/>
                <w:color w:val="000000"/>
                <w:sz w:val="20"/>
              </w:rPr>
              <w:t>Observações no reajuste</w:t>
            </w:r>
          </w:p>
        </w:tc>
        <w:tc>
          <w:tcPr>
            <w:tcW w:type="dxa" w:w="2697"/>
            <w:vAlign w:val="center"/>
          </w:tcPr>
          <w:p>
            <w:pPr>
              <w:keepNext w:val="0"/>
              <w:keepLines/>
              <w:widowControl w:val="0"/>
              <w:spacing w:before="0" w:after="0" w:line="252" w:lineRule="auto"/>
              <w:jc w:val="center"/>
            </w:pPr>
            <w:r>
              <w:rPr>
                <w:rFonts w:ascii="Times New Roman" w:hAnsi="Times New Roman"/>
                <w:b w:val="0"/>
                <w:color w:val="000000"/>
                <w:sz w:val="20"/>
              </w:rPr>
              <w:t>5.105</w:t>
            </w:r>
          </w:p>
        </w:tc>
        <w:tc>
          <w:tcPr>
            <w:tcW w:type="dxa" w:w="2697"/>
            <w:vAlign w:val="center"/>
          </w:tcPr>
          <w:p>
            <w:pPr>
              <w:keepNext w:val="0"/>
              <w:keepLines/>
              <w:widowControl w:val="0"/>
              <w:spacing w:before="0" w:after="0" w:line="252" w:lineRule="auto"/>
              <w:jc w:val="center"/>
            </w:pPr>
            <w:r>
              <w:rPr>
                <w:rFonts w:ascii="Times New Roman" w:hAnsi="Times New Roman"/>
                <w:b w:val="0"/>
                <w:color w:val="000000"/>
                <w:sz w:val="20"/>
              </w:rPr>
              <w:t>88.937</w:t>
            </w:r>
          </w:p>
        </w:tc>
      </w:tr>
      <w:tr>
        <w:trPr>
          <w:cantSplit/>
        </w:trPr>
        <w:tc>
          <w:tcPr>
            <w:tcW w:type="dxa" w:w="4238"/>
            <w:vAlign w:val="center"/>
          </w:tcPr>
          <w:p>
            <w:pPr>
              <w:keepNext w:val="0"/>
              <w:keepLines/>
              <w:widowControl w:val="0"/>
              <w:spacing w:before="0" w:after="0" w:line="252" w:lineRule="auto"/>
              <w:jc w:val="left"/>
            </w:pPr>
            <w:r>
              <w:rPr>
                <w:rFonts w:ascii="Times New Roman" w:hAnsi="Times New Roman"/>
                <w:b w:val="0"/>
                <w:color w:val="000000"/>
                <w:sz w:val="20"/>
              </w:rPr>
              <w:t>Árvores selecionadas</w:t>
            </w:r>
          </w:p>
        </w:tc>
        <w:tc>
          <w:tcPr>
            <w:tcW w:type="dxa" w:w="2697"/>
            <w:vAlign w:val="center"/>
          </w:tcPr>
          <w:p>
            <w:pPr>
              <w:keepNext w:val="0"/>
              <w:keepLines/>
              <w:widowControl w:val="0"/>
              <w:spacing w:before="0" w:after="0" w:line="252" w:lineRule="auto"/>
              <w:jc w:val="center"/>
            </w:pPr>
            <w:r>
              <w:rPr>
                <w:rFonts w:ascii="Times New Roman" w:hAnsi="Times New Roman"/>
                <w:b w:val="0"/>
                <w:color w:val="000000"/>
                <w:sz w:val="20"/>
              </w:rPr>
              <w:t>119</w:t>
            </w:r>
          </w:p>
        </w:tc>
        <w:tc>
          <w:tcPr>
            <w:tcW w:type="dxa" w:w="2697"/>
            <w:vAlign w:val="center"/>
          </w:tcPr>
          <w:p>
            <w:pPr>
              <w:keepNext w:val="0"/>
              <w:keepLines/>
              <w:widowControl w:val="0"/>
              <w:spacing w:before="0" w:after="0" w:line="252" w:lineRule="auto"/>
              <w:jc w:val="center"/>
            </w:pPr>
            <w:r>
              <w:rPr>
                <w:rFonts w:ascii="Times New Roman" w:hAnsi="Times New Roman"/>
                <w:b w:val="0"/>
                <w:color w:val="000000"/>
                <w:sz w:val="20"/>
              </w:rPr>
              <w:t>524</w:t>
            </w:r>
          </w:p>
        </w:tc>
      </w:tr>
      <w:tr>
        <w:trPr>
          <w:cantSplit/>
        </w:trPr>
        <w:tc>
          <w:tcPr>
            <w:tcW w:type="dxa" w:w="4238"/>
            <w:vAlign w:val="center"/>
          </w:tcPr>
          <w:p>
            <w:pPr>
              <w:keepNext w:val="0"/>
              <w:keepLines/>
              <w:widowControl w:val="0"/>
              <w:spacing w:before="0" w:after="0" w:line="252" w:lineRule="auto"/>
              <w:jc w:val="left"/>
            </w:pPr>
            <w:r>
              <w:rPr>
                <w:rFonts w:ascii="Times New Roman" w:hAnsi="Times New Roman"/>
                <w:b w:val="0"/>
                <w:color w:val="000000"/>
                <w:sz w:val="20"/>
              </w:rPr>
              <w:t>MAE</w:t>
            </w:r>
          </w:p>
        </w:tc>
        <w:tc>
          <w:tcPr>
            <w:tcW w:type="dxa" w:w="2697"/>
            <w:vAlign w:val="center"/>
          </w:tcPr>
          <w:p>
            <w:pPr>
              <w:keepNext w:val="0"/>
              <w:keepLines/>
              <w:widowControl w:val="0"/>
              <w:spacing w:before="0" w:after="0" w:line="252" w:lineRule="auto"/>
              <w:jc w:val="center"/>
            </w:pPr>
            <w:r>
              <w:rPr>
                <w:rFonts w:ascii="Times New Roman" w:hAnsi="Times New Roman"/>
                <w:b w:val="0"/>
                <w:color w:val="000000"/>
                <w:sz w:val="20"/>
              </w:rPr>
              <w:t>23,3470</w:t>
            </w:r>
          </w:p>
        </w:tc>
        <w:tc>
          <w:tcPr>
            <w:tcW w:type="dxa" w:w="2697"/>
            <w:vAlign w:val="center"/>
          </w:tcPr>
          <w:p>
            <w:pPr>
              <w:keepNext w:val="0"/>
              <w:keepLines/>
              <w:widowControl w:val="0"/>
              <w:spacing w:before="0" w:after="0" w:line="252" w:lineRule="auto"/>
              <w:jc w:val="center"/>
            </w:pPr>
            <w:r>
              <w:rPr>
                <w:rFonts w:ascii="Times New Roman" w:hAnsi="Times New Roman"/>
                <w:b w:val="0"/>
                <w:color w:val="000000"/>
                <w:sz w:val="20"/>
              </w:rPr>
              <w:t>20,2454</w:t>
            </w:r>
          </w:p>
        </w:tc>
      </w:tr>
      <w:tr>
        <w:trPr>
          <w:cantSplit/>
        </w:trPr>
        <w:tc>
          <w:tcPr>
            <w:tcW w:type="dxa" w:w="4238"/>
            <w:vAlign w:val="center"/>
          </w:tcPr>
          <w:p>
            <w:pPr>
              <w:keepNext w:val="0"/>
              <w:keepLines/>
              <w:widowControl w:val="0"/>
              <w:spacing w:before="0" w:after="0" w:line="252" w:lineRule="auto"/>
              <w:jc w:val="left"/>
            </w:pPr>
            <w:r>
              <w:rPr>
                <w:rFonts w:ascii="Times New Roman" w:hAnsi="Times New Roman"/>
                <w:b w:val="0"/>
                <w:color w:val="000000"/>
                <w:sz w:val="20"/>
              </w:rPr>
              <w:t>Mediana do erro absoluto</w:t>
            </w:r>
          </w:p>
        </w:tc>
        <w:tc>
          <w:tcPr>
            <w:tcW w:type="dxa" w:w="2697"/>
            <w:vAlign w:val="center"/>
          </w:tcPr>
          <w:p>
            <w:pPr>
              <w:keepNext w:val="0"/>
              <w:keepLines/>
              <w:widowControl w:val="0"/>
              <w:spacing w:before="0" w:after="0" w:line="252" w:lineRule="auto"/>
              <w:jc w:val="center"/>
            </w:pPr>
            <w:r>
              <w:rPr>
                <w:rFonts w:ascii="Times New Roman" w:hAnsi="Times New Roman"/>
                <w:b w:val="0"/>
                <w:color w:val="000000"/>
                <w:sz w:val="20"/>
              </w:rPr>
              <w:t>20,0931</w:t>
            </w:r>
          </w:p>
        </w:tc>
        <w:tc>
          <w:tcPr>
            <w:tcW w:type="dxa" w:w="2697"/>
            <w:vAlign w:val="center"/>
          </w:tcPr>
          <w:p>
            <w:pPr>
              <w:keepNext w:val="0"/>
              <w:keepLines/>
              <w:widowControl w:val="0"/>
              <w:spacing w:before="0" w:after="0" w:line="252" w:lineRule="auto"/>
              <w:jc w:val="center"/>
            </w:pPr>
            <w:r>
              <w:rPr>
                <w:rFonts w:ascii="Times New Roman" w:hAnsi="Times New Roman"/>
                <w:b w:val="0"/>
                <w:color w:val="000000"/>
                <w:sz w:val="20"/>
              </w:rPr>
              <w:t>17,5284</w:t>
            </w:r>
          </w:p>
        </w:tc>
      </w:tr>
      <w:tr>
        <w:trPr>
          <w:cantSplit/>
        </w:trPr>
        <w:tc>
          <w:tcPr>
            <w:tcW w:type="dxa" w:w="4238"/>
            <w:vAlign w:val="center"/>
          </w:tcPr>
          <w:p>
            <w:pPr>
              <w:keepNext w:val="0"/>
              <w:keepLines/>
              <w:widowControl w:val="0"/>
              <w:spacing w:before="0" w:after="0" w:line="252" w:lineRule="auto"/>
              <w:jc w:val="left"/>
            </w:pPr>
            <w:r>
              <w:rPr>
                <w:rFonts w:ascii="Times New Roman" w:hAnsi="Times New Roman"/>
                <w:b w:val="0"/>
                <w:color w:val="000000"/>
                <w:sz w:val="20"/>
              </w:rPr>
              <w:t>RMSE</w:t>
            </w:r>
          </w:p>
        </w:tc>
        <w:tc>
          <w:tcPr>
            <w:tcW w:type="dxa" w:w="2697"/>
            <w:vAlign w:val="center"/>
          </w:tcPr>
          <w:p>
            <w:pPr>
              <w:keepNext w:val="0"/>
              <w:keepLines/>
              <w:widowControl w:val="0"/>
              <w:spacing w:before="0" w:after="0" w:line="252" w:lineRule="auto"/>
              <w:jc w:val="center"/>
            </w:pPr>
            <w:r>
              <w:rPr>
                <w:rFonts w:ascii="Times New Roman" w:hAnsi="Times New Roman"/>
                <w:b w:val="0"/>
                <w:color w:val="000000"/>
                <w:sz w:val="20"/>
              </w:rPr>
              <w:t>28,5786</w:t>
            </w:r>
          </w:p>
        </w:tc>
        <w:tc>
          <w:tcPr>
            <w:tcW w:type="dxa" w:w="2697"/>
            <w:vAlign w:val="center"/>
          </w:tcPr>
          <w:p>
            <w:pPr>
              <w:keepNext w:val="0"/>
              <w:keepLines/>
              <w:widowControl w:val="0"/>
              <w:spacing w:before="0" w:after="0" w:line="252" w:lineRule="auto"/>
              <w:jc w:val="center"/>
            </w:pPr>
            <w:r>
              <w:rPr>
                <w:rFonts w:ascii="Times New Roman" w:hAnsi="Times New Roman"/>
                <w:b w:val="0"/>
                <w:color w:val="000000"/>
                <w:sz w:val="20"/>
              </w:rPr>
              <w:t>25,1240</w:t>
            </w:r>
          </w:p>
        </w:tc>
      </w:tr>
      <w:tr>
        <w:trPr>
          <w:cantSplit/>
        </w:trPr>
        <w:tc>
          <w:tcPr>
            <w:tcW w:type="dxa" w:w="4238"/>
            <w:vAlign w:val="center"/>
          </w:tcPr>
          <w:p>
            <w:pPr>
              <w:keepNext w:val="0"/>
              <w:keepLines/>
              <w:widowControl w:val="0"/>
              <w:spacing w:before="0" w:after="0" w:line="252" w:lineRule="auto"/>
              <w:jc w:val="left"/>
            </w:pPr>
            <w:r>
              <w:rPr>
                <w:rFonts w:ascii="Times New Roman" w:hAnsi="Times New Roman"/>
                <w:b w:val="0"/>
                <w:color w:val="000000"/>
                <w:sz w:val="20"/>
              </w:rPr>
              <w:t>R²</w:t>
            </w:r>
          </w:p>
        </w:tc>
        <w:tc>
          <w:tcPr>
            <w:tcW w:type="dxa" w:w="2697"/>
            <w:vAlign w:val="center"/>
          </w:tcPr>
          <w:p>
            <w:pPr>
              <w:keepNext w:val="0"/>
              <w:keepLines/>
              <w:widowControl w:val="0"/>
              <w:spacing w:before="0" w:after="0" w:line="252" w:lineRule="auto"/>
              <w:jc w:val="center"/>
            </w:pPr>
            <w:r>
              <w:rPr>
                <w:rFonts w:ascii="Times New Roman" w:hAnsi="Times New Roman"/>
                <w:b w:val="0"/>
                <w:color w:val="000000"/>
                <w:sz w:val="20"/>
              </w:rPr>
              <w:t>0,9802</w:t>
            </w:r>
          </w:p>
        </w:tc>
        <w:tc>
          <w:tcPr>
            <w:tcW w:type="dxa" w:w="2697"/>
            <w:vAlign w:val="center"/>
          </w:tcPr>
          <w:p>
            <w:pPr>
              <w:keepNext w:val="0"/>
              <w:keepLines/>
              <w:widowControl w:val="0"/>
              <w:spacing w:before="0" w:after="0" w:line="252" w:lineRule="auto"/>
              <w:jc w:val="center"/>
            </w:pPr>
            <w:r>
              <w:rPr>
                <w:rFonts w:ascii="Times New Roman" w:hAnsi="Times New Roman"/>
                <w:b w:val="0"/>
                <w:color w:val="000000"/>
                <w:sz w:val="20"/>
              </w:rPr>
              <w:t>0,9847</w:t>
            </w:r>
          </w:p>
        </w:tc>
      </w:tr>
      <w:tr>
        <w:trPr>
          <w:cantSplit/>
        </w:trPr>
        <w:tc>
          <w:tcPr>
            <w:tcW w:type="dxa" w:w="4238"/>
            <w:vAlign w:val="center"/>
          </w:tcPr>
          <w:p>
            <w:pPr>
              <w:keepNext w:val="0"/>
              <w:keepLines/>
              <w:widowControl w:val="0"/>
              <w:spacing w:before="0" w:after="0" w:line="252" w:lineRule="auto"/>
              <w:jc w:val="left"/>
            </w:pPr>
            <w:r>
              <w:rPr>
                <w:rFonts w:ascii="Times New Roman" w:hAnsi="Times New Roman"/>
                <w:b w:val="0"/>
                <w:color w:val="000000"/>
                <w:sz w:val="20"/>
              </w:rPr>
              <w:t>NMAE em %</w:t>
            </w:r>
          </w:p>
        </w:tc>
        <w:tc>
          <w:tcPr>
            <w:tcW w:type="dxa" w:w="2697"/>
            <w:vAlign w:val="center"/>
          </w:tcPr>
          <w:p>
            <w:pPr>
              <w:keepNext w:val="0"/>
              <w:keepLines/>
              <w:widowControl w:val="0"/>
              <w:spacing w:before="0" w:after="0" w:line="252" w:lineRule="auto"/>
              <w:jc w:val="center"/>
            </w:pPr>
            <w:r>
              <w:rPr>
                <w:rFonts w:ascii="Times New Roman" w:hAnsi="Times New Roman"/>
                <w:b w:val="0"/>
                <w:color w:val="000000"/>
                <w:sz w:val="20"/>
              </w:rPr>
              <w:t>3,9669</w:t>
            </w:r>
          </w:p>
        </w:tc>
        <w:tc>
          <w:tcPr>
            <w:tcW w:type="dxa" w:w="2697"/>
            <w:vAlign w:val="center"/>
          </w:tcPr>
          <w:p>
            <w:pPr>
              <w:keepNext w:val="0"/>
              <w:keepLines/>
              <w:widowControl w:val="0"/>
              <w:spacing w:before="0" w:after="0" w:line="252" w:lineRule="auto"/>
              <w:jc w:val="center"/>
            </w:pPr>
            <w:r>
              <w:rPr>
                <w:rFonts w:ascii="Times New Roman" w:hAnsi="Times New Roman"/>
                <w:b w:val="0"/>
                <w:color w:val="000000"/>
                <w:sz w:val="20"/>
              </w:rPr>
              <w:t>3,4399</w:t>
            </w:r>
          </w:p>
        </w:tc>
      </w:tr>
      <w:tr>
        <w:trPr>
          <w:cantSplit/>
        </w:trPr>
        <w:tc>
          <w:tcPr>
            <w:tcW w:type="dxa" w:w="4238"/>
            <w:vAlign w:val="center"/>
          </w:tcPr>
          <w:p>
            <w:pPr>
              <w:keepNext/>
              <w:keepLines/>
              <w:widowControl w:val="0"/>
              <w:spacing w:before="0" w:after="0" w:line="252" w:lineRule="auto"/>
              <w:jc w:val="left"/>
            </w:pPr>
            <w:r>
              <w:rPr>
                <w:rFonts w:ascii="Times New Roman" w:hAnsi="Times New Roman"/>
                <w:b w:val="0"/>
                <w:color w:val="000000"/>
                <w:sz w:val="20"/>
              </w:rPr>
              <w:t>Viés observado menos previsto</w:t>
            </w:r>
          </w:p>
        </w:tc>
        <w:tc>
          <w:tcPr>
            <w:tcW w:type="dxa" w:w="2697"/>
            <w:vAlign w:val="center"/>
          </w:tcPr>
          <w:p>
            <w:pPr>
              <w:keepNext/>
              <w:keepLines/>
              <w:widowControl w:val="0"/>
              <w:spacing w:before="0" w:after="0" w:line="252" w:lineRule="auto"/>
              <w:jc w:val="center"/>
            </w:pPr>
            <w:r>
              <w:rPr>
                <w:rFonts w:ascii="Times New Roman" w:hAnsi="Times New Roman"/>
                <w:b w:val="0"/>
                <w:color w:val="000000"/>
                <w:sz w:val="20"/>
              </w:rPr>
              <w:t>9,0645</w:t>
            </w:r>
          </w:p>
        </w:tc>
        <w:tc>
          <w:tcPr>
            <w:tcW w:type="dxa" w:w="2697"/>
            <w:vAlign w:val="center"/>
          </w:tcPr>
          <w:p>
            <w:pPr>
              <w:keepNext/>
              <w:keepLines/>
              <w:widowControl w:val="0"/>
              <w:spacing w:before="0" w:after="0" w:line="252" w:lineRule="auto"/>
              <w:jc w:val="center"/>
            </w:pPr>
            <w:r>
              <w:rPr>
                <w:rFonts w:ascii="Times New Roman" w:hAnsi="Times New Roman"/>
                <w:b w:val="0"/>
                <w:color w:val="000000"/>
                <w:sz w:val="20"/>
              </w:rPr>
              <w:t>−10,4354</w:t>
            </w:r>
          </w:p>
        </w:tc>
      </w:tr>
    </w:tbl>
    <w:p>
      <w:pPr>
        <w:pStyle w:val="ArticleNote"/>
      </w:pPr>
      <w:r>
        <w:t>Ambos os modelos usam apenas a carga atual. Teste comum de 1.144 horas. Erros absolutos e viés na unidade do alvo. Os arquivos de referência estão vinculados no Apêndice B.</w:t>
      </w:r>
    </w:p>
    <w:p>
      <w:pPr/>
      <w:r>
        <w:t>Nessa comparação pareada, o histórico ampliado apresentou MAE 13,28% menor, com redução do RMSE e do erro absoluto na maior parte das horas. Em contrapartida, o viés inverteu o sinal e aumentou em magnitude, mostrando que os ganhos nas métricas absolutas coexistiram com maior desvio médio em relação a zero. O ajuste da Tabela 5 difere daquele utilizado como cenário A na comparação final. Como a interseção de elegibilidade e a seleção do número de árvores foram redefinidas, os valores das duas etapas não representam melhorias isoladas em sequência.</w:t>
      </w:r>
    </w:p>
    <w:p>
      <w:pPr>
        <w:pStyle w:val="Heading2"/>
        <w:pageBreakBefore w:val="0"/>
      </w:pPr>
      <w:r>
        <w:t>Comparação final com amostra comum</w:t>
      </w:r>
    </w:p>
    <w:p>
      <w:pPr/>
      <w:r>
        <w:t>Na comparação final, B apresentou menor MAE e RMSE na validação de outubro. Após o reajuste, porém, o resultado global do teste favoreceu A (Tabela 6). No teste, B apresentou MAE 5,06% maior e RMSE também superior, embora seu viés tenha ficado mais próximo de zero. O cenário melhorou o erro absoluto em pouco mais da metade das horas, mas a magnitude das pioras superou a das melhorias. Essa diferença explica a redução pareada mediana positiva e a redução média negativa.</w:t>
      </w:r>
    </w:p>
    <w:p>
      <w:pPr>
        <w:pStyle w:val="Caption"/>
      </w:pPr>
      <w:r>
        <w:t>Tabela 6 Resultado global da comparação final</w:t>
      </w:r>
    </w:p>
    <w:tbl>
      <w:tblPr>
        <w:tblW w:type="dxa" w:w="9632"/>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4238"/>
        <w:gridCol w:w="2697"/>
        <w:gridCol w:w="2697"/>
      </w:tblGrid>
      <w:tr>
        <w:trPr>
          <w:cantSplit/>
          <w:tblHeader w:val="true"/>
        </w:trPr>
        <w:tc>
          <w:tcPr>
            <w:tcW w:type="dxa" w:w="4238"/>
            <w:vAlign w:val="center"/>
            <w:shd w:fill="F1F1F1" w:val="clear"/>
          </w:tcPr>
          <w:p>
            <w:pPr>
              <w:keepNext/>
              <w:keepLines/>
              <w:widowControl w:val="0"/>
              <w:spacing w:before="0" w:after="0" w:line="252" w:lineRule="auto"/>
              <w:jc w:val="left"/>
            </w:pPr>
            <w:r>
              <w:rPr>
                <w:rFonts w:ascii="Times New Roman" w:hAnsi="Times New Roman"/>
                <w:b/>
                <w:color w:val="000000"/>
                <w:sz w:val="20"/>
              </w:rPr>
              <w:t>Indicador</w:t>
            </w:r>
          </w:p>
        </w:tc>
        <w:tc>
          <w:tcPr>
            <w:tcW w:type="dxa" w:w="2697"/>
            <w:vAlign w:val="center"/>
            <w:shd w:fill="F1F1F1" w:val="clear"/>
          </w:tcPr>
          <w:p>
            <w:pPr>
              <w:keepNext/>
              <w:keepLines/>
              <w:widowControl w:val="0"/>
              <w:spacing w:before="0" w:after="0" w:line="252" w:lineRule="auto"/>
              <w:jc w:val="center"/>
            </w:pPr>
            <w:r>
              <w:rPr>
                <w:rFonts w:ascii="Times New Roman" w:hAnsi="Times New Roman"/>
                <w:b/>
                <w:color w:val="000000"/>
                <w:sz w:val="20"/>
              </w:rPr>
              <w:t>A  carga atual</w:t>
            </w:r>
          </w:p>
        </w:tc>
        <w:tc>
          <w:tcPr>
            <w:tcW w:type="dxa" w:w="2697"/>
            <w:vAlign w:val="center"/>
            <w:shd w:fill="F1F1F1" w:val="clear"/>
          </w:tcPr>
          <w:p>
            <w:pPr>
              <w:keepNext/>
              <w:keepLines/>
              <w:widowControl w:val="0"/>
              <w:spacing w:before="0" w:after="0" w:line="252" w:lineRule="auto"/>
              <w:jc w:val="center"/>
            </w:pPr>
            <w:r>
              <w:rPr>
                <w:rFonts w:ascii="Times New Roman" w:hAnsi="Times New Roman"/>
                <w:b/>
                <w:color w:val="000000"/>
                <w:sz w:val="20"/>
              </w:rPr>
              <w:t>B  carga e trajetória</w:t>
            </w:r>
          </w:p>
        </w:tc>
      </w:tr>
      <w:tr>
        <w:trPr>
          <w:cantSplit/>
        </w:trPr>
        <w:tc>
          <w:tcPr>
            <w:tcW w:type="dxa" w:w="4238"/>
            <w:vAlign w:val="center"/>
          </w:tcPr>
          <w:p>
            <w:pPr>
              <w:keepNext w:val="0"/>
              <w:keepLines/>
              <w:widowControl w:val="0"/>
              <w:spacing w:before="0" w:after="0" w:line="252" w:lineRule="auto"/>
              <w:jc w:val="left"/>
            </w:pPr>
            <w:r>
              <w:rPr>
                <w:rFonts w:ascii="Times New Roman" w:hAnsi="Times New Roman"/>
                <w:b w:val="0"/>
                <w:color w:val="000000"/>
                <w:sz w:val="20"/>
              </w:rPr>
              <w:t>Atributos</w:t>
            </w:r>
          </w:p>
        </w:tc>
        <w:tc>
          <w:tcPr>
            <w:tcW w:type="dxa" w:w="2697"/>
            <w:vAlign w:val="center"/>
          </w:tcPr>
          <w:p>
            <w:pPr>
              <w:keepNext w:val="0"/>
              <w:keepLines/>
              <w:widowControl w:val="0"/>
              <w:spacing w:before="0" w:after="0" w:line="252" w:lineRule="auto"/>
              <w:jc w:val="center"/>
            </w:pPr>
            <w:r>
              <w:rPr>
                <w:rFonts w:ascii="Times New Roman" w:hAnsi="Times New Roman"/>
                <w:b w:val="0"/>
                <w:color w:val="000000"/>
                <w:sz w:val="20"/>
              </w:rPr>
              <w:t>1</w:t>
            </w:r>
          </w:p>
        </w:tc>
        <w:tc>
          <w:tcPr>
            <w:tcW w:type="dxa" w:w="2697"/>
            <w:vAlign w:val="center"/>
          </w:tcPr>
          <w:p>
            <w:pPr>
              <w:keepNext w:val="0"/>
              <w:keepLines/>
              <w:widowControl w:val="0"/>
              <w:spacing w:before="0" w:after="0" w:line="252" w:lineRule="auto"/>
              <w:jc w:val="center"/>
            </w:pPr>
            <w:r>
              <w:rPr>
                <w:rFonts w:ascii="Times New Roman" w:hAnsi="Times New Roman"/>
                <w:b w:val="0"/>
                <w:color w:val="000000"/>
                <w:sz w:val="20"/>
              </w:rPr>
              <w:t>7</w:t>
            </w:r>
          </w:p>
        </w:tc>
      </w:tr>
      <w:tr>
        <w:trPr>
          <w:cantSplit/>
        </w:trPr>
        <w:tc>
          <w:tcPr>
            <w:tcW w:type="dxa" w:w="4238"/>
            <w:vAlign w:val="center"/>
          </w:tcPr>
          <w:p>
            <w:pPr>
              <w:keepNext w:val="0"/>
              <w:keepLines/>
              <w:widowControl w:val="0"/>
              <w:spacing w:before="0" w:after="0" w:line="252" w:lineRule="auto"/>
              <w:jc w:val="left"/>
            </w:pPr>
            <w:r>
              <w:rPr>
                <w:rFonts w:ascii="Times New Roman" w:hAnsi="Times New Roman"/>
                <w:b w:val="0"/>
                <w:color w:val="000000"/>
                <w:sz w:val="20"/>
              </w:rPr>
              <w:t>Árvores</w:t>
            </w:r>
          </w:p>
        </w:tc>
        <w:tc>
          <w:tcPr>
            <w:tcW w:type="dxa" w:w="2697"/>
            <w:vAlign w:val="center"/>
          </w:tcPr>
          <w:p>
            <w:pPr>
              <w:keepNext w:val="0"/>
              <w:keepLines/>
              <w:widowControl w:val="0"/>
              <w:spacing w:before="0" w:after="0" w:line="252" w:lineRule="auto"/>
              <w:jc w:val="center"/>
            </w:pPr>
            <w:r>
              <w:rPr>
                <w:rFonts w:ascii="Times New Roman" w:hAnsi="Times New Roman"/>
                <w:b w:val="0"/>
                <w:color w:val="000000"/>
                <w:sz w:val="20"/>
              </w:rPr>
              <w:t>498</w:t>
            </w:r>
          </w:p>
        </w:tc>
        <w:tc>
          <w:tcPr>
            <w:tcW w:type="dxa" w:w="2697"/>
            <w:vAlign w:val="center"/>
          </w:tcPr>
          <w:p>
            <w:pPr>
              <w:keepNext w:val="0"/>
              <w:keepLines/>
              <w:widowControl w:val="0"/>
              <w:spacing w:before="0" w:after="0" w:line="252" w:lineRule="auto"/>
              <w:jc w:val="center"/>
            </w:pPr>
            <w:r>
              <w:rPr>
                <w:rFonts w:ascii="Times New Roman" w:hAnsi="Times New Roman"/>
                <w:b w:val="0"/>
                <w:color w:val="000000"/>
                <w:sz w:val="20"/>
              </w:rPr>
              <w:t>721</w:t>
            </w:r>
          </w:p>
        </w:tc>
      </w:tr>
      <w:tr>
        <w:trPr>
          <w:cantSplit/>
        </w:trPr>
        <w:tc>
          <w:tcPr>
            <w:tcW w:type="dxa" w:w="4238"/>
            <w:vAlign w:val="center"/>
          </w:tcPr>
          <w:p>
            <w:pPr>
              <w:keepNext w:val="0"/>
              <w:keepLines/>
              <w:widowControl w:val="0"/>
              <w:spacing w:before="0" w:after="0" w:line="252" w:lineRule="auto"/>
              <w:jc w:val="left"/>
            </w:pPr>
            <w:r>
              <w:rPr>
                <w:rFonts w:ascii="Times New Roman" w:hAnsi="Times New Roman"/>
                <w:b w:val="0"/>
                <w:color w:val="000000"/>
                <w:sz w:val="20"/>
              </w:rPr>
              <w:t>MAE</w:t>
            </w:r>
          </w:p>
        </w:tc>
        <w:tc>
          <w:tcPr>
            <w:tcW w:type="dxa" w:w="2697"/>
            <w:vAlign w:val="center"/>
          </w:tcPr>
          <w:p>
            <w:pPr>
              <w:keepNext w:val="0"/>
              <w:keepLines/>
              <w:widowControl w:val="0"/>
              <w:spacing w:before="0" w:after="0" w:line="252" w:lineRule="auto"/>
              <w:jc w:val="center"/>
            </w:pPr>
            <w:r>
              <w:rPr>
                <w:rFonts w:ascii="Times New Roman" w:hAnsi="Times New Roman"/>
                <w:b w:val="0"/>
                <w:color w:val="000000"/>
                <w:sz w:val="20"/>
              </w:rPr>
              <w:t>20,1514</w:t>
            </w:r>
          </w:p>
        </w:tc>
        <w:tc>
          <w:tcPr>
            <w:tcW w:type="dxa" w:w="2697"/>
            <w:vAlign w:val="center"/>
          </w:tcPr>
          <w:p>
            <w:pPr>
              <w:keepNext w:val="0"/>
              <w:keepLines/>
              <w:widowControl w:val="0"/>
              <w:spacing w:before="0" w:after="0" w:line="252" w:lineRule="auto"/>
              <w:jc w:val="center"/>
            </w:pPr>
            <w:r>
              <w:rPr>
                <w:rFonts w:ascii="Times New Roman" w:hAnsi="Times New Roman"/>
                <w:b w:val="0"/>
                <w:color w:val="000000"/>
                <w:sz w:val="20"/>
              </w:rPr>
              <w:t>21,1720</w:t>
            </w:r>
          </w:p>
        </w:tc>
      </w:tr>
      <w:tr>
        <w:trPr>
          <w:cantSplit/>
        </w:trPr>
        <w:tc>
          <w:tcPr>
            <w:tcW w:type="dxa" w:w="4238"/>
            <w:vAlign w:val="center"/>
          </w:tcPr>
          <w:p>
            <w:pPr>
              <w:keepNext w:val="0"/>
              <w:keepLines/>
              <w:widowControl w:val="0"/>
              <w:spacing w:before="0" w:after="0" w:line="252" w:lineRule="auto"/>
              <w:jc w:val="left"/>
            </w:pPr>
            <w:r>
              <w:rPr>
                <w:rFonts w:ascii="Times New Roman" w:hAnsi="Times New Roman"/>
                <w:b w:val="0"/>
                <w:color w:val="000000"/>
                <w:sz w:val="20"/>
              </w:rPr>
              <w:t>Mediana do erro absoluto</w:t>
            </w:r>
          </w:p>
        </w:tc>
        <w:tc>
          <w:tcPr>
            <w:tcW w:type="dxa" w:w="2697"/>
            <w:vAlign w:val="center"/>
          </w:tcPr>
          <w:p>
            <w:pPr>
              <w:keepNext w:val="0"/>
              <w:keepLines/>
              <w:widowControl w:val="0"/>
              <w:spacing w:before="0" w:after="0" w:line="252" w:lineRule="auto"/>
              <w:jc w:val="center"/>
            </w:pPr>
            <w:r>
              <w:rPr>
                <w:rFonts w:ascii="Times New Roman" w:hAnsi="Times New Roman"/>
                <w:b w:val="0"/>
                <w:color w:val="000000"/>
                <w:sz w:val="20"/>
              </w:rPr>
              <w:t>17,3853</w:t>
            </w:r>
          </w:p>
        </w:tc>
        <w:tc>
          <w:tcPr>
            <w:tcW w:type="dxa" w:w="2697"/>
            <w:vAlign w:val="center"/>
          </w:tcPr>
          <w:p>
            <w:pPr>
              <w:keepNext w:val="0"/>
              <w:keepLines/>
              <w:widowControl w:val="0"/>
              <w:spacing w:before="0" w:after="0" w:line="252" w:lineRule="auto"/>
              <w:jc w:val="center"/>
            </w:pPr>
            <w:r>
              <w:rPr>
                <w:rFonts w:ascii="Times New Roman" w:hAnsi="Times New Roman"/>
                <w:b w:val="0"/>
                <w:color w:val="000000"/>
                <w:sz w:val="20"/>
              </w:rPr>
              <w:t>17,8556</w:t>
            </w:r>
          </w:p>
        </w:tc>
      </w:tr>
      <w:tr>
        <w:trPr>
          <w:cantSplit/>
        </w:trPr>
        <w:tc>
          <w:tcPr>
            <w:tcW w:type="dxa" w:w="4238"/>
            <w:vAlign w:val="center"/>
          </w:tcPr>
          <w:p>
            <w:pPr>
              <w:keepNext w:val="0"/>
              <w:keepLines/>
              <w:widowControl w:val="0"/>
              <w:spacing w:before="0" w:after="0" w:line="252" w:lineRule="auto"/>
              <w:jc w:val="left"/>
            </w:pPr>
            <w:r>
              <w:rPr>
                <w:rFonts w:ascii="Times New Roman" w:hAnsi="Times New Roman"/>
                <w:b w:val="0"/>
                <w:color w:val="000000"/>
                <w:sz w:val="20"/>
              </w:rPr>
              <w:t>RMSE</w:t>
            </w:r>
          </w:p>
        </w:tc>
        <w:tc>
          <w:tcPr>
            <w:tcW w:type="dxa" w:w="2697"/>
            <w:vAlign w:val="center"/>
          </w:tcPr>
          <w:p>
            <w:pPr>
              <w:keepNext w:val="0"/>
              <w:keepLines/>
              <w:widowControl w:val="0"/>
              <w:spacing w:before="0" w:after="0" w:line="252" w:lineRule="auto"/>
              <w:jc w:val="center"/>
            </w:pPr>
            <w:r>
              <w:rPr>
                <w:rFonts w:ascii="Times New Roman" w:hAnsi="Times New Roman"/>
                <w:b w:val="0"/>
                <w:color w:val="000000"/>
                <w:sz w:val="20"/>
              </w:rPr>
              <w:t>25,0653</w:t>
            </w:r>
          </w:p>
        </w:tc>
        <w:tc>
          <w:tcPr>
            <w:tcW w:type="dxa" w:w="2697"/>
            <w:vAlign w:val="center"/>
          </w:tcPr>
          <w:p>
            <w:pPr>
              <w:keepNext w:val="0"/>
              <w:keepLines/>
              <w:widowControl w:val="0"/>
              <w:spacing w:before="0" w:after="0" w:line="252" w:lineRule="auto"/>
              <w:jc w:val="center"/>
            </w:pPr>
            <w:r>
              <w:rPr>
                <w:rFonts w:ascii="Times New Roman" w:hAnsi="Times New Roman"/>
                <w:b w:val="0"/>
                <w:color w:val="000000"/>
                <w:sz w:val="20"/>
              </w:rPr>
              <w:t>26,5779</w:t>
            </w:r>
          </w:p>
        </w:tc>
      </w:tr>
      <w:tr>
        <w:trPr>
          <w:cantSplit/>
        </w:trPr>
        <w:tc>
          <w:tcPr>
            <w:tcW w:type="dxa" w:w="4238"/>
            <w:vAlign w:val="center"/>
          </w:tcPr>
          <w:p>
            <w:pPr>
              <w:keepNext w:val="0"/>
              <w:keepLines/>
              <w:widowControl w:val="0"/>
              <w:spacing w:before="0" w:after="0" w:line="252" w:lineRule="auto"/>
              <w:jc w:val="left"/>
            </w:pPr>
            <w:r>
              <w:rPr>
                <w:rFonts w:ascii="Times New Roman" w:hAnsi="Times New Roman"/>
                <w:b w:val="0"/>
                <w:color w:val="000000"/>
                <w:sz w:val="20"/>
              </w:rPr>
              <w:t>R²</w:t>
            </w:r>
          </w:p>
        </w:tc>
        <w:tc>
          <w:tcPr>
            <w:tcW w:type="dxa" w:w="2697"/>
            <w:vAlign w:val="center"/>
          </w:tcPr>
          <w:p>
            <w:pPr>
              <w:keepNext w:val="0"/>
              <w:keepLines/>
              <w:widowControl w:val="0"/>
              <w:spacing w:before="0" w:after="0" w:line="252" w:lineRule="auto"/>
              <w:jc w:val="center"/>
            </w:pPr>
            <w:r>
              <w:rPr>
                <w:rFonts w:ascii="Times New Roman" w:hAnsi="Times New Roman"/>
                <w:b w:val="0"/>
                <w:color w:val="000000"/>
                <w:sz w:val="20"/>
              </w:rPr>
              <w:t>0,9847</w:t>
            </w:r>
          </w:p>
        </w:tc>
        <w:tc>
          <w:tcPr>
            <w:tcW w:type="dxa" w:w="2697"/>
            <w:vAlign w:val="center"/>
          </w:tcPr>
          <w:p>
            <w:pPr>
              <w:keepNext w:val="0"/>
              <w:keepLines/>
              <w:widowControl w:val="0"/>
              <w:spacing w:before="0" w:after="0" w:line="252" w:lineRule="auto"/>
              <w:jc w:val="center"/>
            </w:pPr>
            <w:r>
              <w:rPr>
                <w:rFonts w:ascii="Times New Roman" w:hAnsi="Times New Roman"/>
                <w:b w:val="0"/>
                <w:color w:val="000000"/>
                <w:sz w:val="20"/>
              </w:rPr>
              <w:t>0,9828</w:t>
            </w:r>
          </w:p>
        </w:tc>
      </w:tr>
      <w:tr>
        <w:trPr>
          <w:cantSplit/>
        </w:trPr>
        <w:tc>
          <w:tcPr>
            <w:tcW w:type="dxa" w:w="4238"/>
            <w:vAlign w:val="center"/>
          </w:tcPr>
          <w:p>
            <w:pPr>
              <w:keepNext w:val="0"/>
              <w:keepLines/>
              <w:widowControl w:val="0"/>
              <w:spacing w:before="0" w:after="0" w:line="252" w:lineRule="auto"/>
              <w:jc w:val="left"/>
            </w:pPr>
            <w:r>
              <w:rPr>
                <w:rFonts w:ascii="Times New Roman" w:hAnsi="Times New Roman"/>
                <w:b w:val="0"/>
                <w:color w:val="000000"/>
                <w:sz w:val="20"/>
              </w:rPr>
              <w:t>NMAE em %</w:t>
            </w:r>
          </w:p>
        </w:tc>
        <w:tc>
          <w:tcPr>
            <w:tcW w:type="dxa" w:w="2697"/>
            <w:vAlign w:val="center"/>
          </w:tcPr>
          <w:p>
            <w:pPr>
              <w:keepNext w:val="0"/>
              <w:keepLines/>
              <w:widowControl w:val="0"/>
              <w:spacing w:before="0" w:after="0" w:line="252" w:lineRule="auto"/>
              <w:jc w:val="center"/>
            </w:pPr>
            <w:r>
              <w:rPr>
                <w:rFonts w:ascii="Times New Roman" w:hAnsi="Times New Roman"/>
                <w:b w:val="0"/>
                <w:color w:val="000000"/>
                <w:sz w:val="20"/>
              </w:rPr>
              <w:t>3,4240</w:t>
            </w:r>
          </w:p>
        </w:tc>
        <w:tc>
          <w:tcPr>
            <w:tcW w:type="dxa" w:w="2697"/>
            <w:vAlign w:val="center"/>
          </w:tcPr>
          <w:p>
            <w:pPr>
              <w:keepNext w:val="0"/>
              <w:keepLines/>
              <w:widowControl w:val="0"/>
              <w:spacing w:before="0" w:after="0" w:line="252" w:lineRule="auto"/>
              <w:jc w:val="center"/>
            </w:pPr>
            <w:r>
              <w:rPr>
                <w:rFonts w:ascii="Times New Roman" w:hAnsi="Times New Roman"/>
                <w:b w:val="0"/>
                <w:color w:val="000000"/>
                <w:sz w:val="20"/>
              </w:rPr>
              <w:t>3,5974</w:t>
            </w:r>
          </w:p>
        </w:tc>
      </w:tr>
      <w:tr>
        <w:trPr>
          <w:cantSplit/>
        </w:trPr>
        <w:tc>
          <w:tcPr>
            <w:tcW w:type="dxa" w:w="4238"/>
            <w:vAlign w:val="center"/>
          </w:tcPr>
          <w:p>
            <w:pPr>
              <w:keepNext/>
              <w:keepLines/>
              <w:widowControl w:val="0"/>
              <w:spacing w:before="0" w:after="0" w:line="252" w:lineRule="auto"/>
              <w:jc w:val="left"/>
            </w:pPr>
            <w:r>
              <w:rPr>
                <w:rFonts w:ascii="Times New Roman" w:hAnsi="Times New Roman"/>
                <w:b w:val="0"/>
                <w:color w:val="000000"/>
                <w:sz w:val="20"/>
              </w:rPr>
              <w:t>Viés observado menos previsto</w:t>
            </w:r>
          </w:p>
        </w:tc>
        <w:tc>
          <w:tcPr>
            <w:tcW w:type="dxa" w:w="2697"/>
            <w:vAlign w:val="center"/>
          </w:tcPr>
          <w:p>
            <w:pPr>
              <w:keepNext/>
              <w:keepLines/>
              <w:widowControl w:val="0"/>
              <w:spacing w:before="0" w:after="0" w:line="252" w:lineRule="auto"/>
              <w:jc w:val="center"/>
            </w:pPr>
            <w:r>
              <w:rPr>
                <w:rFonts w:ascii="Times New Roman" w:hAnsi="Times New Roman"/>
                <w:b w:val="0"/>
                <w:color w:val="000000"/>
                <w:sz w:val="20"/>
              </w:rPr>
              <w:t>−10,3467</w:t>
            </w:r>
          </w:p>
        </w:tc>
        <w:tc>
          <w:tcPr>
            <w:tcW w:type="dxa" w:w="2697"/>
            <w:vAlign w:val="center"/>
          </w:tcPr>
          <w:p>
            <w:pPr>
              <w:keepNext/>
              <w:keepLines/>
              <w:widowControl w:val="0"/>
              <w:spacing w:before="0" w:after="0" w:line="252" w:lineRule="auto"/>
              <w:jc w:val="center"/>
            </w:pPr>
            <w:r>
              <w:rPr>
                <w:rFonts w:ascii="Times New Roman" w:hAnsi="Times New Roman"/>
                <w:b w:val="0"/>
                <w:color w:val="000000"/>
                <w:sz w:val="20"/>
              </w:rPr>
              <w:t>−2,5503</w:t>
            </w:r>
          </w:p>
        </w:tc>
      </w:tr>
    </w:tbl>
    <w:p>
      <w:pPr>
        <w:pStyle w:val="ArticleNote"/>
      </w:pPr>
      <w:r>
        <w:t>Reajuste comum de 88.686 observações e teste de 1.144 horas. MAE, mediana, RMSE e viés em short tons por registro horário. Resultados e arquivos de origem no Apêndice B.</w:t>
      </w:r>
    </w:p>
    <w:p>
      <w:pPr/>
      <w:r>
        <w:t>A desagregação revelou comportamento distinto nas rampas: B apresentou MAE 22,90% menor, com redução do RMSE e melhoria na maioria das horas desse contexto. Nas partidas, o MAE também diminuiu, embora menos da metade dos registros tenha melhorado. Nas demais horas, que predominam no teste, o erro aumentou. A Tabela 7 e a Figura 1 apresentam essas diferenças.</w:t>
      </w:r>
    </w:p>
    <w:p>
      <w:pPr>
        <w:pStyle w:val="Caption"/>
      </w:pPr>
      <w:r>
        <w:t>Tabela 7 Desempenho por contexto operacional</w:t>
      </w:r>
    </w:p>
    <w:tbl>
      <w:tblPr>
        <w:tblW w:type="dxa" w:w="9632"/>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3275"/>
        <w:gridCol w:w="1060"/>
        <w:gridCol w:w="1734"/>
        <w:gridCol w:w="1734"/>
        <w:gridCol w:w="1829"/>
      </w:tblGrid>
      <w:tr>
        <w:trPr>
          <w:cantSplit/>
          <w:tblHeader w:val="true"/>
        </w:trPr>
        <w:tc>
          <w:tcPr>
            <w:tcW w:type="dxa" w:w="3275"/>
            <w:vAlign w:val="center"/>
            <w:shd w:fill="F1F1F1" w:val="clear"/>
          </w:tcPr>
          <w:p>
            <w:pPr>
              <w:keepNext/>
              <w:keepLines/>
              <w:widowControl w:val="0"/>
              <w:spacing w:before="0" w:after="0" w:line="252" w:lineRule="auto"/>
              <w:jc w:val="left"/>
            </w:pPr>
            <w:r>
              <w:rPr>
                <w:rFonts w:ascii="Times New Roman" w:hAnsi="Times New Roman"/>
                <w:b/>
                <w:color w:val="000000"/>
                <w:sz w:val="20"/>
              </w:rPr>
              <w:t>Contexto</w:t>
            </w:r>
          </w:p>
        </w:tc>
        <w:tc>
          <w:tcPr>
            <w:tcW w:type="dxa" w:w="1060"/>
            <w:vAlign w:val="center"/>
            <w:shd w:fill="F1F1F1" w:val="clear"/>
          </w:tcPr>
          <w:p>
            <w:pPr>
              <w:keepNext/>
              <w:keepLines/>
              <w:widowControl w:val="0"/>
              <w:spacing w:before="0" w:after="0" w:line="252" w:lineRule="auto"/>
              <w:jc w:val="center"/>
            </w:pPr>
            <w:r>
              <w:rPr>
                <w:rFonts w:ascii="Times New Roman" w:hAnsi="Times New Roman"/>
                <w:b/>
                <w:color w:val="000000"/>
                <w:sz w:val="20"/>
              </w:rPr>
              <w:t>n</w:t>
            </w:r>
          </w:p>
        </w:tc>
        <w:tc>
          <w:tcPr>
            <w:tcW w:type="dxa" w:w="1734"/>
            <w:vAlign w:val="center"/>
            <w:shd w:fill="F1F1F1" w:val="clear"/>
          </w:tcPr>
          <w:p>
            <w:pPr>
              <w:keepNext/>
              <w:keepLines/>
              <w:widowControl w:val="0"/>
              <w:spacing w:before="0" w:after="0" w:line="252" w:lineRule="auto"/>
              <w:jc w:val="center"/>
            </w:pPr>
            <w:r>
              <w:rPr>
                <w:rFonts w:ascii="Times New Roman" w:hAnsi="Times New Roman"/>
                <w:b/>
                <w:color w:val="000000"/>
                <w:sz w:val="20"/>
              </w:rPr>
              <w:t>MAE A</w:t>
            </w:r>
          </w:p>
        </w:tc>
        <w:tc>
          <w:tcPr>
            <w:tcW w:type="dxa" w:w="1734"/>
            <w:vAlign w:val="center"/>
            <w:shd w:fill="F1F1F1" w:val="clear"/>
          </w:tcPr>
          <w:p>
            <w:pPr>
              <w:keepNext/>
              <w:keepLines/>
              <w:widowControl w:val="0"/>
              <w:spacing w:before="0" w:after="0" w:line="252" w:lineRule="auto"/>
              <w:jc w:val="center"/>
            </w:pPr>
            <w:r>
              <w:rPr>
                <w:rFonts w:ascii="Times New Roman" w:hAnsi="Times New Roman"/>
                <w:b/>
                <w:color w:val="000000"/>
                <w:sz w:val="20"/>
              </w:rPr>
              <w:t>MAE B</w:t>
            </w:r>
          </w:p>
        </w:tc>
        <w:tc>
          <w:tcPr>
            <w:tcW w:type="dxa" w:w="1829"/>
            <w:vAlign w:val="center"/>
            <w:shd w:fill="F1F1F1" w:val="clear"/>
          </w:tcPr>
          <w:p>
            <w:pPr>
              <w:keepNext/>
              <w:keepLines/>
              <w:widowControl w:val="0"/>
              <w:spacing w:before="0" w:after="0" w:line="252" w:lineRule="auto"/>
              <w:jc w:val="center"/>
            </w:pPr>
            <w:r>
              <w:rPr>
                <w:rFonts w:ascii="Times New Roman" w:hAnsi="Times New Roman"/>
                <w:b/>
                <w:color w:val="000000"/>
                <w:sz w:val="20"/>
              </w:rPr>
              <w:t>Ganho de B</w:t>
            </w:r>
          </w:p>
        </w:tc>
      </w:tr>
      <w:tr>
        <w:trPr>
          <w:cantSplit/>
        </w:trPr>
        <w:tc>
          <w:tcPr>
            <w:tcW w:type="dxa" w:w="3275"/>
            <w:vAlign w:val="center"/>
          </w:tcPr>
          <w:p>
            <w:pPr>
              <w:keepNext w:val="0"/>
              <w:keepLines/>
              <w:widowControl w:val="0"/>
              <w:spacing w:before="0" w:after="0" w:line="252" w:lineRule="auto"/>
              <w:jc w:val="left"/>
            </w:pPr>
            <w:r>
              <w:rPr>
                <w:rFonts w:ascii="Times New Roman" w:hAnsi="Times New Roman"/>
                <w:b w:val="0"/>
                <w:color w:val="000000"/>
                <w:sz w:val="20"/>
              </w:rPr>
              <w:t>Todas as horas</w:t>
            </w:r>
          </w:p>
        </w:tc>
        <w:tc>
          <w:tcPr>
            <w:tcW w:type="dxa" w:w="1060"/>
            <w:vAlign w:val="center"/>
          </w:tcPr>
          <w:p>
            <w:pPr>
              <w:keepNext w:val="0"/>
              <w:keepLines/>
              <w:widowControl w:val="0"/>
              <w:spacing w:before="0" w:after="0" w:line="252" w:lineRule="auto"/>
              <w:jc w:val="center"/>
            </w:pPr>
            <w:r>
              <w:rPr>
                <w:rFonts w:ascii="Times New Roman" w:hAnsi="Times New Roman"/>
                <w:b w:val="0"/>
                <w:color w:val="000000"/>
                <w:sz w:val="20"/>
              </w:rPr>
              <w:t>1.144</w:t>
            </w:r>
          </w:p>
        </w:tc>
        <w:tc>
          <w:tcPr>
            <w:tcW w:type="dxa" w:w="1734"/>
            <w:vAlign w:val="center"/>
          </w:tcPr>
          <w:p>
            <w:pPr>
              <w:keepNext w:val="0"/>
              <w:keepLines/>
              <w:widowControl w:val="0"/>
              <w:spacing w:before="0" w:after="0" w:line="252" w:lineRule="auto"/>
              <w:jc w:val="center"/>
            </w:pPr>
            <w:r>
              <w:rPr>
                <w:rFonts w:ascii="Times New Roman" w:hAnsi="Times New Roman"/>
                <w:b w:val="0"/>
                <w:color w:val="000000"/>
                <w:sz w:val="20"/>
              </w:rPr>
              <w:t>20,1514</w:t>
            </w:r>
          </w:p>
        </w:tc>
        <w:tc>
          <w:tcPr>
            <w:tcW w:type="dxa" w:w="1734"/>
            <w:vAlign w:val="center"/>
          </w:tcPr>
          <w:p>
            <w:pPr>
              <w:keepNext w:val="0"/>
              <w:keepLines/>
              <w:widowControl w:val="0"/>
              <w:spacing w:before="0" w:after="0" w:line="252" w:lineRule="auto"/>
              <w:jc w:val="center"/>
            </w:pPr>
            <w:r>
              <w:rPr>
                <w:rFonts w:ascii="Times New Roman" w:hAnsi="Times New Roman"/>
                <w:b w:val="0"/>
                <w:color w:val="000000"/>
                <w:sz w:val="20"/>
              </w:rPr>
              <w:t>21,1720</w:t>
            </w:r>
          </w:p>
        </w:tc>
        <w:tc>
          <w:tcPr>
            <w:tcW w:type="dxa" w:w="1829"/>
            <w:vAlign w:val="center"/>
          </w:tcPr>
          <w:p>
            <w:pPr>
              <w:keepNext w:val="0"/>
              <w:keepLines/>
              <w:widowControl w:val="0"/>
              <w:spacing w:before="0" w:after="0" w:line="252" w:lineRule="auto"/>
              <w:jc w:val="center"/>
            </w:pPr>
            <w:r>
              <w:rPr>
                <w:rFonts w:ascii="Times New Roman" w:hAnsi="Times New Roman"/>
                <w:b w:val="0"/>
                <w:color w:val="000000"/>
                <w:sz w:val="20"/>
              </w:rPr>
              <w:t>−5,06%</w:t>
            </w:r>
          </w:p>
        </w:tc>
      </w:tr>
      <w:tr>
        <w:trPr>
          <w:cantSplit/>
        </w:trPr>
        <w:tc>
          <w:tcPr>
            <w:tcW w:type="dxa" w:w="3275"/>
            <w:vAlign w:val="center"/>
          </w:tcPr>
          <w:p>
            <w:pPr>
              <w:keepNext w:val="0"/>
              <w:keepLines/>
              <w:widowControl w:val="0"/>
              <w:spacing w:before="0" w:after="0" w:line="252" w:lineRule="auto"/>
              <w:jc w:val="left"/>
            </w:pPr>
            <w:r>
              <w:rPr>
                <w:rFonts w:ascii="Times New Roman" w:hAnsi="Times New Roman"/>
                <w:b w:val="0"/>
                <w:color w:val="000000"/>
                <w:sz w:val="20"/>
              </w:rPr>
              <w:t>Partida  primeiras 6 horas</w:t>
            </w:r>
          </w:p>
        </w:tc>
        <w:tc>
          <w:tcPr>
            <w:tcW w:type="dxa" w:w="1060"/>
            <w:vAlign w:val="center"/>
          </w:tcPr>
          <w:p>
            <w:pPr>
              <w:keepNext w:val="0"/>
              <w:keepLines/>
              <w:widowControl w:val="0"/>
              <w:spacing w:before="0" w:after="0" w:line="252" w:lineRule="auto"/>
              <w:jc w:val="center"/>
            </w:pPr>
            <w:r>
              <w:rPr>
                <w:rFonts w:ascii="Times New Roman" w:hAnsi="Times New Roman"/>
                <w:b w:val="0"/>
                <w:color w:val="000000"/>
                <w:sz w:val="20"/>
              </w:rPr>
              <w:t>30</w:t>
            </w:r>
          </w:p>
        </w:tc>
        <w:tc>
          <w:tcPr>
            <w:tcW w:type="dxa" w:w="1734"/>
            <w:vAlign w:val="center"/>
          </w:tcPr>
          <w:p>
            <w:pPr>
              <w:keepNext w:val="0"/>
              <w:keepLines/>
              <w:widowControl w:val="0"/>
              <w:spacing w:before="0" w:after="0" w:line="252" w:lineRule="auto"/>
              <w:jc w:val="center"/>
            </w:pPr>
            <w:r>
              <w:rPr>
                <w:rFonts w:ascii="Times New Roman" w:hAnsi="Times New Roman"/>
                <w:b w:val="0"/>
                <w:color w:val="000000"/>
                <w:sz w:val="20"/>
              </w:rPr>
              <w:t>11,7288</w:t>
            </w:r>
          </w:p>
        </w:tc>
        <w:tc>
          <w:tcPr>
            <w:tcW w:type="dxa" w:w="1734"/>
            <w:vAlign w:val="center"/>
          </w:tcPr>
          <w:p>
            <w:pPr>
              <w:keepNext w:val="0"/>
              <w:keepLines/>
              <w:widowControl w:val="0"/>
              <w:spacing w:before="0" w:after="0" w:line="252" w:lineRule="auto"/>
              <w:jc w:val="center"/>
            </w:pPr>
            <w:r>
              <w:rPr>
                <w:rFonts w:ascii="Times New Roman" w:hAnsi="Times New Roman"/>
                <w:b w:val="0"/>
                <w:color w:val="000000"/>
                <w:sz w:val="20"/>
              </w:rPr>
              <w:t>10,4517</w:t>
            </w:r>
          </w:p>
        </w:tc>
        <w:tc>
          <w:tcPr>
            <w:tcW w:type="dxa" w:w="1829"/>
            <w:vAlign w:val="center"/>
          </w:tcPr>
          <w:p>
            <w:pPr>
              <w:keepNext w:val="0"/>
              <w:keepLines/>
              <w:widowControl w:val="0"/>
              <w:spacing w:before="0" w:after="0" w:line="252" w:lineRule="auto"/>
              <w:jc w:val="center"/>
            </w:pPr>
            <w:r>
              <w:rPr>
                <w:rFonts w:ascii="Times New Roman" w:hAnsi="Times New Roman"/>
                <w:b w:val="0"/>
                <w:color w:val="000000"/>
                <w:sz w:val="20"/>
              </w:rPr>
              <w:t>+10,89%</w:t>
            </w:r>
          </w:p>
        </w:tc>
      </w:tr>
      <w:tr>
        <w:trPr>
          <w:cantSplit/>
        </w:trPr>
        <w:tc>
          <w:tcPr>
            <w:tcW w:type="dxa" w:w="3275"/>
            <w:vAlign w:val="center"/>
          </w:tcPr>
          <w:p>
            <w:pPr>
              <w:keepNext w:val="0"/>
              <w:keepLines/>
              <w:widowControl w:val="0"/>
              <w:spacing w:before="0" w:after="0" w:line="252" w:lineRule="auto"/>
              <w:jc w:val="left"/>
            </w:pPr>
            <w:r>
              <w:rPr>
                <w:rFonts w:ascii="Times New Roman" w:hAnsi="Times New Roman"/>
                <w:b w:val="0"/>
                <w:color w:val="000000"/>
                <w:sz w:val="20"/>
              </w:rPr>
              <w:t>Rampas intensas</w:t>
            </w:r>
          </w:p>
        </w:tc>
        <w:tc>
          <w:tcPr>
            <w:tcW w:type="dxa" w:w="1060"/>
            <w:vAlign w:val="center"/>
          </w:tcPr>
          <w:p>
            <w:pPr>
              <w:keepNext w:val="0"/>
              <w:keepLines/>
              <w:widowControl w:val="0"/>
              <w:spacing w:before="0" w:after="0" w:line="252" w:lineRule="auto"/>
              <w:jc w:val="center"/>
            </w:pPr>
            <w:r>
              <w:rPr>
                <w:rFonts w:ascii="Times New Roman" w:hAnsi="Times New Roman"/>
                <w:b w:val="0"/>
                <w:color w:val="000000"/>
                <w:sz w:val="20"/>
              </w:rPr>
              <w:t>258</w:t>
            </w:r>
          </w:p>
        </w:tc>
        <w:tc>
          <w:tcPr>
            <w:tcW w:type="dxa" w:w="1734"/>
            <w:vAlign w:val="center"/>
          </w:tcPr>
          <w:p>
            <w:pPr>
              <w:keepNext w:val="0"/>
              <w:keepLines/>
              <w:widowControl w:val="0"/>
              <w:spacing w:before="0" w:after="0" w:line="252" w:lineRule="auto"/>
              <w:jc w:val="center"/>
            </w:pPr>
            <w:r>
              <w:rPr>
                <w:rFonts w:ascii="Times New Roman" w:hAnsi="Times New Roman"/>
                <w:b w:val="0"/>
                <w:color w:val="000000"/>
                <w:sz w:val="20"/>
              </w:rPr>
              <w:t>24,0577</w:t>
            </w:r>
          </w:p>
        </w:tc>
        <w:tc>
          <w:tcPr>
            <w:tcW w:type="dxa" w:w="1734"/>
            <w:vAlign w:val="center"/>
          </w:tcPr>
          <w:p>
            <w:pPr>
              <w:keepNext w:val="0"/>
              <w:keepLines/>
              <w:widowControl w:val="0"/>
              <w:spacing w:before="0" w:after="0" w:line="252" w:lineRule="auto"/>
              <w:jc w:val="center"/>
            </w:pPr>
            <w:r>
              <w:rPr>
                <w:rFonts w:ascii="Times New Roman" w:hAnsi="Times New Roman"/>
                <w:b w:val="0"/>
                <w:color w:val="000000"/>
                <w:sz w:val="20"/>
              </w:rPr>
              <w:t>18,5491</w:t>
            </w:r>
          </w:p>
        </w:tc>
        <w:tc>
          <w:tcPr>
            <w:tcW w:type="dxa" w:w="1829"/>
            <w:vAlign w:val="center"/>
          </w:tcPr>
          <w:p>
            <w:pPr>
              <w:keepNext w:val="0"/>
              <w:keepLines/>
              <w:widowControl w:val="0"/>
              <w:spacing w:before="0" w:after="0" w:line="252" w:lineRule="auto"/>
              <w:jc w:val="center"/>
            </w:pPr>
            <w:r>
              <w:rPr>
                <w:rFonts w:ascii="Times New Roman" w:hAnsi="Times New Roman"/>
                <w:b w:val="0"/>
                <w:color w:val="000000"/>
                <w:sz w:val="20"/>
              </w:rPr>
              <w:t>+22,90%</w:t>
            </w:r>
          </w:p>
        </w:tc>
      </w:tr>
      <w:tr>
        <w:trPr>
          <w:cantSplit/>
        </w:trPr>
        <w:tc>
          <w:tcPr>
            <w:tcW w:type="dxa" w:w="3275"/>
            <w:vAlign w:val="center"/>
          </w:tcPr>
          <w:p>
            <w:pPr>
              <w:keepNext/>
              <w:keepLines/>
              <w:widowControl w:val="0"/>
              <w:spacing w:before="0" w:after="0" w:line="252" w:lineRule="auto"/>
              <w:jc w:val="left"/>
            </w:pPr>
            <w:r>
              <w:rPr>
                <w:rFonts w:ascii="Times New Roman" w:hAnsi="Times New Roman"/>
                <w:b w:val="0"/>
                <w:color w:val="000000"/>
                <w:sz w:val="20"/>
              </w:rPr>
              <w:t>Demais horas</w:t>
            </w:r>
          </w:p>
        </w:tc>
        <w:tc>
          <w:tcPr>
            <w:tcW w:type="dxa" w:w="1060"/>
            <w:vAlign w:val="center"/>
          </w:tcPr>
          <w:p>
            <w:pPr>
              <w:keepNext/>
              <w:keepLines/>
              <w:widowControl w:val="0"/>
              <w:spacing w:before="0" w:after="0" w:line="252" w:lineRule="auto"/>
              <w:jc w:val="center"/>
            </w:pPr>
            <w:r>
              <w:rPr>
                <w:rFonts w:ascii="Times New Roman" w:hAnsi="Times New Roman"/>
                <w:b w:val="0"/>
                <w:color w:val="000000"/>
                <w:sz w:val="20"/>
              </w:rPr>
              <w:t>857</w:t>
            </w:r>
          </w:p>
        </w:tc>
        <w:tc>
          <w:tcPr>
            <w:tcW w:type="dxa" w:w="1734"/>
            <w:vAlign w:val="center"/>
          </w:tcPr>
          <w:p>
            <w:pPr>
              <w:keepNext/>
              <w:keepLines/>
              <w:widowControl w:val="0"/>
              <w:spacing w:before="0" w:after="0" w:line="252" w:lineRule="auto"/>
              <w:jc w:val="center"/>
            </w:pPr>
            <w:r>
              <w:rPr>
                <w:rFonts w:ascii="Times New Roman" w:hAnsi="Times New Roman"/>
                <w:b w:val="0"/>
                <w:color w:val="000000"/>
                <w:sz w:val="20"/>
              </w:rPr>
              <w:t>19,2544</w:t>
            </w:r>
          </w:p>
        </w:tc>
        <w:tc>
          <w:tcPr>
            <w:tcW w:type="dxa" w:w="1734"/>
            <w:vAlign w:val="center"/>
          </w:tcPr>
          <w:p>
            <w:pPr>
              <w:keepNext/>
              <w:keepLines/>
              <w:widowControl w:val="0"/>
              <w:spacing w:before="0" w:after="0" w:line="252" w:lineRule="auto"/>
              <w:jc w:val="center"/>
            </w:pPr>
            <w:r>
              <w:rPr>
                <w:rFonts w:ascii="Times New Roman" w:hAnsi="Times New Roman"/>
                <w:b w:val="0"/>
                <w:color w:val="000000"/>
                <w:sz w:val="20"/>
              </w:rPr>
              <w:t>22,3416</w:t>
            </w:r>
          </w:p>
        </w:tc>
        <w:tc>
          <w:tcPr>
            <w:tcW w:type="dxa" w:w="1829"/>
            <w:vAlign w:val="center"/>
          </w:tcPr>
          <w:p>
            <w:pPr>
              <w:keepNext/>
              <w:keepLines/>
              <w:widowControl w:val="0"/>
              <w:spacing w:before="0" w:after="0" w:line="252" w:lineRule="auto"/>
              <w:jc w:val="center"/>
            </w:pPr>
            <w:r>
              <w:rPr>
                <w:rFonts w:ascii="Times New Roman" w:hAnsi="Times New Roman"/>
                <w:b w:val="0"/>
                <w:color w:val="000000"/>
                <w:sz w:val="20"/>
              </w:rPr>
              <w:t>−16,03%</w:t>
            </w:r>
          </w:p>
        </w:tc>
      </w:tr>
    </w:tbl>
    <w:p>
      <w:pPr>
        <w:pStyle w:val="ArticleNote"/>
      </w:pPr>
      <w:r>
        <w:t>Ganho = 100 × (MAE A − MAE B) / MAE A. Rampas: |ΔP| ≥ 56 MW por intervalo de uma hora. Uma hora pertence simultaneamente aos contextos de partida e rampa; as contagens dos três subgrupos não devem ser somadas diretamente.</w:t>
      </w:r>
    </w:p>
    <w:p>
      <w:pPr>
        <w:pStyle w:val="Caption"/>
      </w:pPr>
      <w:r>
        <w:t>Figura 1 Erro absoluto médio dos cenários A e B por contexto operacional</w:t>
      </w:r>
    </w:p>
    <w:p>
      <w:pPr>
        <w:keepNext/>
        <w:spacing w:after="80"/>
        <w:jc w:val="center"/>
      </w:pPr>
      <w:r>
        <w:drawing>
          <wp:inline xmlns:a="http://schemas.openxmlformats.org/drawingml/2006/main" xmlns:pic="http://schemas.openxmlformats.org/drawingml/2006/picture">
            <wp:extent cx="6116320" cy="3332025"/>
            <wp:docPr id="1" name="Picture 1" descr="Figura 1 Erro absoluto médio dos cenários A e B por contexto operacional"/>
            <wp:cNvGraphicFramePr>
              <a:graphicFrameLocks noChangeAspect="1"/>
            </wp:cNvGraphicFramePr>
            <a:graphic>
              <a:graphicData uri="http://schemas.openxmlformats.org/drawingml/2006/picture">
                <pic:pic>
                  <pic:nvPicPr>
                    <pic:cNvPr id="0" name="figura_02_mae_por_contexto.png"/>
                    <pic:cNvPicPr/>
                  </pic:nvPicPr>
                  <pic:blipFill>
                    <a:blip r:embed="rId11"/>
                    <a:stretch>
                      <a:fillRect/>
                    </a:stretch>
                  </pic:blipFill>
                  <pic:spPr>
                    <a:xfrm>
                      <a:off x="0" y="0"/>
                      <a:ext cx="6116320" cy="3332025"/>
                    </a:xfrm>
                    <a:prstGeom prst="rect"/>
                  </pic:spPr>
                </pic:pic>
              </a:graphicData>
            </a:graphic>
          </wp:inline>
        </w:drawing>
      </w:r>
    </w:p>
    <w:p>
      <w:pPr>
        <w:pStyle w:val="ArticleNote"/>
      </w:pPr>
      <w:r>
        <w:t>Dados da Tabela 7. Erros em short tons de CO₂ por registro horário. A figura apresenta estimativas descritivas, sem intervalos de confiança; partidas e rampas têm uma observação em comum.</w:t>
      </w:r>
    </w:p>
    <w:p>
      <w:pPr/>
      <w:r>
        <w:t>A análise complementar de calendário encontrou, para a redução média do erro absoluto de B frente a A nas rampas, 5,51 short tons por registro, com limites de reamostragem positivos nos três comprimentos de bloco. Na comparação global, a diferença foi −1,02, e todos os limites incluíram zero. Esses resultados caracterizam a sensibilidade das previsões já ajustadas; não transformam o teste reutilizado em validação confirmatória. A Figura D1 apresenta essa sensibilidade lado a lado nos contextos global e de rampas. A ablação e suas limitações constam no Apêndice D.</w:t>
      </w:r>
    </w:p>
    <w:p>
      <w:pPr/>
      <w:r>
        <w:t>Na comparação complementar com cinco sementes, o XGBoost apresentou menor MAE de teste que a MLP nos cenários A e B em todas as sementes. As médias e os desvios padrão entre sementes foram 20,45 ± 0,02 e 21,22 ± 0,62 para XGBoost A e B; para MLP A e B, 57,28 ± 1,25 e 56,38 ± 1,82. A trajetória reduziu o MAE em três das cinco sementes da MLP e em uma das cinco do XGBoost. Esses resultados descrevem o novo protocolo sem reajuste com outubro e não substituem as comparações anteriores. Na validação, a ordenação entre famílias foi inversa, com menor MAE da MLP; a Figura D2 torna visível essa inversão nas mesmas sementes, e os valores completos estão na Tabela D4.</w:t>
      </w:r>
    </w:p>
    <w:p>
      <w:pPr>
        <w:pStyle w:val="Heading1"/>
        <w:pageBreakBefore w:val="0"/>
      </w:pPr>
      <w:r>
        <w:t>5 Discussão</w:t>
      </w:r>
    </w:p>
    <w:p>
      <w:pPr/>
      <w:r>
        <w:t>Os complementos examinam dimensões distintas da comparação. O 03A.05A avalia a retirada de atributos sob configuração fixada; o 03A.05B examina a sensibilidade temporal das perdas dos modelos preservados; e o 03A.05C descreve a variabilidade do treinamento entre sementes. Seus resultados delimitam a interpretação das comparações originais, sem constituir avaliações independentes em novos períodos.</w:t>
      </w:r>
    </w:p>
    <w:p>
      <w:pPr/>
      <w:r>
        <w:t>Os resultados mostram comportamentos distintos para a abrangência histórica e a representação da trajetória. O histórico ampliado apresentou menor erro em comparação aos dados recentes. Já na comparação entre representações com histórico e amostra comuns, o acréscimo da trajetória não reduziu o erro global. O melhor desempenho global do modelo com carga atual se refere ao conjunto observado e não demonstra que essa variável determine integralmente a emissão. B acrescenta informação, mas também relações algébricas e atributos correlacionados. O desenho compara as configurações resultantes sem separar completamente o valor dos atributos da complexidade selecionada para o modelo. A ablação de complexidade fixada acrescenta um controle parcial: retirar a média de três horas reduz o MAE global de B em 2,28%, mas aumenta seu erro nas rampas. Retirar delta e módulo reduz o MAE nas rampas em 6,96% frente ao B completo, porém os limites exploratórios dessa redução incluem zero com blocos de três e sete dias. Nenhuma variante supera o MAE global de A. Assim, as redundâncias sugerem alternativas para avaliação futura, sem justificar seleção retrospectiva de uma nova representação final.</w:t>
      </w:r>
    </w:p>
    <w:p>
      <w:pPr/>
      <w:r>
        <w:t>Nas rampas, as métricas e a frequência de melhorias favoreceram B. Esse comportamento é compatível com a evidência de que variações de despacho podem deslocar unidades térmicas para condições de menor eficiência e alterar a intensidade de CO₂ (Suri; de Chalendar; Azevedo, 2025). Em uma unidade a carvão de 1.000 MW, Liu et al. (2025a) também identificaram aumento da intensidade de carbono sob regimes de regulação profunda de carga, embora em um desenho de ciclo de vida e em uma instalação distintos da Iatan. Ao mesmo tempo, Fayaz et al. (2026), em preprint sobre plantas de cimento, restringiram a comparação com histórico de um minuto a uma planta e observaram ali maior benefício para NOx do que para CO e CO₂. A comparação entre setores e instalações não permite transferir resultados diretamente, mas reforça que a memória do processo e o efeito dos regimes não devem ser tratados como universais. No presente estudo, a associação observada nas rampas permanece descritiva: o desenho não identifica o mecanismo responsável, e os limiares de 130 e 56 MW por intervalo horário definiram grupos diferentes entre etapas.</w:t>
      </w:r>
    </w:p>
    <w:p>
      <w:pPr/>
      <w:r>
        <w:t>A coexistência de menor viés e maior MAE é compatível com a distinção entre essas métricas: o viés admite compensação entre resíduos positivos e negativos, enquanto o MAE considera suas magnitudes. A avaliação deve, por isso, explicitar o comportamento relevante para o uso do estimador.</w:t>
      </w:r>
    </w:p>
    <w:p>
      <w:pPr/>
      <w:r>
        <w:t>Quanto ao histórico, ampliar a amostra modifica tanto sua quantidade quanto a composição dos regimes e a distância temporal dos exemplos. A exclusão de 2023 e 2024, decidida após análises exploratórias, também altera essa composição. Sem manter as demais decisões em uma comparação específica, seu efeito permanece indeterminado. A inversão entre validação e teste reforça os cuidados com avaliação temporal e viés de seleção discutidos por Cerqueira, Torgo e Mozetič (2020) e Cawley e Talbot (2010). Huang et al. (2027) reforçam essa cautela ao avaliar previsão de carbono sob histórico reduzido e regimes operacionais distintos, além de empregar calibração conformal para intervalos de previsão. A calibração de incerteza não foi aplicada retrospectivamente neste trabalho e permanece como possibilidade para uma etapa futura previamente especificada. Em um preprint voltado a frotas, Potts et al. (2026) associam situações fora da distribuição conhecida a menor confiança e usam, entre outros sinais, a quantidade de atributos fora da faixa observada no treinamento. Esse princípio motivou a inclusão de um diagnóstico adicional de cobertura operacional no Notebook 03A.05. Na execução recebida de 29 de outubro de 2026, o diagnóstico não encontrou valores do teste fora dos mínimos e máximos de treinamento de cada um dos sete atributos. Esse controle marginal não avalia combinações multivariadas inéditas, não calibra confiança e não reproduz o sistema de Potts et al.; o treinamento dos modelos permaneceu inalterado. Aqui, os indicadores disponíveis descrevem diferenças entre períodos, sem identificar sua causa física ou demonstrar mudança na relação condicional entre carga e emissão.</w:t>
      </w:r>
    </w:p>
    <w:p>
      <w:pPr/>
      <w:r>
        <w:t>A comparação com a literatura também depende do desenho de cada estudo. Gu, Sward e Zhang (2023) e Wang et al. (2025) encontraram bom desempenho do XGBoost em problemas de emissões, mas utilizaram conjuntos de atributos, frequências e esquemas de validação distintos. Potts, Hackney e Leontidis (2023) chegaram a resultado semelhante para dados tabulares de turbina a gás, enquanto X. Liu et al. (2025b) obtiveram maior R² com ElasticNet e menor MAE com regressão linear em dados diários de uma usina a carvão. Assim, a convergência sobre uma família de modelo não é esperada a priori, e os valores de MAE ou R² não devem ser comparados fora de seus respectivos alvos, escalas e protocolos. O benchmark de Grinsztajn, Oyallon e Varoquaux (2022) reforça a necessidade de considerar atributos e orçamento ao interpretar redes e árvores. A aplicação de Si et al. (2019), por sua vez, mostra a viabilidade de redes em PEMS de NOx, sem transferir seu particionamento aleatório para este problema temporal. O desempenho inferior da MLP executada aqui permanece restrito à arquitetura e ao procedimento utilizados. No complemento de cinco sementes, a vantagem do XGBoost no teste permaneceu nos dois cenários, mas a MLP apresentou menor erro em outubro. Essa inversão indica dependência do período avaliado e impede interpretar a ordenação do teste como superioridade em todo regime. Os dez pares compartilham as mesmas 1.144 horas: são repetições de treinamento, sem constituir dez amostras temporais independentes. O efeito de B também variou entre sementes, não sustentando ganho global estável da trajetória nesse complemento.</w:t>
      </w:r>
    </w:p>
    <w:p>
      <w:pPr/>
      <w:r>
        <w:t>O alcance dos resultados é limitado pela seleção retrospectiva de uma unidade, pelo teste de dois meses e pelas amostras reduzidas de validação e partida. As etapas originais utilizaram uma semente por configuração; o complemento 03A.05C examinou cinco sementes sob configurações fixadas e amostra comum. A dispersão entre essas sementes descreve variabilidade condicional do ajuste, sem incorporar seleção de arquitetura, hiperparâmetros ou novos períodos. A reamostragem complementar em calendário examina apenas a sensibilidade temporal das perdas dos modelos salvos; não estima a incerteza de treinamento ou seleção. Há somente 61 dias no teste, com 30 horas de partida concentradas em poucos blocos, o que limita especialmente a interpretação desse contexto. Além disso, a reutilização do teste durante o desenvolvimento permite influência indireta sobre decisões posteriores. Couture et al. (2024) adotam validação por plantas não vistas, e Jin et al. (2026) mostram que a transferência entre usinas depende da relação entre domínio de origem, domínio-alvo e estratégia de adaptação; nenhum desses problemas foi testado de forma equivalente aqui. Potts et al. (2026), em preprint, propõem diagnósticos explícitos para condições fora da distribuição, e a coerência com restrições físicas e operacionais é um requisito de implantação destacado por Ashraf, Dua e Debnath (2026). Por fim, a continuidade documental do monitoramento não comprova homogeneidade instrumental ou estabilidade de calibração. Lu, Tang e Duan (2024) mostram, em outra usina a carvão, que a operação dinâmica pode afetar a vazão de gases usada em medições associadas ao CEMS; essa evidência justifica cautela metrológica, mas não demonstra erro nos dados da Iatan. As diferenças anuais observadas neste estudo, portanto, não podem ser atribuídas exclusivamente à operação.</w:t>
      </w:r>
    </w:p>
    <w:p>
      <w:pPr>
        <w:pStyle w:val="Heading1"/>
        <w:pageBreakBefore w:val="0"/>
      </w:pPr>
      <w:r>
        <w:t>6 Conclusões</w:t>
      </w:r>
    </w:p>
    <w:p>
      <w:pPr/>
      <w:r>
        <w:t>O estudo mostrou que a contribuição da trajetória operacional à estimação horária de CO₂ na Iatan depende do contexto. Com XGBoost e histórico ampliado, B melhorou a estimação nas rampas, mas A apresentou menor MAE global. A ampliação do histórico foi favorável em sua comparação específica, sem que isso estabeleça superioridade geral de representações mais extensas.</w:t>
      </w:r>
    </w:p>
    <w:p>
      <w:pPr/>
      <w:r>
        <w:t>A comparação complementar com cinco sementes confirmou menor MAE de teste do XGBoost frente à MLP nas configurações estudadas, com inversão da ordenação na validação e sem ganho global consistente de B entre sementes. A análise por contexto permitiu reconhecer diferenças parcialmente ocultadas pelas métricas agregadas. Essas conclusões se restringem às condições, aos períodos e às configurações estudadas, consideradas as limitações de seleção e avaliação discutidas anteriormente.</w:t>
      </w:r>
    </w:p>
    <w:p>
      <w:pPr>
        <w:pStyle w:val="Heading1"/>
        <w:pageBreakBefore w:val="0"/>
      </w:pPr>
      <w:r>
        <w:t>Disponibilidade de dados e código</w:t>
      </w:r>
    </w:p>
    <w:p>
      <w:pPr/>
      <w:r>
        <w:t>Os dados de origem podem ser consultados no CAMPD da EPA (United States, 2026). O recorte corresponde à Iatan Unit 2, Facility ID 6065, com registros de outubro de 2010 a dezembro de 2025. O repositório público do projeto reúne códigos, relatórios e resultados (Costa; Calmon; Menezes, 2026). O Apêndice B apresenta links com nomes descritivos para versões específicas desses materiais.</w:t>
      </w:r>
    </w:p>
    <w:p>
      <w:pPr/>
      <w:r>
        <w:t>Os arquivos anuais preservados e os dados volumosos de reprodução integram um pacote complementar no Drive, com acesso restrito aos colaboradores autorizados. Uma nova consulta à EPA permite obter dados públicos, mas não garante arquivos idênticos aos preservados. Além da reprodução local das duas etapas finais em 24 de outubro, foram inspecionadas as novas execuções completas dos oito notebooks principais recebidas em 29 de outubro de 2026, com resultados salvos e sem erros de execução registrados. A ablação, a reamostragem em calendário e a comparação de cinco sementes foram executadas no Colab. A conferência independente dos pacotes finais reuniu 376 verificações, incluindo identidade dos insumos, recálculo das métricas e recarga dos 20 modelos do 03A.05C. As previsões dos XGBoosts coincidiram exatamente; nas MLPs, a maior diferença de inferência entre plataformas foi 0,0001221 short ton, inferior à tolerância de 0,001. As métricas publicadas foram calculadas das previsões originais do Colab. Essa inspeção não equivale a uma reprodução local independente de todos os ajustes. O registro bibliográfico reúne DOI ou URL oficial e a aplicação de cada fonte; as cópias de artigos permanecem na biblioteca privada quando a licença de redistribuição pública não está confirmada. Os links históricos do Apêndice B identificam a versão de 24 de outubro. A atualização consolidada do artigo, notebooks executados, tabelas e registros de conferência está disponível na pasta outputs/auditoria_consolidada_2026-10-29 do repositório, indicada também no README. Os dados volumosos e os PDFs privados das referências permanecem no Drive do projeto.</w:t>
      </w:r>
    </w:p>
    <w:p>
      <w:pPr/>
      <w:r>
        <w:t>Na revisão documental de 30 de outubro de 2026, 38 verificações adicionais conferiram a reconstrução dos atributos, a ausência de influência de observações futuras sobre os atributos passados e a fidelidade das figuras aos resultados preservados. Essas verificações e os arquivos usados nas figuras estão registrados em outputs/revisao_material_2026-10-30. Não houve novo treinamento nessa revisão. O mapa de experimentos concluídos relaciona as perguntas de cada etapa aos respectivos protocolos e arquivos de evidência.</w:t>
      </w:r>
    </w:p>
    <w:p>
      <w:pPr>
        <w:pStyle w:val="Heading1"/>
        <w:pageBreakBefore w:val="0"/>
      </w:pPr>
      <w:r>
        <w:t>Agradecimentos</w:t>
      </w:r>
    </w:p>
    <w:p>
      <w:pPr/>
      <w:r>
        <w:t>Os autores agradecem à United States Environmental Protection Agency pela disponibilização pública dos dados utilizados neste estudo.</w:t>
      </w:r>
    </w:p>
    <w:p>
      <w:pPr>
        <w:pStyle w:val="Heading1"/>
        <w:pageBreakBefore w:val="0"/>
      </w:pPr>
      <w:r>
        <w:t>Referências</w:t>
      </w:r>
    </w:p>
    <w:p>
      <w:pPr>
        <w:pStyle w:val="ArticleReference"/>
      </w:pPr>
      <w:r>
        <w:t>ASHRAF, W. M.; DUA, V.; DEBNATH, R. Domain consistent industrial decarbonisation of global coal power plants. Communications Sustainability, [s. l.], v. 1, art. 10, 2026. DOI: https://doi.org/10.1038/s44458-025-00010-w. Disponível em: https://www.nature.com/articles/s44458-025-00010-w. Acesso em: 29 out. 2026.</w:t>
      </w:r>
    </w:p>
    <w:p>
      <w:pPr>
        <w:pStyle w:val="ArticleReference"/>
      </w:pPr>
      <w:r>
        <w:t>BERGSTRA, J.; BENGIO, Y. Random Search for Hyper-Parameter Optimization. Journal of Machine Learning Research, [s. l.], v. 13, n. 10, p. 281-305, 2012. Disponível em: https://jmlr.org/papers/v13/bergstra12a.html. Acesso em: 29 out. 2026.</w:t>
      </w:r>
    </w:p>
    <w:p>
      <w:pPr>
        <w:pStyle w:val="ArticleReference"/>
      </w:pPr>
      <w:r>
        <w:t>CAWLEY, G. C.; TALBOT, N. L. C. On Over-fitting in Model Selection and Subsequent Selection Bias in Performance Evaluation. Journal of Machine Learning Research, [s. l.], v. 11, n. 70, p. 2079-2107, 2010. Disponível em: https://jmlr.org/papers/v11/cawley10a.html. Acesso em: 29 out. 2026.</w:t>
      </w:r>
    </w:p>
    <w:p>
      <w:pPr>
        <w:pStyle w:val="ArticleReference"/>
      </w:pPr>
      <w:r>
        <w:t>CERQUEIRA, V.; TORGO, L.; MOZETIČ, I. Evaluating time series forecasting models: an empirical study on performance estimation methods. Machine Learning, [s. l.], v. 109, n. 11, p. 1997-2028, 2020. DOI: https://doi.org/10.1007/s10994-020-05910-7. Disponível em: https://link.springer.com/article/10.1007/s10994-020-05910-7. Acesso em: 29 out. 2026.</w:t>
      </w:r>
    </w:p>
    <w:p>
      <w:pPr>
        <w:pStyle w:val="ArticleReference"/>
      </w:pPr>
      <w:r>
        <w:t>CHEN, T.; GUESTRIN, C. XGBoost: A Scalable Tree Boosting System. In: ACM SIGKDD INTERNATIONAL CONFERENCE ON KNOWLEDGE DISCOVERY AND DATA MINING, 22., 2016, San Francisco. Proceedings [...]. New York: ACM, 2016. p. 785-794. DOI: https://doi.org/10.1145/2939672.2939785. Disponível em: https://www.kdd.org/kdd2016/papers/files/rfp0697-chenAemb.pdf. Versão dos autores consultada: arXiv:1603.02754, https://arxiv.org/abs/1603.02754. Acesso em: 29 out. 2026.</w:t>
      </w:r>
    </w:p>
    <w:p>
      <w:pPr>
        <w:pStyle w:val="ArticleReference"/>
      </w:pPr>
      <w:r>
        <w:t>COSTA, G. P. R.; CALMON, F.; MENEZES, T. co2-cems-thermal-modeling. [S. l.]: GitHub, 2026. Repositório de código, relatórios e resultados. Versão consultada em 24 out. 2026, com links específicos no Apêndice B. Disponível em: https://github.com/prcgui/co2-cems-thermal-modeling. Acesso em: 29 out. 2026.</w:t>
      </w:r>
    </w:p>
    <w:p>
      <w:pPr>
        <w:pStyle w:val="ArticleReference"/>
      </w:pPr>
      <w:r>
        <w:t>COUTURE, H. D. et al. Estimating Carbon Dioxide Emissions from Power Plant Water Vapor Plumes Using Satellite Imagery and Machine Learning. Remote Sensing, Basel, v. 16, n. 7, art. 1290, 2024. DOI: https://doi.org/10.3390/rs16071290. Disponível em: https://www.mdpi.com/2072-4292/16/7/1290. Acesso em: 29 out. 2026.</w:t>
      </w:r>
    </w:p>
    <w:p>
      <w:pPr>
        <w:pStyle w:val="ArticleReference"/>
      </w:pPr>
      <w:r>
        <w:t>DIEBOLD, F. X.; MARIANO, R. S. Comparing Predictive Accuracy. Cambridge, MA: National Bureau of Economic Research, nov. 1994. Technical Working Paper 169. DOI: https://doi.org/10.3386/t0169. Disponível em: https://www.nber.org/papers/t0169. Acesso em: 29 out. 2026.</w:t>
      </w:r>
    </w:p>
    <w:p>
      <w:pPr>
        <w:pStyle w:val="ArticleReference"/>
      </w:pPr>
      <w:r>
        <w:t>FAYAZ, S. J. et al. A Multi-Plant Machine Learning Framework for Emission Prediction, Forecasting, and Control in Cement Manufacturing. arXiv, 2026. Preprint arXiv:2604.19903v1, submetido em 21 abr. 2026. DOI: https://doi.org/10.48550/arXiv.2604.19903. Disponível em: https://arxiv.org/abs/2604.19903. Acesso em: 29 out. 2026.</w:t>
      </w:r>
    </w:p>
    <w:p>
      <w:pPr>
        <w:pStyle w:val="ArticleReference"/>
      </w:pPr>
      <w:r>
        <w:t>FAYYAD, U.; PIATETSKY-SHAPIRO, G.; SMYTH, P. From Data Mining to Knowledge Discovery in Databases. AI Magazine, [s. l.], v. 17, n. 3, p. 37-54, 1996. DOI: https://doi.org/10.1609/aimag.v17i3.1230. Disponível em: https://ojs.aaai.org/aimagazine/index.php/aimagazine/article/view/1230. Acesso em: 30 out. 2026.</w:t>
      </w:r>
    </w:p>
    <w:p>
      <w:pPr>
        <w:pStyle w:val="ArticleReference"/>
      </w:pPr>
      <w:r>
        <w:t>FRIEDMAN, J. H. Greedy function approximation: A gradient boosting machine. The Annals of Statistics, [s. l.], v. 29, n. 5, p. 1189-1232, 2001. DOI: https://doi.org/10.1214/aos/1013203451. Disponível em: https://projecteuclid.org/journals/annals-of-statistics/volume-29/issue-5/Greedy-function-approximation-A-gradient-boosting-machine/10.1214/aos/1013203451.full. Acesso em: 29 out. 2026.</w:t>
      </w:r>
    </w:p>
    <w:p>
      <w:pPr>
        <w:pStyle w:val="ArticleReference"/>
      </w:pPr>
      <w:r>
        <w:t>GAMA, J.; ŽLIOBAITĖ, I.; BIFET, A.; PECHENIZKIY, M.; BOUCHACHIA, A. A survey on concept drift adaptation. ACM Computing Surveys, [s. l.], v. 46, n. 4, art. 44, p. 1-37, 2014. DOI: https://doi.org/10.1145/2523813. Disponível em: https://dl.acm.org/doi/10.1145/2523813. Manuscrito aceito consultado: https://www.win.tue.nl/~mpechen/publications/pubs/Gama_ACMCS_AdaptationCD_accepted.pdf, com metadados da publicação final conferidos. Acesso em: 29 out. 2026.</w:t>
      </w:r>
    </w:p>
    <w:p>
      <w:pPr>
        <w:pStyle w:val="ArticleReference"/>
      </w:pPr>
      <w:r>
        <w:t>GLOROT, X.; BORDES, A.; BENGIO, Y. Deep Sparse Rectifier Neural Networks. In: INTERNATIONAL CONFERENCE ON ARTIFICIAL INTELLIGENCE AND STATISTICS, 14., 2011, Fort Lauderdale. Proceedings [...]. [S. l.]: PMLR, 2011. v. 15, p. 315-323. Disponível em: https://proceedings.mlr.press/v15/glorot11a.html. Acesso em: 29 out. 2026.</w:t>
      </w:r>
    </w:p>
    <w:p>
      <w:pPr>
        <w:pStyle w:val="ArticleReference"/>
      </w:pPr>
      <w:r>
        <w:t>GRINSZTAJN, L.; OYALLON, E.; VAROQUAUX, G. Why do tree-based models still outperform deep learning on typical tabular data? Advances in Neural Information Processing Systems, v. 35, Datasets and Benchmarks Track, 2022. DOI: https://doi.org/10.52202/068431-0037. Disponível em: https://proceedings.neurips.cc/paper_files/paper/2022/hash/0378c7692da36807bdec87ab043cdadc-Abstract-Datasets_and_Benchmarks.html. Acesso em: 29 out. 2026.</w:t>
      </w:r>
    </w:p>
    <w:p>
      <w:pPr>
        <w:pStyle w:val="ArticleReference"/>
      </w:pPr>
      <w:r>
        <w:t>GU, J.; SWARD, J. A.; ZHANG, K. M. Predicting power plant emissions using public data and machine learning. Environmental Science: Advances, [s. l.], v. 2, n. 12, p. 1696-1707, 2023. DOI: https://doi.org/10.1039/D3VA00191A. Disponível em: https://pubs.rsc.org/en/content/articlelanding/2023/va/d3va00191a. Acesso em: 29 out. 2026.</w:t>
      </w:r>
    </w:p>
    <w:p>
      <w:pPr>
        <w:pStyle w:val="ArticleReference"/>
      </w:pPr>
      <w:r>
        <w:t>GUEVARA, M.; ENCISO, S.; TENA, C.; JORBA, O.; DELLAERT, S.; DENIER VAN DER GON, H.; PÉREZ GARCÍA-PANDO, C. A global catalogue of CO₂ emissions and co-emitted species from power plants, including high-resolution vertical and temporal profiles. Earth System Science Data, [s. l.], v. 16, p. 337-373, 2024. DOI: https://doi.org/10.5194/essd-16-337-2024. Disponível em: https://essd.copernicus.org/articles/16/337/2024/. Acesso em: 29 out. 2026.</w:t>
      </w:r>
    </w:p>
    <w:p>
      <w:pPr>
        <w:pStyle w:val="ArticleReference"/>
      </w:pPr>
      <w:r>
        <w:t>GUTHRIE, W. F. NIST/SEMATECH e-Handbook of Statistical Methods (NIST Handbook 151). Gaithersburg: National Institute of Standards and Technology, 2020. Seções 1.3.3.7, Box Plot, e 1.3.5.17, Detection of Outliers. DOI: https://doi.org/10.18434/M32189. Disponível em: https://www.itl.nist.gov/div898/handbook/eda/section3/boxplot.htm e https://www.itl.nist.gov/div898/handbook/eda/section3/eda35h.htm. Acesso em: 29 out. 2026.</w:t>
      </w:r>
    </w:p>
    <w:p>
      <w:pPr>
        <w:pStyle w:val="ArticleReference"/>
      </w:pPr>
      <w:r>
        <w:t>HUANG, R.; LUO, W.; JIANG, Y.; LIANG, X.; LIU, Z.; WANG, Z.; LI, L.; ZHONG, D.; YAO, S. A domain-informed forecasting framework for short-horizon carbon emissions prediction in power plants under reduced-history conditions. Electric Power Systems Research, [s. l.], v. 265, art. 114351, 2027. Disponibilizado online em 12 out. 2026. DOI: https://doi.org/10.1016/j.epsr.2026.114351. Acesso em: 29 out. 2026.</w:t>
      </w:r>
    </w:p>
    <w:p>
      <w:pPr>
        <w:pStyle w:val="ArticleReference"/>
      </w:pPr>
      <w:r>
        <w:t>HYNDMAN, R. J.; KOEHLER, A. B. Another look at measures of forecast accuracy. International Journal of Forecasting, [s. l.], v. 22, n. 4, p. 679-688, 2006. DOI: https://doi.org/10.1016/j.ijforecast.2006.03.001. Disponível em: https://robjhyndman.com/publications/another-look-at-measures-of-forecast-accuracy/. Manuscrito dos autores consultado, de 2 nov. 2005: https://robjhyndman.com/papers/mase.pdf, correspondente à publicação de 2006. Acesso em: 29 out. 2026.</w:t>
      </w:r>
    </w:p>
    <w:p>
      <w:pPr>
        <w:pStyle w:val="ArticleReference"/>
      </w:pPr>
      <w:r>
        <w:t>JIN, X.; ZHANG, L.; LI, F.; XIE, W.; MA, D.; WU, Y. An explainable transfer learning approach to predict carbon emission intensity of coal-fired power plants with multi-source monitoring data. Expert Systems with Applications, [s. l.], v. 298, art. 129743, 2026. DOI: https://doi.org/10.1016/j.eswa.2025.129743. Acesso em: 29 out. 2026.</w:t>
      </w:r>
    </w:p>
    <w:p>
      <w:pPr>
        <w:pStyle w:val="ArticleReference"/>
      </w:pPr>
      <w:r>
        <w:t>JOLLIFFE, I. T.; CADIMA, J. Principal component analysis: a review and recent developments. Philosophical Transactions of the Royal Society A: Mathematical, Physical and Engineering Sciences, [s. l.], v. 374, n. 2065, art. 20150202, 2016. DOI: https://doi.org/10.1098/rsta.2015.0202. Disponível em: https://pmc.ncbi.nlm.nih.gov/articles/PMC4792409/. Acesso em: 29 out. 2026.</w:t>
      </w:r>
    </w:p>
    <w:p>
      <w:pPr>
        <w:pStyle w:val="ArticleReference"/>
      </w:pPr>
      <w:r>
        <w:t>KAYA, H.; TÜFEKCI, P.; UZUN, E. Predicting CO and NOx emissions from gas turbines: novel data and a benchmark PEMS. Turkish Journal of Electrical Engineering and Computer Sciences, [s. l.], v. 27, n. 6, p. 4783-4796, 2019. DOI: https://doi.org/10.3906/elk-1807-87. Disponível em: https://journals.tubitak.gov.tr/elektrik/vol27/iss6/53/. Acesso em: 29 out. 2026.</w:t>
      </w:r>
    </w:p>
    <w:p>
      <w:pPr>
        <w:pStyle w:val="ArticleReference"/>
      </w:pPr>
      <w:r>
        <w:t>KINGMA, D. P.; BA, J. Adam: A Method for Stochastic Optimization. [S. l.: s. n.], 2015. Trabalho apresentado na 3rd International Conference on Learning Representations, San Diego, 2015. Disponível em: https://arxiv.org/abs/1412.6980. Acesso em: 29 out. 2026.</w:t>
      </w:r>
    </w:p>
    <w:p>
      <w:pPr>
        <w:pStyle w:val="ArticleReference"/>
      </w:pPr>
      <w:r>
        <w:t>KÜNSCH, H. R. The Jackknife and the Bootstrap for General Stationary Observations. The Annals of Statistics, v. 17, n. 3, p. 1217-1241, 1989. DOI: https://doi.org/10.1214/aos/1176347265. Acesso em: 29 out. 2026.</w:t>
      </w:r>
    </w:p>
    <w:p>
      <w:pPr>
        <w:pStyle w:val="ArticleReference"/>
      </w:pPr>
      <w:r>
        <w:t>LIU, X.; YU, H.; LIU, H.; SUN, Z. Life cycle carbon footprint analysis of deep load regulation in coal-fired power plants based on machine learning: a case study of a 1000 MW unit in Hunan province. Case Studies in Thermal Engineering, [s. l.], v. 68, art. 105861, 2025a. DOI: https://doi.org/10.1016/j.csite.2025.105861. Acesso em: 29 out. 2026.</w:t>
      </w:r>
    </w:p>
    <w:p>
      <w:pPr>
        <w:pStyle w:val="ArticleReference"/>
      </w:pPr>
      <w:r>
        <w:t>LIU, X.; YU, H.; LIU, H.; SUN, Z. Multi-Factor Carbon Emissions Prediction in Coal-Fired Power Plants: A Machine Learning Approach for Carbon Footprint Management. Energies, Basel, v. 18, n. 7, art. 1715, 2025b. DOI: https://doi.org/10.3390/en18071715. Disponível em: https://www.mdpi.com/1996-1073/18/7/1715. Acesso em: 29 out. 2026.</w:t>
      </w:r>
    </w:p>
    <w:p>
      <w:pPr>
        <w:pStyle w:val="ArticleReference"/>
      </w:pPr>
      <w:r>
        <w:t>LU, J.; TANG, H.; DUAN, L. Leveraging long short-term memory networks and transfer learning for the soft-measurement of flue gas flowrate from coal-fired boilers. Asia-Pacific Journal of Chemical Engineering, [s. l.], v. 19, n. 6, e3136, 2024. DOI: https://doi.org/10.1002/apj.3136. Acesso em: 29 out. 2026.</w:t>
      </w:r>
    </w:p>
    <w:p>
      <w:pPr>
        <w:pStyle w:val="ArticleReference"/>
      </w:pPr>
      <w:r>
        <w:t>POTTS, R.; DURRANT, A.; HACKNEY, R.; LEONTIDIS, G. Trust-Aware Predictive Emissions Monitoring for Gas Turbine Fleets with Limited Labelled Data. arXiv, 2026. Preprint arXiv:2606.06156v1, submetido em 4 jun. 2026. DOI: https://doi.org/10.48550/arXiv.2606.06156. Disponível em: https://arxiv.org/abs/2606.06156. Acesso em: 29 out. 2026.</w:t>
      </w:r>
    </w:p>
    <w:p>
      <w:pPr>
        <w:pStyle w:val="ArticleReference"/>
      </w:pPr>
      <w:r>
        <w:t>POTTS, R.; HACKNEY, R.; LEONTIDIS, G. Tabular Machine Learning Methods for Predicting Gas Turbine Emissions. Machine Learning and Knowledge Extraction, Basel, v. 5, n. 3, p. 1055-1075, 2023. DOI: https://doi.org/10.3390/make5030055. Disponível em: https://www.mdpi.com/2504-4990/5/3/55. Acesso em: 29 out. 2026.</w:t>
      </w:r>
    </w:p>
    <w:p>
      <w:pPr>
        <w:pStyle w:val="ArticleReference"/>
      </w:pPr>
      <w:r>
        <w:t>RUMELHART, D. E.; HINTON, G. E.; WILLIAMS, R. J. Learning representations by back-propagating errors. Nature, [s. l.], v. 323, n. 6088, p. 533-536, 1986. DOI: https://doi.org/10.1038/323533a0. Disponível em: https://www.cs.toronto.edu/~hinton/absps/naturebp.pdf. Acesso em: 29 out. 2026.</w:t>
      </w:r>
    </w:p>
    <w:p>
      <w:pPr>
        <w:pStyle w:val="ArticleReference"/>
      </w:pPr>
      <w:r>
        <w:t>SAITO, T.; FUJIWARA, K. Causal analysis of nitrogen oxides emissions process in coal-fired power plant with LiNGAM. Frontiers in Analytical Science, [s. l.], v. 3, art. 1045324, 2023. DOI: https://doi.org/10.3389/frans.2023.1045324. Disponível em: https://www.frontiersin.org/journals/analytical-science/articles/10.3389/frans.2023.1045324/full. Acesso em: 29 out. 2026.</w:t>
      </w:r>
    </w:p>
    <w:p>
      <w:pPr>
        <w:pStyle w:val="ArticleReference"/>
      </w:pPr>
      <w:r>
        <w:t>SCIKIT-LEARN. User Guide. Version 1.8.0. [S. l.]: The scikit-learn developers, [2025]. Seções MinMaxScaler e Regression metrics. Disponível em: https://scikit-learn.org/1.8/modules/generated/sklearn.preprocessing.MinMaxScaler.html e https://scikit-learn.org/1.8/modules/model_evaluation.html#regression-metrics. Acesso em: 29 out. 2026.</w:t>
      </w:r>
    </w:p>
    <w:p>
      <w:pPr>
        <w:pStyle w:val="ArticleReference"/>
      </w:pPr>
      <w:r>
        <w:t>SHMUELI, G. To Explain or to Predict? Statistical Science, [s. l.], v. 25, n. 3, p. 289-310, 2010. DOI: https://doi.org/10.1214/10-STS330. Disponível em: https://www.stat.berkeley.edu/~aldous/157/Papers/shmueli.pdf. Acesso em: 29 out. 2026.</w:t>
      </w:r>
    </w:p>
    <w:p>
      <w:pPr>
        <w:pStyle w:val="ArticleReference"/>
      </w:pPr>
      <w:r>
        <w:t>SI, M.; TARNOCZI, T. J.; WIENS, B. M.; DU, K. Development of Predictive Emissions Monitoring System Using Open Source Machine Learning Library - Keras: A Case Study on a Cogeneration Unit. IEEE Access, v. 7, p. 113463-113475, 2019. DOI: https://doi.org/10.1109/ACCESS.2019.2930555. Disponível em: https://doi.org/10.1109/ACCESS.2019.2930555. Acesso em: 29 out. 2026.</w:t>
      </w:r>
    </w:p>
    <w:p>
      <w:pPr>
        <w:pStyle w:val="ArticleReference"/>
      </w:pPr>
      <w:r>
        <w:t>SURI, D.; DE CHALENDAR, J.; AZEVEDO, I. M. L. Assessing the real implications for CO₂ as generation from renewables increases. Nature Communications, [s. l.], v. 16, art. 7124, 2025. DOI: https://doi.org/10.1038/s41467-025-59800-4. Disponível em: https://www.nature.com/articles/s41467-025-59800-4. Acesso em: 29 out. 2026.</w:t>
      </w:r>
    </w:p>
    <w:p>
      <w:pPr>
        <w:pStyle w:val="ArticleReference"/>
      </w:pPr>
      <w:r>
        <w:t>UNITED STATES. Environmental Protection Agency. Clean Air Markets Division. CAMD’s Power Sector Emissions Data Guide. [S. l.]: EPA, 18 jul. 2022. Disponível em: https://www.epa.gov/system/files/documents/2022-07/CAMD%27s%20Power%20Sector%20Emissions%20Data%20Guide%20-%2007182022.pdf. Acesso em: 29 out. 2026.</w:t>
      </w:r>
    </w:p>
    <w:p>
      <w:pPr>
        <w:pStyle w:val="ArticleReference"/>
      </w:pPr>
      <w:r>
        <w:t>UNITED STATES. Environmental Protection Agency. Clean Air Markets Division. ECMPS Reporting Instructions: Monitoring Plan. [S. l.]: EPA, 20 dez. 2024. Disponível em: https://www.epa.gov/system/files/documents/2024-12/ecmps_monitoring_plan_reporting_instructions-12202024.pdf. Acesso em: 29 out. 2026.</w:t>
      </w:r>
    </w:p>
    <w:p>
      <w:pPr>
        <w:pStyle w:val="ArticleReference"/>
      </w:pPr>
      <w:r>
        <w:t>UNITED STATES. Environmental Protection Agency. Power Sector Data. Washington, DC: Office of Atmospheric Protection, Clean Air and Power Division, 2026. Conjunto de dados horários disponibilizado pelo CAMPD. Recorte: Iatan Unit 2, Facility ID 6065, out. 2010 a dez. 2025. Disponível em: https://www.epa.gov/power-sector/power-sector-data. Acesso em: 29 out. 2026.</w:t>
      </w:r>
    </w:p>
    <w:p>
      <w:pPr>
        <w:pStyle w:val="ArticleReference"/>
      </w:pPr>
      <w:r>
        <w:t>WANG, S.; FANG, B.; ZHANG, J.; XING, S.; WU, J.; XIAO, H. Comparative study of machine learning methods for carbon metering in power generation enterprises. Scientific Reports, [s. l.], v. 15, art. 41333, 2025. DOI: https://doi.org/10.1038/s41598-025-25227-6. Disponível em: https://www.nature.com/articles/s41598-025-25227-6. Acesso em: 29 out. 2026.</w:t>
      </w:r>
    </w:p>
    <w:p>
      <w:pPr>
        <w:pStyle w:val="ArticleReference"/>
      </w:pPr>
      <w:r>
        <w:t>ZHANG, K.; WU, Z.; LIU, Z.; WANG, J. Dynamic Prediction of CO₂ Emissions from Coal-Fired Power Plants Based on XGBoost Hybrid Feature Selection and LSTM. In: 2026 IEEE 27th China Conference on System Simulation Technology and its Applications (CCSSTA). [S. l.]: IEEE, 2026. p. 865-870. DOI: https://doi.org/10.1109/CCSSTA69471.2026.11635773. Acesso em: 29 out. 2026.</w:t>
      </w:r>
    </w:p>
    <w:p>
      <w:pPr>
        <w:pStyle w:val="ArticleReference"/>
      </w:pPr>
      <w:r>
        <w:t>ZUO, Z.; NIU, Y.; LI, J.; FU, H.; ZHOU, M. Machine Learning for Advanced Emission Monitoring and Reduction Strategies in Fossil Fuel Power Plants. Applied Sciences, Basel, v. 14, n. 18, art. 8442, 2024. DOI: https://doi.org/10.3390/app14188442. Disponível em: https://www.mdpi.com/2076-3417/14/18/8442. Acesso em: 29 out. 2026.</w:t>
      </w:r>
    </w:p>
    <w:p>
      <w:pPr>
        <w:pStyle w:val="Heading1"/>
        <w:pageBreakBefore/>
      </w:pPr>
      <w:r>
        <w:t>Apêndice A Especificações metodológicas</w:t>
      </w:r>
    </w:p>
    <w:p>
      <w:pPr>
        <w:pStyle w:val="Heading2"/>
        <w:pageBreakBefore w:val="0"/>
      </w:pPr>
      <w:r>
        <w:t>A1 Seleção e preparação</w:t>
      </w:r>
    </w:p>
    <w:p>
      <w:pPr>
        <w:pStyle w:val="Caption"/>
      </w:pPr>
      <w:r>
        <w:t>Tabela A1 Seleção original da unidade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3"/>
        <w:gridCol w:w="1222"/>
        <w:gridCol w:w="6397"/>
      </w:tblGrid>
      <w:tr>
        <w:trPr>
          <w:cantSplit/>
          <w:tblHeader/>
        </w:trPr>
        <w:tc>
          <w:tcPr>
            <w:tcW w:type="dxa" w:w="2013"/>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Etapa</w:t>
            </w:r>
          </w:p>
        </w:tc>
        <w:tc>
          <w:tcPr>
            <w:tcW w:type="dxa" w:w="1222"/>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Unidades</w:t>
            </w:r>
          </w:p>
        </w:tc>
        <w:tc>
          <w:tcPr>
            <w:tcW w:type="dxa" w:w="6397"/>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Critérios aplicados</w:t>
            </w:r>
          </w:p>
        </w:tc>
      </w:tr>
      <w:tr>
        <w:trPr>
          <w:cantSplit/>
        </w:trPr>
        <w:tc>
          <w:tcPr>
            <w:tcW w:type="dxa" w:w="2013"/>
            <w:vAlign w:val="center"/>
            <w:tcMar>
              <w:top w:w="65" w:type="dxa"/>
              <w:bottom w:w="65" w:type="dxa"/>
              <w:left w:w="90" w:type="dxa"/>
              <w:right w:w="90" w:type="dxa"/>
            </w:tcMar>
          </w:tcPr>
          <w:p>
            <w:pPr>
              <w:spacing w:after="0" w:line="247" w:lineRule="auto"/>
              <w:jc w:val="left"/>
            </w:pPr>
            <w:r>
              <w:rPr>
                <w:rFonts w:ascii="Times New Roman" w:hAnsi="Times New Roman"/>
                <w:sz w:val="19"/>
              </w:rPr>
              <w:t>Consulta inicial</w:t>
            </w:r>
          </w:p>
        </w:tc>
        <w:tc>
          <w:tcPr>
            <w:tcW w:type="dxa" w:w="1222"/>
            <w:vAlign w:val="center"/>
            <w:tcMar>
              <w:top w:w="65" w:type="dxa"/>
              <w:bottom w:w="65" w:type="dxa"/>
              <w:left w:w="90" w:type="dxa"/>
              <w:right w:w="90" w:type="dxa"/>
            </w:tcMar>
          </w:tcPr>
          <w:p>
            <w:pPr>
              <w:spacing w:after="0" w:line="247" w:lineRule="auto"/>
              <w:jc w:val="left"/>
            </w:pPr>
            <w:r>
              <w:rPr>
                <w:rFonts w:ascii="Times New Roman" w:hAnsi="Times New Roman"/>
                <w:sz w:val="19"/>
              </w:rPr>
              <w:t>4.057</w:t>
            </w:r>
          </w:p>
        </w:tc>
        <w:tc>
          <w:tcPr>
            <w:tcW w:type="dxa" w:w="6397"/>
            <w:vAlign w:val="center"/>
            <w:tcMar>
              <w:top w:w="65" w:type="dxa"/>
              <w:bottom w:w="65" w:type="dxa"/>
              <w:left w:w="90" w:type="dxa"/>
              <w:right w:w="90" w:type="dxa"/>
            </w:tcMar>
          </w:tcPr>
          <w:p>
            <w:pPr>
              <w:spacing w:after="0" w:line="247" w:lineRule="auto"/>
              <w:jc w:val="left"/>
            </w:pPr>
            <w:r>
              <w:rPr>
                <w:rFonts w:ascii="Times New Roman" w:hAnsi="Times New Roman"/>
                <w:sz w:val="19"/>
              </w:rPr>
              <w:t>Atributos das instalações referentes a 2025.</w:t>
            </w:r>
          </w:p>
        </w:tc>
      </w:tr>
      <w:tr>
        <w:trPr>
          <w:cantSplit/>
        </w:trPr>
        <w:tc>
          <w:tcPr>
            <w:tcW w:type="dxa" w:w="2013"/>
            <w:vAlign w:val="center"/>
            <w:tcMar>
              <w:top w:w="65" w:type="dxa"/>
              <w:bottom w:w="65" w:type="dxa"/>
              <w:left w:w="90" w:type="dxa"/>
              <w:right w:w="90" w:type="dxa"/>
            </w:tcMar>
          </w:tcPr>
          <w:p>
            <w:pPr>
              <w:spacing w:after="0" w:line="247" w:lineRule="auto"/>
              <w:jc w:val="left"/>
            </w:pPr>
            <w:r>
              <w:rPr>
                <w:rFonts w:ascii="Times New Roman" w:hAnsi="Times New Roman"/>
                <w:sz w:val="19"/>
              </w:rPr>
              <w:t>Combustível e tecnologia</w:t>
            </w:r>
          </w:p>
        </w:tc>
        <w:tc>
          <w:tcPr>
            <w:tcW w:type="dxa" w:w="1222"/>
            <w:vAlign w:val="center"/>
            <w:tcMar>
              <w:top w:w="65" w:type="dxa"/>
              <w:bottom w:w="65" w:type="dxa"/>
              <w:left w:w="90" w:type="dxa"/>
              <w:right w:w="90" w:type="dxa"/>
            </w:tcMar>
          </w:tcPr>
          <w:p>
            <w:pPr>
              <w:spacing w:after="0" w:line="247" w:lineRule="auto"/>
              <w:jc w:val="left"/>
            </w:pPr>
            <w:r>
              <w:rPr>
                <w:rFonts w:ascii="Times New Roman" w:hAnsi="Times New Roman"/>
                <w:sz w:val="19"/>
              </w:rPr>
              <w:t>421</w:t>
            </w:r>
          </w:p>
        </w:tc>
        <w:tc>
          <w:tcPr>
            <w:tcW w:type="dxa" w:w="6397"/>
            <w:vAlign w:val="center"/>
            <w:tcMar>
              <w:top w:w="65" w:type="dxa"/>
              <w:bottom w:w="65" w:type="dxa"/>
              <w:left w:w="90" w:type="dxa"/>
              <w:right w:w="90" w:type="dxa"/>
            </w:tcMar>
          </w:tcPr>
          <w:p>
            <w:pPr>
              <w:spacing w:after="0" w:line="247" w:lineRule="auto"/>
              <w:jc w:val="left"/>
            </w:pPr>
            <w:r>
              <w:rPr>
                <w:rFonts w:ascii="Times New Roman" w:hAnsi="Times New Roman"/>
                <w:sz w:val="19"/>
              </w:rPr>
              <w:t>Caldeiras a carvão: coal, bituminous, subbituminous, anthracite e lignite. Exclusão de turbinas de combustão, ciclos combinados, motores e equipamentos de processo.</w:t>
            </w:r>
          </w:p>
        </w:tc>
      </w:tr>
      <w:tr>
        <w:trPr>
          <w:cantSplit/>
        </w:trPr>
        <w:tc>
          <w:tcPr>
            <w:tcW w:type="dxa" w:w="2013"/>
            <w:vAlign w:val="center"/>
            <w:tcMar>
              <w:top w:w="65" w:type="dxa"/>
              <w:bottom w:w="65" w:type="dxa"/>
              <w:left w:w="90" w:type="dxa"/>
              <w:right w:w="90" w:type="dxa"/>
            </w:tcMar>
          </w:tcPr>
          <w:p>
            <w:pPr>
              <w:spacing w:after="0" w:line="247" w:lineRule="auto"/>
              <w:jc w:val="left"/>
            </w:pPr>
            <w:r>
              <w:rPr>
                <w:rFonts w:ascii="Times New Roman" w:hAnsi="Times New Roman"/>
                <w:sz w:val="19"/>
              </w:rPr>
              <w:t>Monitoramento</w:t>
            </w:r>
          </w:p>
        </w:tc>
        <w:tc>
          <w:tcPr>
            <w:tcW w:type="dxa" w:w="1222"/>
            <w:vAlign w:val="center"/>
            <w:tcMar>
              <w:top w:w="65" w:type="dxa"/>
              <w:bottom w:w="65" w:type="dxa"/>
              <w:left w:w="90" w:type="dxa"/>
              <w:right w:w="90" w:type="dxa"/>
            </w:tcMar>
          </w:tcPr>
          <w:p>
            <w:pPr>
              <w:spacing w:after="0" w:line="247" w:lineRule="auto"/>
              <w:jc w:val="left"/>
            </w:pPr>
            <w:r>
              <w:rPr>
                <w:rFonts w:ascii="Times New Roman" w:hAnsi="Times New Roman"/>
                <w:sz w:val="19"/>
              </w:rPr>
              <w:t>303</w:t>
            </w:r>
          </w:p>
        </w:tc>
        <w:tc>
          <w:tcPr>
            <w:tcW w:type="dxa" w:w="6397"/>
            <w:vAlign w:val="center"/>
            <w:tcMar>
              <w:top w:w="65" w:type="dxa"/>
              <w:bottom w:w="65" w:type="dxa"/>
              <w:left w:w="90" w:type="dxa"/>
              <w:right w:w="90" w:type="dxa"/>
            </w:tcMar>
          </w:tcPr>
          <w:p>
            <w:pPr>
              <w:spacing w:after="0" w:line="247" w:lineRule="auto"/>
              <w:jc w:val="left"/>
            </w:pPr>
            <w:r>
              <w:rPr>
                <w:rFonts w:ascii="Times New Roman" w:hAnsi="Times New Roman"/>
                <w:sz w:val="19"/>
              </w:rPr>
              <w:t>CO₂ associado à própria unidade; método CEM; vigência cobrindo 2025.</w:t>
            </w:r>
          </w:p>
        </w:tc>
      </w:tr>
      <w:tr>
        <w:trPr>
          <w:cantSplit/>
        </w:trPr>
        <w:tc>
          <w:tcPr>
            <w:tcW w:type="dxa" w:w="2013"/>
            <w:vAlign w:val="center"/>
            <w:tcMar>
              <w:top w:w="65" w:type="dxa"/>
              <w:bottom w:w="65" w:type="dxa"/>
              <w:left w:w="90" w:type="dxa"/>
              <w:right w:w="90" w:type="dxa"/>
            </w:tcMar>
          </w:tcPr>
          <w:p>
            <w:pPr>
              <w:spacing w:after="0" w:line="247" w:lineRule="auto"/>
              <w:jc w:val="left"/>
            </w:pPr>
            <w:r>
              <w:rPr>
                <w:rFonts w:ascii="Times New Roman" w:hAnsi="Times New Roman"/>
                <w:sz w:val="19"/>
              </w:rPr>
              <w:t>Disponibilidade</w:t>
            </w:r>
          </w:p>
        </w:tc>
        <w:tc>
          <w:tcPr>
            <w:tcW w:type="dxa" w:w="1222"/>
            <w:vAlign w:val="center"/>
            <w:tcMar>
              <w:top w:w="65" w:type="dxa"/>
              <w:bottom w:w="65" w:type="dxa"/>
              <w:left w:w="90" w:type="dxa"/>
              <w:right w:w="90" w:type="dxa"/>
            </w:tcMar>
          </w:tcPr>
          <w:p>
            <w:pPr>
              <w:spacing w:after="0" w:line="247" w:lineRule="auto"/>
              <w:jc w:val="left"/>
            </w:pPr>
            <w:r>
              <w:rPr>
                <w:rFonts w:ascii="Times New Roman" w:hAnsi="Times New Roman"/>
                <w:sz w:val="19"/>
              </w:rPr>
              <w:t>299</w:t>
            </w:r>
          </w:p>
        </w:tc>
        <w:tc>
          <w:tcPr>
            <w:tcW w:type="dxa" w:w="6397"/>
            <w:vAlign w:val="center"/>
            <w:tcMar>
              <w:top w:w="65" w:type="dxa"/>
              <w:bottom w:w="65" w:type="dxa"/>
              <w:left w:w="90" w:type="dxa"/>
              <w:right w:w="90" w:type="dxa"/>
            </w:tcMar>
          </w:tcPr>
          <w:p>
            <w:pPr>
              <w:spacing w:after="0" w:line="247" w:lineRule="auto"/>
              <w:jc w:val="left"/>
            </w:pPr>
            <w:r>
              <w:rPr>
                <w:rFonts w:ascii="Times New Roman" w:hAnsi="Times New Roman"/>
                <w:sz w:val="19"/>
              </w:rPr>
              <w:t>Presença de dados horários.</w:t>
            </w:r>
          </w:p>
        </w:tc>
      </w:tr>
      <w:tr>
        <w:trPr>
          <w:cantSplit/>
        </w:trPr>
        <w:tc>
          <w:tcPr>
            <w:tcW w:type="dxa" w:w="2013"/>
            <w:vAlign w:val="center"/>
            <w:tcMar>
              <w:top w:w="65" w:type="dxa"/>
              <w:bottom w:w="65" w:type="dxa"/>
              <w:left w:w="90" w:type="dxa"/>
              <w:right w:w="90" w:type="dxa"/>
            </w:tcMar>
          </w:tcPr>
          <w:p>
            <w:pPr>
              <w:spacing w:after="0" w:line="247" w:lineRule="auto"/>
              <w:jc w:val="left"/>
            </w:pPr>
            <w:r>
              <w:rPr>
                <w:rFonts w:ascii="Times New Roman" w:hAnsi="Times New Roman"/>
                <w:sz w:val="19"/>
              </w:rPr>
              <w:t>Qualidade</w:t>
            </w:r>
          </w:p>
        </w:tc>
        <w:tc>
          <w:tcPr>
            <w:tcW w:type="dxa" w:w="1222"/>
            <w:vAlign w:val="center"/>
            <w:tcMar>
              <w:top w:w="65" w:type="dxa"/>
              <w:bottom w:w="65" w:type="dxa"/>
              <w:left w:w="90" w:type="dxa"/>
              <w:right w:w="90" w:type="dxa"/>
            </w:tcMar>
          </w:tcPr>
          <w:p>
            <w:pPr>
              <w:spacing w:after="0" w:line="247" w:lineRule="auto"/>
              <w:jc w:val="left"/>
            </w:pPr>
            <w:r>
              <w:rPr>
                <w:rFonts w:ascii="Times New Roman" w:hAnsi="Times New Roman"/>
                <w:sz w:val="19"/>
              </w:rPr>
              <w:t>156</w:t>
            </w:r>
          </w:p>
        </w:tc>
        <w:tc>
          <w:tcPr>
            <w:tcW w:type="dxa" w:w="6397"/>
            <w:vAlign w:val="center"/>
            <w:tcMar>
              <w:top w:w="65" w:type="dxa"/>
              <w:bottom w:w="65" w:type="dxa"/>
              <w:left w:w="90" w:type="dxa"/>
              <w:right w:w="90" w:type="dxa"/>
            </w:tcMar>
          </w:tcPr>
          <w:p>
            <w:pPr>
              <w:spacing w:after="0" w:line="247" w:lineRule="auto"/>
              <w:jc w:val="left"/>
            </w:pPr>
            <w:r>
              <w:rPr>
                <w:rFonts w:ascii="Times New Roman" w:hAnsi="Times New Roman"/>
                <w:sz w:val="19"/>
              </w:rPr>
              <w:t>8.760 registros; completude de CO₂ e carga nas horas ON ≥ 99%; participação de medição nas horas ON ≥ 95%; operação nos 12 meses. A medição inclui Measured e Measured and Substitute.</w:t>
            </w:r>
          </w:p>
        </w:tc>
      </w:tr>
    </w:tbl>
    <w:p>
      <w:pPr>
        <w:pStyle w:val="SupplementText"/>
      </w:pPr>
      <w:r>
        <w:t>Extremos foram sinalizados com IQR = Q3 − Q1, abaixo de Q1 − 1,5 × IQR ou acima de Q3 + 1,5 × IQR (Guthrie, 2020). Houve três registros sinalizados de CO₂ e nenhum de carga, todos preservados. A média das três horas anteriores usa shift(1).rolling(3, min_periods=1).mean().</w:t>
      </w:r>
    </w:p>
    <w:p>
      <w:pPr>
        <w:pStyle w:val="Heading2"/>
        <w:pageBreakBefore w:val="0"/>
      </w:pPr>
      <w:r>
        <w:t>A2 Atributos e configurações dos modelos</w:t>
      </w:r>
    </w:p>
    <w:p>
      <w:pPr>
        <w:pStyle w:val="SupplementText"/>
      </w:pPr>
      <w:r>
        <w:t>O cenário C contém os sete atributos de B e os 17 atributos adicionais abaixo. Defasagens e estatísticas móveis foram calculadas com base nas horas de calendário anteriores. O indicador de rampa intensa foi definido a partir do treinamento correspondente, com recálculo dentro de cada partição temporal.</w:t>
      </w:r>
    </w:p>
    <w:p>
      <w:pPr>
        <w:pStyle w:val="Caption"/>
      </w:pPr>
      <w:r>
        <w:t>Tabela A2 Atributos adicionais do cenário C</w:t>
      </w:r>
    </w:p>
    <w:tbl>
      <w:tblPr>
        <w:tblW w:type="dxa" w:w="9632"/>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2408"/>
        <w:gridCol w:w="5972"/>
        <w:gridCol w:w="1252"/>
      </w:tblGrid>
      <w:tr>
        <w:trPr>
          <w:cantSplit/>
          <w:tblHeader w:val="true"/>
        </w:trPr>
        <w:tc>
          <w:tcPr>
            <w:tcW w:type="dxa" w:w="2408"/>
            <w:vAlign w:val="center"/>
            <w:shd w:fill="F1F1F1" w:val="clear"/>
          </w:tcPr>
          <w:p>
            <w:pPr>
              <w:keepNext/>
              <w:keepLines/>
              <w:widowControl w:val="0"/>
              <w:spacing w:before="0" w:after="0" w:line="252" w:lineRule="auto"/>
              <w:jc w:val="left"/>
            </w:pPr>
            <w:r>
              <w:rPr>
                <w:rFonts w:ascii="Times New Roman" w:hAnsi="Times New Roman"/>
                <w:b/>
                <w:color w:val="000000"/>
                <w:sz w:val="20"/>
              </w:rPr>
              <w:t>Grupo</w:t>
            </w:r>
          </w:p>
        </w:tc>
        <w:tc>
          <w:tcPr>
            <w:tcW w:type="dxa" w:w="5972"/>
            <w:vAlign w:val="center"/>
            <w:shd w:fill="F1F1F1" w:val="clear"/>
          </w:tcPr>
          <w:p>
            <w:pPr>
              <w:keepNext/>
              <w:keepLines/>
              <w:widowControl w:val="0"/>
              <w:spacing w:before="0" w:after="0" w:line="252" w:lineRule="auto"/>
              <w:jc w:val="center"/>
            </w:pPr>
            <w:r>
              <w:rPr>
                <w:rFonts w:ascii="Times New Roman" w:hAnsi="Times New Roman"/>
                <w:b/>
                <w:color w:val="000000"/>
                <w:sz w:val="20"/>
              </w:rPr>
              <w:t>Atributos adicionais</w:t>
            </w:r>
          </w:p>
        </w:tc>
        <w:tc>
          <w:tcPr>
            <w:tcW w:type="dxa" w:w="1252"/>
            <w:vAlign w:val="center"/>
            <w:shd w:fill="F1F1F1" w:val="clear"/>
          </w:tcPr>
          <w:p>
            <w:pPr>
              <w:keepNext/>
              <w:keepLines/>
              <w:widowControl w:val="0"/>
              <w:spacing w:before="0" w:after="0" w:line="252" w:lineRule="auto"/>
              <w:jc w:val="center"/>
            </w:pPr>
            <w:r>
              <w:rPr>
                <w:rFonts w:ascii="Times New Roman" w:hAnsi="Times New Roman"/>
                <w:b/>
                <w:color w:val="000000"/>
                <w:sz w:val="20"/>
              </w:rPr>
              <w:t>Quantidade</w:t>
            </w:r>
          </w:p>
        </w:tc>
      </w:tr>
      <w:tr>
        <w:trPr>
          <w:cantSplit/>
        </w:trPr>
        <w:tc>
          <w:tcPr>
            <w:tcW w:type="dxa" w:w="2408"/>
            <w:vAlign w:val="center"/>
          </w:tcPr>
          <w:p>
            <w:pPr>
              <w:keepNext w:val="0"/>
              <w:keepLines/>
              <w:widowControl w:val="0"/>
              <w:spacing w:before="0" w:after="0" w:line="252" w:lineRule="auto"/>
              <w:jc w:val="left"/>
            </w:pPr>
            <w:r>
              <w:rPr>
                <w:rFonts w:ascii="Times New Roman" w:hAnsi="Times New Roman"/>
                <w:b w:val="0"/>
                <w:color w:val="000000"/>
                <w:sz w:val="20"/>
              </w:rPr>
              <w:t>Defasagens de carga</w:t>
            </w:r>
          </w:p>
        </w:tc>
        <w:tc>
          <w:tcPr>
            <w:tcW w:type="dxa" w:w="5972"/>
            <w:vAlign w:val="center"/>
          </w:tcPr>
          <w:p>
            <w:pPr>
              <w:keepNext w:val="0"/>
              <w:keepLines/>
              <w:widowControl w:val="0"/>
              <w:spacing w:before="0" w:after="0" w:line="252" w:lineRule="auto"/>
              <w:jc w:val="left"/>
            </w:pPr>
            <w:r>
              <w:rPr>
                <w:rFonts w:ascii="Times New Roman" w:hAnsi="Times New Roman"/>
                <w:b w:val="0"/>
                <w:color w:val="000000"/>
                <w:sz w:val="20"/>
              </w:rPr>
              <w:t>P(t−2), P(t−3) e P(t−6).</w:t>
            </w:r>
          </w:p>
        </w:tc>
        <w:tc>
          <w:tcPr>
            <w:tcW w:type="dxa" w:w="1252"/>
            <w:vAlign w:val="center"/>
          </w:tcPr>
          <w:p>
            <w:pPr>
              <w:keepNext w:val="0"/>
              <w:keepLines/>
              <w:widowControl w:val="0"/>
              <w:spacing w:before="0" w:after="0" w:line="252" w:lineRule="auto"/>
              <w:jc w:val="center"/>
            </w:pPr>
            <w:r>
              <w:rPr>
                <w:rFonts w:ascii="Times New Roman" w:hAnsi="Times New Roman"/>
                <w:b w:val="0"/>
                <w:color w:val="000000"/>
                <w:sz w:val="20"/>
              </w:rPr>
              <w:t>3</w:t>
            </w:r>
          </w:p>
        </w:tc>
      </w:tr>
      <w:tr>
        <w:trPr>
          <w:cantSplit/>
        </w:trPr>
        <w:tc>
          <w:tcPr>
            <w:tcW w:type="dxa" w:w="2408"/>
            <w:vAlign w:val="center"/>
          </w:tcPr>
          <w:p>
            <w:pPr>
              <w:keepNext w:val="0"/>
              <w:keepLines/>
              <w:widowControl w:val="0"/>
              <w:spacing w:before="0" w:after="0" w:line="252" w:lineRule="auto"/>
              <w:jc w:val="left"/>
            </w:pPr>
            <w:r>
              <w:rPr>
                <w:rFonts w:ascii="Times New Roman" w:hAnsi="Times New Roman"/>
                <w:b w:val="0"/>
                <w:color w:val="000000"/>
                <w:sz w:val="20"/>
              </w:rPr>
              <w:t>Memória das variações</w:t>
            </w:r>
          </w:p>
        </w:tc>
        <w:tc>
          <w:tcPr>
            <w:tcW w:type="dxa" w:w="5972"/>
            <w:vAlign w:val="center"/>
          </w:tcPr>
          <w:p>
            <w:pPr>
              <w:keepNext w:val="0"/>
              <w:keepLines/>
              <w:widowControl w:val="0"/>
              <w:spacing w:before="0" w:after="0" w:line="252" w:lineRule="auto"/>
              <w:jc w:val="left"/>
            </w:pPr>
            <w:r>
              <w:rPr>
                <w:rFonts w:ascii="Times New Roman" w:hAnsi="Times New Roman"/>
                <w:b w:val="0"/>
                <w:color w:val="000000"/>
                <w:sz w:val="20"/>
              </w:rPr>
              <w:t>ΔP(t−1) e ΔP(t−2).</w:t>
            </w:r>
          </w:p>
        </w:tc>
        <w:tc>
          <w:tcPr>
            <w:tcW w:type="dxa" w:w="1252"/>
            <w:vAlign w:val="center"/>
          </w:tcPr>
          <w:p>
            <w:pPr>
              <w:keepNext w:val="0"/>
              <w:keepLines/>
              <w:widowControl w:val="0"/>
              <w:spacing w:before="0" w:after="0" w:line="252" w:lineRule="auto"/>
              <w:jc w:val="center"/>
            </w:pPr>
            <w:r>
              <w:rPr>
                <w:rFonts w:ascii="Times New Roman" w:hAnsi="Times New Roman"/>
                <w:b w:val="0"/>
                <w:color w:val="000000"/>
                <w:sz w:val="20"/>
              </w:rPr>
              <w:t>2</w:t>
            </w:r>
          </w:p>
        </w:tc>
      </w:tr>
      <w:tr>
        <w:trPr>
          <w:cantSplit/>
        </w:trPr>
        <w:tc>
          <w:tcPr>
            <w:tcW w:type="dxa" w:w="2408"/>
            <w:vAlign w:val="center"/>
          </w:tcPr>
          <w:p>
            <w:pPr>
              <w:keepNext w:val="0"/>
              <w:keepLines/>
              <w:widowControl w:val="0"/>
              <w:spacing w:before="0" w:after="0" w:line="252" w:lineRule="auto"/>
              <w:jc w:val="left"/>
            </w:pPr>
            <w:r>
              <w:rPr>
                <w:rFonts w:ascii="Times New Roman" w:hAnsi="Times New Roman"/>
                <w:b w:val="0"/>
                <w:color w:val="000000"/>
                <w:sz w:val="20"/>
              </w:rPr>
              <w:t>Aceleração da carga</w:t>
            </w:r>
          </w:p>
        </w:tc>
        <w:tc>
          <w:tcPr>
            <w:tcW w:type="dxa" w:w="5972"/>
            <w:vAlign w:val="center"/>
          </w:tcPr>
          <w:p>
            <w:pPr>
              <w:keepNext w:val="0"/>
              <w:keepLines/>
              <w:widowControl w:val="0"/>
              <w:spacing w:before="0" w:after="0" w:line="252" w:lineRule="auto"/>
              <w:jc w:val="left"/>
            </w:pPr>
            <w:r>
              <w:rPr>
                <w:rFonts w:ascii="Times New Roman" w:hAnsi="Times New Roman"/>
                <w:b w:val="0"/>
                <w:color w:val="000000"/>
                <w:sz w:val="20"/>
              </w:rPr>
              <w:t>ΔP(t) − ΔP(t−1).</w:t>
            </w:r>
          </w:p>
        </w:tc>
        <w:tc>
          <w:tcPr>
            <w:tcW w:type="dxa" w:w="1252"/>
            <w:vAlign w:val="center"/>
          </w:tcPr>
          <w:p>
            <w:pPr>
              <w:keepNext w:val="0"/>
              <w:keepLines/>
              <w:widowControl w:val="0"/>
              <w:spacing w:before="0" w:after="0" w:line="252" w:lineRule="auto"/>
              <w:jc w:val="center"/>
            </w:pPr>
            <w:r>
              <w:rPr>
                <w:rFonts w:ascii="Times New Roman" w:hAnsi="Times New Roman"/>
                <w:b w:val="0"/>
                <w:color w:val="000000"/>
                <w:sz w:val="20"/>
              </w:rPr>
              <w:t>1</w:t>
            </w:r>
          </w:p>
        </w:tc>
      </w:tr>
      <w:tr>
        <w:trPr>
          <w:cantSplit/>
        </w:trPr>
        <w:tc>
          <w:tcPr>
            <w:tcW w:type="dxa" w:w="2408"/>
            <w:vAlign w:val="center"/>
          </w:tcPr>
          <w:p>
            <w:pPr>
              <w:keepNext w:val="0"/>
              <w:keepLines/>
              <w:widowControl w:val="0"/>
              <w:spacing w:before="0" w:after="0" w:line="252" w:lineRule="auto"/>
              <w:jc w:val="left"/>
            </w:pPr>
            <w:r>
              <w:rPr>
                <w:rFonts w:ascii="Times New Roman" w:hAnsi="Times New Roman"/>
                <w:b w:val="0"/>
                <w:color w:val="000000"/>
                <w:sz w:val="20"/>
              </w:rPr>
              <w:t>Nível e dispersão prévios</w:t>
            </w:r>
          </w:p>
        </w:tc>
        <w:tc>
          <w:tcPr>
            <w:tcW w:type="dxa" w:w="5972"/>
            <w:vAlign w:val="center"/>
          </w:tcPr>
          <w:p>
            <w:pPr>
              <w:keepNext w:val="0"/>
              <w:keepLines/>
              <w:widowControl w:val="0"/>
              <w:spacing w:before="0" w:after="0" w:line="252" w:lineRule="auto"/>
              <w:jc w:val="left"/>
            </w:pPr>
            <w:r>
              <w:rPr>
                <w:rFonts w:ascii="Times New Roman" w:hAnsi="Times New Roman"/>
                <w:b w:val="0"/>
                <w:color w:val="000000"/>
                <w:sz w:val="20"/>
              </w:rPr>
              <w:t>Média das 6 horas anteriores; desvios padrão das 3 e das 6 horas anteriores; amplitude das 6 horas anteriores.</w:t>
            </w:r>
          </w:p>
        </w:tc>
        <w:tc>
          <w:tcPr>
            <w:tcW w:type="dxa" w:w="1252"/>
            <w:vAlign w:val="center"/>
          </w:tcPr>
          <w:p>
            <w:pPr>
              <w:keepNext w:val="0"/>
              <w:keepLines/>
              <w:widowControl w:val="0"/>
              <w:spacing w:before="0" w:after="0" w:line="252" w:lineRule="auto"/>
              <w:jc w:val="center"/>
            </w:pPr>
            <w:r>
              <w:rPr>
                <w:rFonts w:ascii="Times New Roman" w:hAnsi="Times New Roman"/>
                <w:b w:val="0"/>
                <w:color w:val="000000"/>
                <w:sz w:val="20"/>
              </w:rPr>
              <w:t>4</w:t>
            </w:r>
          </w:p>
        </w:tc>
      </w:tr>
      <w:tr>
        <w:trPr>
          <w:cantSplit/>
        </w:trPr>
        <w:tc>
          <w:tcPr>
            <w:tcW w:type="dxa" w:w="2408"/>
            <w:vAlign w:val="center"/>
          </w:tcPr>
          <w:p>
            <w:pPr>
              <w:keepNext w:val="0"/>
              <w:keepLines/>
              <w:widowControl w:val="0"/>
              <w:spacing w:before="0" w:after="0" w:line="252" w:lineRule="auto"/>
              <w:jc w:val="left"/>
            </w:pPr>
            <w:r>
              <w:rPr>
                <w:rFonts w:ascii="Times New Roman" w:hAnsi="Times New Roman"/>
                <w:b w:val="0"/>
                <w:color w:val="000000"/>
                <w:sz w:val="20"/>
              </w:rPr>
              <w:t>Variações acumuladas</w:t>
            </w:r>
          </w:p>
        </w:tc>
        <w:tc>
          <w:tcPr>
            <w:tcW w:type="dxa" w:w="5972"/>
            <w:vAlign w:val="center"/>
          </w:tcPr>
          <w:p>
            <w:pPr>
              <w:keepNext w:val="0"/>
              <w:keepLines/>
              <w:widowControl w:val="0"/>
              <w:spacing w:before="0" w:after="0" w:line="252" w:lineRule="auto"/>
              <w:jc w:val="left"/>
            </w:pPr>
            <w:r>
              <w:rPr>
                <w:rFonts w:ascii="Times New Roman" w:hAnsi="Times New Roman"/>
                <w:b w:val="0"/>
                <w:color w:val="000000"/>
                <w:sz w:val="20"/>
              </w:rPr>
              <w:t>P(t) − P(t−3) e P(t) − P(t−6).</w:t>
            </w:r>
          </w:p>
        </w:tc>
        <w:tc>
          <w:tcPr>
            <w:tcW w:type="dxa" w:w="1252"/>
            <w:vAlign w:val="center"/>
          </w:tcPr>
          <w:p>
            <w:pPr>
              <w:keepNext w:val="0"/>
              <w:keepLines/>
              <w:widowControl w:val="0"/>
              <w:spacing w:before="0" w:after="0" w:line="252" w:lineRule="auto"/>
              <w:jc w:val="center"/>
            </w:pPr>
            <w:r>
              <w:rPr>
                <w:rFonts w:ascii="Times New Roman" w:hAnsi="Times New Roman"/>
                <w:b w:val="0"/>
                <w:color w:val="000000"/>
                <w:sz w:val="20"/>
              </w:rPr>
              <w:t>2</w:t>
            </w:r>
          </w:p>
        </w:tc>
      </w:tr>
      <w:tr>
        <w:trPr>
          <w:cantSplit/>
        </w:trPr>
        <w:tc>
          <w:tcPr>
            <w:tcW w:type="dxa" w:w="2408"/>
            <w:vAlign w:val="center"/>
          </w:tcPr>
          <w:p>
            <w:pPr>
              <w:keepNext w:val="0"/>
              <w:keepLines/>
              <w:widowControl w:val="0"/>
              <w:spacing w:before="0" w:after="0" w:line="252" w:lineRule="auto"/>
              <w:jc w:val="left"/>
            </w:pPr>
            <w:r>
              <w:rPr>
                <w:rFonts w:ascii="Times New Roman" w:hAnsi="Times New Roman"/>
                <w:b w:val="0"/>
                <w:color w:val="000000"/>
                <w:sz w:val="20"/>
              </w:rPr>
              <w:t>Estado recente</w:t>
            </w:r>
          </w:p>
        </w:tc>
        <w:tc>
          <w:tcPr>
            <w:tcW w:type="dxa" w:w="5972"/>
            <w:vAlign w:val="center"/>
          </w:tcPr>
          <w:p>
            <w:pPr>
              <w:keepNext w:val="0"/>
              <w:keepLines/>
              <w:widowControl w:val="0"/>
              <w:spacing w:before="0" w:after="0" w:line="252" w:lineRule="auto"/>
              <w:jc w:val="left"/>
            </w:pPr>
            <w:r>
              <w:rPr>
                <w:rFonts w:ascii="Times New Roman" w:hAnsi="Times New Roman"/>
                <w:b w:val="0"/>
                <w:color w:val="000000"/>
                <w:sz w:val="20"/>
              </w:rPr>
              <w:t>Fração de horas ON nas 6 horas anteriores; indicador das primeiras 6 horas após partida.</w:t>
            </w:r>
          </w:p>
        </w:tc>
        <w:tc>
          <w:tcPr>
            <w:tcW w:type="dxa" w:w="1252"/>
            <w:vAlign w:val="center"/>
          </w:tcPr>
          <w:p>
            <w:pPr>
              <w:keepNext w:val="0"/>
              <w:keepLines/>
              <w:widowControl w:val="0"/>
              <w:spacing w:before="0" w:after="0" w:line="252" w:lineRule="auto"/>
              <w:jc w:val="center"/>
            </w:pPr>
            <w:r>
              <w:rPr>
                <w:rFonts w:ascii="Times New Roman" w:hAnsi="Times New Roman"/>
                <w:b w:val="0"/>
                <w:color w:val="000000"/>
                <w:sz w:val="20"/>
              </w:rPr>
              <w:t>2</w:t>
            </w:r>
          </w:p>
        </w:tc>
      </w:tr>
      <w:tr>
        <w:trPr>
          <w:cantSplit/>
        </w:trPr>
        <w:tc>
          <w:tcPr>
            <w:tcW w:type="dxa" w:w="2408"/>
            <w:vAlign w:val="center"/>
          </w:tcPr>
          <w:p>
            <w:pPr>
              <w:keepNext w:val="0"/>
              <w:keepLines/>
              <w:widowControl w:val="0"/>
              <w:spacing w:before="0" w:after="0" w:line="252" w:lineRule="auto"/>
              <w:jc w:val="left"/>
            </w:pPr>
            <w:r>
              <w:rPr>
                <w:rFonts w:ascii="Times New Roman" w:hAnsi="Times New Roman"/>
                <w:b w:val="0"/>
                <w:color w:val="000000"/>
                <w:sz w:val="20"/>
              </w:rPr>
              <w:t>Direção da rampa</w:t>
            </w:r>
          </w:p>
        </w:tc>
        <w:tc>
          <w:tcPr>
            <w:tcW w:type="dxa" w:w="5972"/>
            <w:vAlign w:val="center"/>
          </w:tcPr>
          <w:p>
            <w:pPr>
              <w:keepNext w:val="0"/>
              <w:keepLines/>
              <w:widowControl w:val="0"/>
              <w:spacing w:before="0" w:after="0" w:line="252" w:lineRule="auto"/>
              <w:jc w:val="left"/>
            </w:pPr>
            <w:r>
              <w:rPr>
                <w:rFonts w:ascii="Times New Roman" w:hAnsi="Times New Roman"/>
                <w:b w:val="0"/>
                <w:color w:val="000000"/>
                <w:sz w:val="20"/>
              </w:rPr>
              <w:t>Máximo entre ΔP(t) e zero; máximo entre −ΔP(t) e zero.</w:t>
            </w:r>
          </w:p>
        </w:tc>
        <w:tc>
          <w:tcPr>
            <w:tcW w:type="dxa" w:w="1252"/>
            <w:vAlign w:val="center"/>
          </w:tcPr>
          <w:p>
            <w:pPr>
              <w:keepNext w:val="0"/>
              <w:keepLines/>
              <w:widowControl w:val="0"/>
              <w:spacing w:before="0" w:after="0" w:line="252" w:lineRule="auto"/>
              <w:jc w:val="center"/>
            </w:pPr>
            <w:r>
              <w:rPr>
                <w:rFonts w:ascii="Times New Roman" w:hAnsi="Times New Roman"/>
                <w:b w:val="0"/>
                <w:color w:val="000000"/>
                <w:sz w:val="20"/>
              </w:rPr>
              <w:t>2</w:t>
            </w:r>
          </w:p>
        </w:tc>
      </w:tr>
      <w:tr>
        <w:trPr>
          <w:cantSplit/>
        </w:trPr>
        <w:tc>
          <w:tcPr>
            <w:tcW w:type="dxa" w:w="2408"/>
            <w:vAlign w:val="center"/>
          </w:tcPr>
          <w:p>
            <w:pPr>
              <w:keepNext/>
              <w:keepLines/>
              <w:widowControl w:val="0"/>
              <w:spacing w:before="0" w:after="0" w:line="252" w:lineRule="auto"/>
              <w:jc w:val="left"/>
            </w:pPr>
            <w:r>
              <w:rPr>
                <w:rFonts w:ascii="Times New Roman" w:hAnsi="Times New Roman"/>
                <w:b w:val="0"/>
                <w:color w:val="000000"/>
                <w:sz w:val="20"/>
              </w:rPr>
              <w:t>Rampa intensa</w:t>
            </w:r>
          </w:p>
        </w:tc>
        <w:tc>
          <w:tcPr>
            <w:tcW w:type="dxa" w:w="5972"/>
            <w:vAlign w:val="center"/>
          </w:tcPr>
          <w:p>
            <w:pPr>
              <w:keepNext/>
              <w:keepLines/>
              <w:widowControl w:val="0"/>
              <w:spacing w:before="0" w:after="0" w:line="252" w:lineRule="auto"/>
              <w:jc w:val="left"/>
            </w:pPr>
            <w:r>
              <w:rPr>
                <w:rFonts w:ascii="Times New Roman" w:hAnsi="Times New Roman"/>
                <w:b w:val="0"/>
                <w:color w:val="000000"/>
                <w:sz w:val="20"/>
              </w:rPr>
              <w:t>Indicador de |ΔP(t)| igual ou superior ao P90 do treino.</w:t>
            </w:r>
          </w:p>
        </w:tc>
        <w:tc>
          <w:tcPr>
            <w:tcW w:type="dxa" w:w="1252"/>
            <w:vAlign w:val="center"/>
          </w:tcPr>
          <w:p>
            <w:pPr>
              <w:keepNext/>
              <w:keepLines/>
              <w:widowControl w:val="0"/>
              <w:spacing w:before="0" w:after="0" w:line="252" w:lineRule="auto"/>
              <w:jc w:val="center"/>
            </w:pPr>
            <w:r>
              <w:rPr>
                <w:rFonts w:ascii="Times New Roman" w:hAnsi="Times New Roman"/>
                <w:b w:val="0"/>
                <w:color w:val="000000"/>
                <w:sz w:val="20"/>
              </w:rPr>
              <w:t>1</w:t>
            </w:r>
          </w:p>
        </w:tc>
      </w:tr>
    </w:tbl>
    <w:p>
      <w:pPr>
        <w:pStyle w:val="ArticleNote"/>
      </w:pPr>
      <w:r>
        <w:t>Total: 17 atributos adicionais, resultando em 24. Os desvios padrão utilizam min_periods=2 e valores ausentes resultantes são preenchidos com zero, conforme a implementação registrada.</w:t>
      </w:r>
    </w:p>
    <w:p>
      <w:pPr>
        <w:pStyle w:val="Caption"/>
      </w:pPr>
      <w:r>
        <w:t>Tabela A3 Configuração dos modelos de referência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97"/>
        <w:gridCol w:w="3882"/>
        <w:gridCol w:w="3953"/>
      </w:tblGrid>
      <w:tr>
        <w:trPr>
          <w:cantSplit/>
          <w:tblHeader/>
        </w:trPr>
        <w:tc>
          <w:tcPr>
            <w:tcW w:type="dxa" w:w="1797"/>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Elemento</w:t>
            </w:r>
          </w:p>
        </w:tc>
        <w:tc>
          <w:tcPr>
            <w:tcW w:type="dxa" w:w="3882"/>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MLP</w:t>
            </w:r>
          </w:p>
        </w:tc>
        <w:tc>
          <w:tcPr>
            <w:tcW w:type="dxa" w:w="3953"/>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XGBoost de referência</w:t>
            </w:r>
          </w:p>
        </w:tc>
      </w:tr>
      <w:tr>
        <w:trPr>
          <w:cantSplit/>
        </w:trPr>
        <w:tc>
          <w:tcPr>
            <w:tcW w:type="dxa" w:w="1797"/>
            <w:vAlign w:val="center"/>
            <w:tcMar>
              <w:top w:w="65" w:type="dxa"/>
              <w:bottom w:w="65" w:type="dxa"/>
              <w:left w:w="90" w:type="dxa"/>
              <w:right w:w="90" w:type="dxa"/>
            </w:tcMar>
          </w:tcPr>
          <w:p>
            <w:pPr>
              <w:spacing w:after="0" w:line="247" w:lineRule="auto"/>
              <w:jc w:val="left"/>
            </w:pPr>
            <w:r>
              <w:rPr>
                <w:rFonts w:ascii="Times New Roman" w:hAnsi="Times New Roman"/>
                <w:sz w:val="19"/>
              </w:rPr>
              <w:t>Estrutura</w:t>
            </w:r>
          </w:p>
        </w:tc>
        <w:tc>
          <w:tcPr>
            <w:tcW w:type="dxa" w:w="3882"/>
            <w:vAlign w:val="center"/>
            <w:tcMar>
              <w:top w:w="65" w:type="dxa"/>
              <w:bottom w:w="65" w:type="dxa"/>
              <w:left w:w="90" w:type="dxa"/>
              <w:right w:w="90" w:type="dxa"/>
            </w:tcMar>
          </w:tcPr>
          <w:p>
            <w:pPr>
              <w:spacing w:after="0" w:line="247" w:lineRule="auto"/>
              <w:jc w:val="left"/>
            </w:pPr>
            <w:r>
              <w:rPr>
                <w:rFonts w:ascii="Times New Roman" w:hAnsi="Times New Roman"/>
                <w:sz w:val="19"/>
              </w:rPr>
              <w:t>Duas camadas ocultas: 64 e 32 neurônios; ReLU; saída linear.</w:t>
            </w:r>
          </w:p>
        </w:tc>
        <w:tc>
          <w:tcPr>
            <w:tcW w:type="dxa" w:w="3953"/>
            <w:vAlign w:val="center"/>
            <w:tcMar>
              <w:top w:w="65" w:type="dxa"/>
              <w:bottom w:w="65" w:type="dxa"/>
              <w:left w:w="90" w:type="dxa"/>
              <w:right w:w="90" w:type="dxa"/>
            </w:tcMar>
          </w:tcPr>
          <w:p>
            <w:pPr>
              <w:spacing w:after="0" w:line="247" w:lineRule="auto"/>
              <w:jc w:val="left"/>
            </w:pPr>
            <w:r>
              <w:rPr>
                <w:rFonts w:ascii="Times New Roman" w:hAnsi="Times New Roman"/>
                <w:sz w:val="19"/>
              </w:rPr>
              <w:t>max_depth=4.</w:t>
            </w:r>
          </w:p>
        </w:tc>
      </w:tr>
      <w:tr>
        <w:trPr>
          <w:cantSplit/>
        </w:trPr>
        <w:tc>
          <w:tcPr>
            <w:tcW w:type="dxa" w:w="1797"/>
            <w:vAlign w:val="center"/>
            <w:tcMar>
              <w:top w:w="65" w:type="dxa"/>
              <w:bottom w:w="65" w:type="dxa"/>
              <w:left w:w="90" w:type="dxa"/>
              <w:right w:w="90" w:type="dxa"/>
            </w:tcMar>
          </w:tcPr>
          <w:p>
            <w:pPr>
              <w:spacing w:after="0" w:line="247" w:lineRule="auto"/>
              <w:jc w:val="left"/>
            </w:pPr>
            <w:r>
              <w:rPr>
                <w:rFonts w:ascii="Times New Roman" w:hAnsi="Times New Roman"/>
                <w:sz w:val="19"/>
              </w:rPr>
              <w:t>Perda ou objetivo</w:t>
            </w:r>
          </w:p>
        </w:tc>
        <w:tc>
          <w:tcPr>
            <w:tcW w:type="dxa" w:w="3882"/>
            <w:vAlign w:val="center"/>
            <w:tcMar>
              <w:top w:w="65" w:type="dxa"/>
              <w:bottom w:w="65" w:type="dxa"/>
              <w:left w:w="90" w:type="dxa"/>
              <w:right w:w="90" w:type="dxa"/>
            </w:tcMar>
          </w:tcPr>
          <w:p>
            <w:pPr>
              <w:spacing w:after="0" w:line="247" w:lineRule="auto"/>
              <w:jc w:val="left"/>
            </w:pPr>
            <w:r>
              <w:rPr>
                <w:rFonts w:ascii="Times New Roman" w:hAnsi="Times New Roman"/>
                <w:sz w:val="19"/>
              </w:rPr>
              <w:t>Erro quadrático médio.</w:t>
            </w:r>
          </w:p>
        </w:tc>
        <w:tc>
          <w:tcPr>
            <w:tcW w:type="dxa" w:w="3953"/>
            <w:vAlign w:val="center"/>
            <w:tcMar>
              <w:top w:w="65" w:type="dxa"/>
              <w:bottom w:w="65" w:type="dxa"/>
              <w:left w:w="90" w:type="dxa"/>
              <w:right w:w="90" w:type="dxa"/>
            </w:tcMar>
          </w:tcPr>
          <w:p>
            <w:pPr>
              <w:spacing w:after="0" w:line="247" w:lineRule="auto"/>
              <w:jc w:val="left"/>
            </w:pPr>
            <w:r>
              <w:rPr>
                <w:rFonts w:ascii="Times New Roman" w:hAnsi="Times New Roman"/>
                <w:sz w:val="19"/>
              </w:rPr>
              <w:t>reg:squarederror.</w:t>
            </w:r>
          </w:p>
        </w:tc>
      </w:tr>
      <w:tr>
        <w:trPr>
          <w:cantSplit/>
        </w:trPr>
        <w:tc>
          <w:tcPr>
            <w:tcW w:type="dxa" w:w="1797"/>
            <w:vAlign w:val="center"/>
            <w:tcMar>
              <w:top w:w="65" w:type="dxa"/>
              <w:bottom w:w="65" w:type="dxa"/>
              <w:left w:w="90" w:type="dxa"/>
              <w:right w:w="90" w:type="dxa"/>
            </w:tcMar>
          </w:tcPr>
          <w:p>
            <w:pPr>
              <w:spacing w:after="0" w:line="247" w:lineRule="auto"/>
              <w:jc w:val="left"/>
            </w:pPr>
            <w:r>
              <w:rPr>
                <w:rFonts w:ascii="Times New Roman" w:hAnsi="Times New Roman"/>
                <w:sz w:val="19"/>
              </w:rPr>
              <w:t>Taxa de aprendizagem</w:t>
            </w:r>
          </w:p>
        </w:tc>
        <w:tc>
          <w:tcPr>
            <w:tcW w:type="dxa" w:w="3882"/>
            <w:vAlign w:val="center"/>
            <w:tcMar>
              <w:top w:w="65" w:type="dxa"/>
              <w:bottom w:w="65" w:type="dxa"/>
              <w:left w:w="90" w:type="dxa"/>
              <w:right w:w="90" w:type="dxa"/>
            </w:tcMar>
          </w:tcPr>
          <w:p>
            <w:pPr>
              <w:spacing w:after="0" w:line="247" w:lineRule="auto"/>
              <w:jc w:val="left"/>
            </w:pPr>
            <w:r>
              <w:rPr>
                <w:rFonts w:ascii="Times New Roman" w:hAnsi="Times New Roman"/>
                <w:sz w:val="19"/>
              </w:rPr>
              <w:t>0,001.</w:t>
            </w:r>
          </w:p>
        </w:tc>
        <w:tc>
          <w:tcPr>
            <w:tcW w:type="dxa" w:w="3953"/>
            <w:vAlign w:val="center"/>
            <w:tcMar>
              <w:top w:w="65" w:type="dxa"/>
              <w:bottom w:w="65" w:type="dxa"/>
              <w:left w:w="90" w:type="dxa"/>
              <w:right w:w="90" w:type="dxa"/>
            </w:tcMar>
          </w:tcPr>
          <w:p>
            <w:pPr>
              <w:spacing w:after="0" w:line="247" w:lineRule="auto"/>
              <w:jc w:val="left"/>
            </w:pPr>
            <w:r>
              <w:rPr>
                <w:rFonts w:ascii="Times New Roman" w:hAnsi="Times New Roman"/>
                <w:sz w:val="19"/>
              </w:rPr>
              <w:t>0,03.</w:t>
            </w:r>
          </w:p>
        </w:tc>
      </w:tr>
      <w:tr>
        <w:trPr>
          <w:cantSplit/>
        </w:trPr>
        <w:tc>
          <w:tcPr>
            <w:tcW w:type="dxa" w:w="1797"/>
            <w:vAlign w:val="center"/>
            <w:tcMar>
              <w:top w:w="65" w:type="dxa"/>
              <w:bottom w:w="65" w:type="dxa"/>
              <w:left w:w="90" w:type="dxa"/>
              <w:right w:w="90" w:type="dxa"/>
            </w:tcMar>
          </w:tcPr>
          <w:p>
            <w:pPr>
              <w:spacing w:after="0" w:line="247" w:lineRule="auto"/>
              <w:jc w:val="left"/>
            </w:pPr>
            <w:r>
              <w:rPr>
                <w:rFonts w:ascii="Times New Roman" w:hAnsi="Times New Roman"/>
                <w:sz w:val="19"/>
              </w:rPr>
              <w:t>Configuração do ajuste</w:t>
            </w:r>
          </w:p>
        </w:tc>
        <w:tc>
          <w:tcPr>
            <w:tcW w:type="dxa" w:w="3882"/>
            <w:vAlign w:val="center"/>
            <w:tcMar>
              <w:top w:w="65" w:type="dxa"/>
              <w:bottom w:w="65" w:type="dxa"/>
              <w:left w:w="90" w:type="dxa"/>
              <w:right w:w="90" w:type="dxa"/>
            </w:tcMar>
          </w:tcPr>
          <w:p>
            <w:pPr>
              <w:spacing w:after="0" w:line="247" w:lineRule="auto"/>
              <w:jc w:val="left"/>
            </w:pPr>
            <w:r>
              <w:rPr>
                <w:rFonts w:ascii="Times New Roman" w:hAnsi="Times New Roman"/>
                <w:sz w:val="19"/>
              </w:rPr>
              <w:t>Adam; lotes de 64 observações.</w:t>
            </w:r>
          </w:p>
        </w:tc>
        <w:tc>
          <w:tcPr>
            <w:tcW w:type="dxa" w:w="3953"/>
            <w:vAlign w:val="center"/>
            <w:tcMar>
              <w:top w:w="65" w:type="dxa"/>
              <w:bottom w:w="65" w:type="dxa"/>
              <w:left w:w="90" w:type="dxa"/>
              <w:right w:w="90" w:type="dxa"/>
            </w:tcMar>
          </w:tcPr>
          <w:p>
            <w:pPr>
              <w:spacing w:after="0" w:line="247" w:lineRule="auto"/>
              <w:jc w:val="left"/>
            </w:pPr>
            <w:r>
              <w:rPr>
                <w:rFonts w:ascii="Times New Roman" w:hAnsi="Times New Roman"/>
                <w:sz w:val="19"/>
              </w:rPr>
              <w:t>min_child_weight=5; reg_alpha=0; reg_lambda=1.</w:t>
            </w:r>
          </w:p>
        </w:tc>
      </w:tr>
      <w:tr>
        <w:trPr>
          <w:cantSplit/>
        </w:trPr>
        <w:tc>
          <w:tcPr>
            <w:tcW w:type="dxa" w:w="1797"/>
            <w:vAlign w:val="center"/>
            <w:tcMar>
              <w:top w:w="65" w:type="dxa"/>
              <w:bottom w:w="65" w:type="dxa"/>
              <w:left w:w="90" w:type="dxa"/>
              <w:right w:w="90" w:type="dxa"/>
            </w:tcMar>
          </w:tcPr>
          <w:p>
            <w:pPr>
              <w:spacing w:after="0" w:line="247" w:lineRule="auto"/>
              <w:jc w:val="left"/>
            </w:pPr>
            <w:r>
              <w:rPr>
                <w:rFonts w:ascii="Times New Roman" w:hAnsi="Times New Roman"/>
                <w:sz w:val="19"/>
              </w:rPr>
              <w:t>Limite de treinamento</w:t>
            </w:r>
          </w:p>
        </w:tc>
        <w:tc>
          <w:tcPr>
            <w:tcW w:type="dxa" w:w="3882"/>
            <w:vAlign w:val="center"/>
            <w:tcMar>
              <w:top w:w="65" w:type="dxa"/>
              <w:bottom w:w="65" w:type="dxa"/>
              <w:left w:w="90" w:type="dxa"/>
              <w:right w:w="90" w:type="dxa"/>
            </w:tcMar>
          </w:tcPr>
          <w:p>
            <w:pPr>
              <w:spacing w:after="0" w:line="247" w:lineRule="auto"/>
              <w:jc w:val="left"/>
            </w:pPr>
            <w:r>
              <w:rPr>
                <w:rFonts w:ascii="Times New Roman" w:hAnsi="Times New Roman"/>
                <w:sz w:val="19"/>
              </w:rPr>
              <w:t>500 épocas.</w:t>
            </w:r>
          </w:p>
        </w:tc>
        <w:tc>
          <w:tcPr>
            <w:tcW w:type="dxa" w:w="3953"/>
            <w:vAlign w:val="center"/>
            <w:tcMar>
              <w:top w:w="65" w:type="dxa"/>
              <w:bottom w:w="65" w:type="dxa"/>
              <w:left w:w="90" w:type="dxa"/>
              <w:right w:w="90" w:type="dxa"/>
            </w:tcMar>
          </w:tcPr>
          <w:p>
            <w:pPr>
              <w:spacing w:after="0" w:line="247" w:lineRule="auto"/>
              <w:jc w:val="left"/>
            </w:pPr>
            <w:r>
              <w:rPr>
                <w:rFonts w:ascii="Times New Roman" w:hAnsi="Times New Roman"/>
                <w:sz w:val="19"/>
              </w:rPr>
              <w:t>3.000 árvores.</w:t>
            </w:r>
          </w:p>
        </w:tc>
      </w:tr>
      <w:tr>
        <w:trPr>
          <w:cantSplit/>
        </w:trPr>
        <w:tc>
          <w:tcPr>
            <w:tcW w:type="dxa" w:w="1797"/>
            <w:vAlign w:val="center"/>
            <w:tcMar>
              <w:top w:w="65" w:type="dxa"/>
              <w:bottom w:w="65" w:type="dxa"/>
              <w:left w:w="90" w:type="dxa"/>
              <w:right w:w="90" w:type="dxa"/>
            </w:tcMar>
          </w:tcPr>
          <w:p>
            <w:pPr>
              <w:spacing w:after="0" w:line="247" w:lineRule="auto"/>
              <w:jc w:val="left"/>
            </w:pPr>
            <w:r>
              <w:rPr>
                <w:rFonts w:ascii="Times New Roman" w:hAnsi="Times New Roman"/>
                <w:sz w:val="19"/>
              </w:rPr>
              <w:t>Critério de seleção</w:t>
            </w:r>
          </w:p>
        </w:tc>
        <w:tc>
          <w:tcPr>
            <w:tcW w:type="dxa" w:w="3882"/>
            <w:vAlign w:val="center"/>
            <w:tcMar>
              <w:top w:w="65" w:type="dxa"/>
              <w:bottom w:w="65" w:type="dxa"/>
              <w:left w:w="90" w:type="dxa"/>
              <w:right w:w="90" w:type="dxa"/>
            </w:tcMar>
          </w:tcPr>
          <w:p>
            <w:pPr>
              <w:spacing w:after="0" w:line="247" w:lineRule="auto"/>
              <w:jc w:val="left"/>
            </w:pPr>
            <w:r>
              <w:rPr>
                <w:rFonts w:ascii="Times New Roman" w:hAnsi="Times New Roman"/>
                <w:sz w:val="19"/>
              </w:rPr>
              <w:t>Perda de validação.</w:t>
            </w:r>
          </w:p>
        </w:tc>
        <w:tc>
          <w:tcPr>
            <w:tcW w:type="dxa" w:w="3953"/>
            <w:vAlign w:val="center"/>
            <w:tcMar>
              <w:top w:w="65" w:type="dxa"/>
              <w:bottom w:w="65" w:type="dxa"/>
              <w:left w:w="90" w:type="dxa"/>
              <w:right w:w="90" w:type="dxa"/>
            </w:tcMar>
          </w:tcPr>
          <w:p>
            <w:pPr>
              <w:spacing w:after="0" w:line="247" w:lineRule="auto"/>
              <w:jc w:val="left"/>
            </w:pPr>
            <w:r>
              <w:rPr>
                <w:rFonts w:ascii="Times New Roman" w:hAnsi="Times New Roman"/>
                <w:sz w:val="19"/>
              </w:rPr>
              <w:t>RMSE de validação.</w:t>
            </w:r>
          </w:p>
        </w:tc>
      </w:tr>
      <w:tr>
        <w:trPr>
          <w:cantSplit/>
        </w:trPr>
        <w:tc>
          <w:tcPr>
            <w:tcW w:type="dxa" w:w="1797"/>
            <w:vAlign w:val="center"/>
            <w:tcMar>
              <w:top w:w="65" w:type="dxa"/>
              <w:bottom w:w="65" w:type="dxa"/>
              <w:left w:w="90" w:type="dxa"/>
              <w:right w:w="90" w:type="dxa"/>
            </w:tcMar>
          </w:tcPr>
          <w:p>
            <w:pPr>
              <w:spacing w:after="0" w:line="247" w:lineRule="auto"/>
              <w:jc w:val="left"/>
            </w:pPr>
            <w:r>
              <w:rPr>
                <w:rFonts w:ascii="Times New Roman" w:hAnsi="Times New Roman"/>
                <w:sz w:val="19"/>
              </w:rPr>
              <w:t>Interrupção antecipada</w:t>
            </w:r>
          </w:p>
        </w:tc>
        <w:tc>
          <w:tcPr>
            <w:tcW w:type="dxa" w:w="3882"/>
            <w:vAlign w:val="center"/>
            <w:tcMar>
              <w:top w:w="65" w:type="dxa"/>
              <w:bottom w:w="65" w:type="dxa"/>
              <w:left w:w="90" w:type="dxa"/>
              <w:right w:w="90" w:type="dxa"/>
            </w:tcMar>
          </w:tcPr>
          <w:p>
            <w:pPr>
              <w:spacing w:after="0" w:line="247" w:lineRule="auto"/>
              <w:jc w:val="left"/>
            </w:pPr>
            <w:r>
              <w:rPr>
                <w:rFonts w:ascii="Times New Roman" w:hAnsi="Times New Roman"/>
                <w:sz w:val="19"/>
              </w:rPr>
              <w:t>Paciência de 30 épocas; min_delta=10⁻⁶; restauração dos melhores pesos.</w:t>
            </w:r>
          </w:p>
        </w:tc>
        <w:tc>
          <w:tcPr>
            <w:tcW w:type="dxa" w:w="3953"/>
            <w:vAlign w:val="center"/>
            <w:tcMar>
              <w:top w:w="65" w:type="dxa"/>
              <w:bottom w:w="65" w:type="dxa"/>
              <w:left w:w="90" w:type="dxa"/>
              <w:right w:w="90" w:type="dxa"/>
            </w:tcMar>
          </w:tcPr>
          <w:p>
            <w:pPr>
              <w:spacing w:after="0" w:line="247" w:lineRule="auto"/>
              <w:jc w:val="left"/>
            </w:pPr>
            <w:r>
              <w:rPr>
                <w:rFonts w:ascii="Times New Roman" w:hAnsi="Times New Roman"/>
                <w:sz w:val="19"/>
              </w:rPr>
              <w:t>50 iterações sem melhoria.</w:t>
            </w:r>
          </w:p>
        </w:tc>
      </w:tr>
      <w:tr>
        <w:trPr>
          <w:cantSplit/>
        </w:trPr>
        <w:tc>
          <w:tcPr>
            <w:tcW w:type="dxa" w:w="1797"/>
            <w:vAlign w:val="center"/>
            <w:tcMar>
              <w:top w:w="65" w:type="dxa"/>
              <w:bottom w:w="65" w:type="dxa"/>
              <w:left w:w="90" w:type="dxa"/>
              <w:right w:w="90" w:type="dxa"/>
            </w:tcMar>
          </w:tcPr>
          <w:p>
            <w:pPr>
              <w:spacing w:after="0" w:line="247" w:lineRule="auto"/>
              <w:jc w:val="left"/>
            </w:pPr>
            <w:r>
              <w:rPr>
                <w:rFonts w:ascii="Times New Roman" w:hAnsi="Times New Roman"/>
                <w:sz w:val="19"/>
              </w:rPr>
              <w:t>Amostragem</w:t>
            </w:r>
          </w:p>
        </w:tc>
        <w:tc>
          <w:tcPr>
            <w:tcW w:type="dxa" w:w="3882"/>
            <w:vAlign w:val="center"/>
            <w:tcMar>
              <w:top w:w="65" w:type="dxa"/>
              <w:bottom w:w="65" w:type="dxa"/>
              <w:left w:w="90" w:type="dxa"/>
              <w:right w:w="90" w:type="dxa"/>
            </w:tcMar>
          </w:tcPr>
          <w:p>
            <w:pPr>
              <w:spacing w:after="0" w:line="247" w:lineRule="auto"/>
              <w:jc w:val="left"/>
            </w:pPr>
            <w:r>
              <w:rPr>
                <w:rFonts w:ascii="Times New Roman" w:hAnsi="Times New Roman"/>
                <w:sz w:val="19"/>
              </w:rPr>
              <w:t>shuffle=False.</w:t>
            </w:r>
          </w:p>
        </w:tc>
        <w:tc>
          <w:tcPr>
            <w:tcW w:type="dxa" w:w="3953"/>
            <w:vAlign w:val="center"/>
            <w:tcMar>
              <w:top w:w="65" w:type="dxa"/>
              <w:bottom w:w="65" w:type="dxa"/>
              <w:left w:w="90" w:type="dxa"/>
              <w:right w:w="90" w:type="dxa"/>
            </w:tcMar>
          </w:tcPr>
          <w:p>
            <w:pPr>
              <w:spacing w:after="0" w:line="247" w:lineRule="auto"/>
              <w:jc w:val="left"/>
            </w:pPr>
            <w:r>
              <w:rPr>
                <w:rFonts w:ascii="Times New Roman" w:hAnsi="Times New Roman"/>
                <w:sz w:val="19"/>
              </w:rPr>
              <w:t>subsample=0,8; colsample_bytree=0,8.</w:t>
            </w:r>
          </w:p>
        </w:tc>
      </w:tr>
      <w:tr>
        <w:trPr>
          <w:cantSplit/>
        </w:trPr>
        <w:tc>
          <w:tcPr>
            <w:tcW w:type="dxa" w:w="1797"/>
            <w:vAlign w:val="center"/>
            <w:tcMar>
              <w:top w:w="65" w:type="dxa"/>
              <w:bottom w:w="65" w:type="dxa"/>
              <w:left w:w="90" w:type="dxa"/>
              <w:right w:w="90" w:type="dxa"/>
            </w:tcMar>
          </w:tcPr>
          <w:p>
            <w:pPr>
              <w:spacing w:after="0" w:line="247" w:lineRule="auto"/>
              <w:jc w:val="left"/>
            </w:pPr>
            <w:r>
              <w:rPr>
                <w:rFonts w:ascii="Times New Roman" w:hAnsi="Times New Roman"/>
                <w:sz w:val="19"/>
              </w:rPr>
              <w:t>Pré-processamento</w:t>
            </w:r>
          </w:p>
        </w:tc>
        <w:tc>
          <w:tcPr>
            <w:tcW w:type="dxa" w:w="3882"/>
            <w:vAlign w:val="center"/>
            <w:tcMar>
              <w:top w:w="65" w:type="dxa"/>
              <w:bottom w:w="65" w:type="dxa"/>
              <w:left w:w="90" w:type="dxa"/>
              <w:right w:w="90" w:type="dxa"/>
            </w:tcMar>
          </w:tcPr>
          <w:p>
            <w:pPr>
              <w:spacing w:after="0" w:line="247" w:lineRule="auto"/>
              <w:jc w:val="left"/>
            </w:pPr>
            <w:r>
              <w:rPr>
                <w:rFonts w:ascii="Times New Roman" w:hAnsi="Times New Roman"/>
                <w:sz w:val="19"/>
              </w:rPr>
              <w:t>MinMaxScaler nas entradas e na resposta, ajustado somente no treino.</w:t>
            </w:r>
          </w:p>
        </w:tc>
        <w:tc>
          <w:tcPr>
            <w:tcW w:type="dxa" w:w="3953"/>
            <w:vAlign w:val="center"/>
            <w:tcMar>
              <w:top w:w="65" w:type="dxa"/>
              <w:bottom w:w="65" w:type="dxa"/>
              <w:left w:w="90" w:type="dxa"/>
              <w:right w:w="90" w:type="dxa"/>
            </w:tcMar>
          </w:tcPr>
          <w:p>
            <w:pPr>
              <w:spacing w:after="0" w:line="247" w:lineRule="auto"/>
              <w:jc w:val="left"/>
            </w:pPr>
            <w:r>
              <w:rPr>
                <w:rFonts w:ascii="Times New Roman" w:hAnsi="Times New Roman"/>
                <w:sz w:val="19"/>
              </w:rPr>
              <w:t>Sem escalonamento.</w:t>
            </w:r>
          </w:p>
        </w:tc>
      </w:tr>
      <w:tr>
        <w:trPr>
          <w:cantSplit/>
        </w:trPr>
        <w:tc>
          <w:tcPr>
            <w:tcW w:type="dxa" w:w="1797"/>
            <w:vAlign w:val="center"/>
            <w:tcMar>
              <w:top w:w="65" w:type="dxa"/>
              <w:bottom w:w="65" w:type="dxa"/>
              <w:left w:w="90" w:type="dxa"/>
              <w:right w:w="90" w:type="dxa"/>
            </w:tcMar>
          </w:tcPr>
          <w:p>
            <w:pPr>
              <w:spacing w:after="0" w:line="247" w:lineRule="auto"/>
              <w:jc w:val="left"/>
            </w:pPr>
            <w:r>
              <w:rPr>
                <w:rFonts w:ascii="Times New Roman" w:hAnsi="Times New Roman"/>
                <w:sz w:val="19"/>
              </w:rPr>
              <w:t>Semente e processamento</w:t>
            </w:r>
          </w:p>
        </w:tc>
        <w:tc>
          <w:tcPr>
            <w:tcW w:type="dxa" w:w="3882"/>
            <w:vAlign w:val="center"/>
            <w:tcMar>
              <w:top w:w="65" w:type="dxa"/>
              <w:bottom w:w="65" w:type="dxa"/>
              <w:left w:w="90" w:type="dxa"/>
              <w:right w:w="90" w:type="dxa"/>
            </w:tcMar>
          </w:tcPr>
          <w:p>
            <w:pPr>
              <w:spacing w:after="0" w:line="247" w:lineRule="auto"/>
              <w:jc w:val="left"/>
            </w:pPr>
            <w:r>
              <w:rPr>
                <w:rFonts w:ascii="Times New Roman" w:hAnsi="Times New Roman"/>
                <w:sz w:val="19"/>
              </w:rPr>
              <w:t>Semente 42.</w:t>
            </w:r>
          </w:p>
        </w:tc>
        <w:tc>
          <w:tcPr>
            <w:tcW w:type="dxa" w:w="3953"/>
            <w:vAlign w:val="center"/>
            <w:tcMar>
              <w:top w:w="65" w:type="dxa"/>
              <w:bottom w:w="65" w:type="dxa"/>
              <w:left w:w="90" w:type="dxa"/>
              <w:right w:w="90" w:type="dxa"/>
            </w:tcMar>
          </w:tcPr>
          <w:p>
            <w:pPr>
              <w:spacing w:after="0" w:line="247" w:lineRule="auto"/>
              <w:jc w:val="left"/>
            </w:pPr>
            <w:r>
              <w:rPr>
                <w:rFonts w:ascii="Times New Roman" w:hAnsi="Times New Roman"/>
                <w:sz w:val="19"/>
              </w:rPr>
              <w:t>Semente 42; n_jobs=−1.</w:t>
            </w:r>
          </w:p>
        </w:tc>
      </w:tr>
    </w:tbl>
    <w:p>
      <w:pPr>
        <w:pStyle w:val="SupplementText"/>
      </w:pPr>
      <w:r>
        <w:t>A configuração do XGBoost apresentada na Tabela A3 corresponde à referência da etapa 03A.02, retomada nos experimentos históricos e finais. Os parâmetros estruturais permaneceram comuns, enquanto o número de árvores foi selecionado em cada ajuste.</w:t>
      </w:r>
    </w:p>
    <w:p>
      <w:pPr>
        <w:pStyle w:val="SupplementText"/>
      </w:pPr>
      <w:r>
        <w:t>Nas MLPs, os cenários A, B e C resultaram em 2.241, 2.625 e 3.713 parâmetros, com melhores épocas 24, 38 e 57, respectivamente. Os modelos foram aplicados ao teste sem reajuste incluindo outubro. A etapa 03A.01 comparou o modelo B salvo ao modelo C nos mesmos horários.</w:t>
      </w:r>
    </w:p>
    <w:p>
      <w:pPr>
        <w:pStyle w:val="SupplementText"/>
      </w:pPr>
      <w:r>
        <w:t>A busca da etapa 03A.03 utilizou ParameterSampler, com 30 configurações comuns a A e B, semente 42 e cinco validações por configuração e cenário, totalizando 300 ajustes. Adotaram-se tree_method=hist e eval_metric=mae, sem interrupção antecipada. O reajuste reuniu 5.105 observações de janeiro a outubro e o teste, 1.144 horas de novembro e dezembro. As configurações dessa busca não foram transferidas para a comparação final.</w:t>
      </w:r>
    </w:p>
    <w:p>
      <w:pPr>
        <w:pStyle w:val="Caption"/>
      </w:pPr>
      <w:r>
        <w:t>Tabela A4 Busca aleatória e configurações selecionadas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6"/>
        <w:gridCol w:w="4313"/>
        <w:gridCol w:w="1581"/>
        <w:gridCol w:w="1581"/>
      </w:tblGrid>
      <w:tr>
        <w:trPr>
          <w:cantSplit/>
          <w:tblHeader/>
        </w:trPr>
        <w:tc>
          <w:tcPr>
            <w:tcW w:type="dxa" w:w="2156"/>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Hiperparâmetro</w:t>
            </w:r>
          </w:p>
        </w:tc>
        <w:tc>
          <w:tcPr>
            <w:tcW w:type="dxa" w:w="4313"/>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Valores candidatos</w:t>
            </w:r>
          </w:p>
        </w:tc>
        <w:tc>
          <w:tcPr>
            <w:tcW w:type="dxa" w:w="1581"/>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Selecionado A</w:t>
            </w:r>
          </w:p>
        </w:tc>
        <w:tc>
          <w:tcPr>
            <w:tcW w:type="dxa" w:w="1581"/>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Selecionado B</w:t>
            </w:r>
          </w:p>
        </w:tc>
      </w:tr>
      <w:tr>
        <w:trPr>
          <w:cantSplit/>
        </w:trPr>
        <w:tc>
          <w:tcPr>
            <w:tcW w:type="dxa" w:w="2156"/>
            <w:vAlign w:val="center"/>
            <w:tcMar>
              <w:top w:w="65" w:type="dxa"/>
              <w:bottom w:w="65" w:type="dxa"/>
              <w:left w:w="90" w:type="dxa"/>
              <w:right w:w="90" w:type="dxa"/>
            </w:tcMar>
          </w:tcPr>
          <w:p>
            <w:pPr>
              <w:spacing w:after="0" w:line="247" w:lineRule="auto"/>
              <w:jc w:val="left"/>
            </w:pPr>
            <w:r>
              <w:rPr>
                <w:rFonts w:ascii="Times New Roman" w:hAnsi="Times New Roman"/>
                <w:sz w:val="19"/>
              </w:rPr>
              <w:t>n_estimators</w:t>
            </w:r>
          </w:p>
        </w:tc>
        <w:tc>
          <w:tcPr>
            <w:tcW w:type="dxa" w:w="4313"/>
            <w:vAlign w:val="center"/>
            <w:tcMar>
              <w:top w:w="65" w:type="dxa"/>
              <w:bottom w:w="65" w:type="dxa"/>
              <w:left w:w="90" w:type="dxa"/>
              <w:right w:w="90" w:type="dxa"/>
            </w:tcMar>
          </w:tcPr>
          <w:p>
            <w:pPr>
              <w:spacing w:after="0" w:line="247" w:lineRule="auto"/>
              <w:jc w:val="left"/>
            </w:pPr>
            <w:r>
              <w:rPr>
                <w:rFonts w:ascii="Times New Roman" w:hAnsi="Times New Roman"/>
                <w:sz w:val="19"/>
              </w:rPr>
              <w:t>200; 400; 600; 800; 1.200</w:t>
            </w:r>
          </w:p>
        </w:tc>
        <w:tc>
          <w:tcPr>
            <w:tcW w:type="dxa" w:w="1581"/>
            <w:vAlign w:val="center"/>
            <w:tcMar>
              <w:top w:w="65" w:type="dxa"/>
              <w:bottom w:w="65" w:type="dxa"/>
              <w:left w:w="90" w:type="dxa"/>
              <w:right w:w="90" w:type="dxa"/>
            </w:tcMar>
          </w:tcPr>
          <w:p>
            <w:pPr>
              <w:spacing w:after="0" w:line="247" w:lineRule="auto"/>
              <w:jc w:val="left"/>
            </w:pPr>
            <w:r>
              <w:rPr>
                <w:rFonts w:ascii="Times New Roman" w:hAnsi="Times New Roman"/>
                <w:sz w:val="19"/>
              </w:rPr>
              <w:t>200</w:t>
            </w:r>
          </w:p>
        </w:tc>
        <w:tc>
          <w:tcPr>
            <w:tcW w:type="dxa" w:w="1581"/>
            <w:vAlign w:val="center"/>
            <w:tcMar>
              <w:top w:w="65" w:type="dxa"/>
              <w:bottom w:w="65" w:type="dxa"/>
              <w:left w:w="90" w:type="dxa"/>
              <w:right w:w="90" w:type="dxa"/>
            </w:tcMar>
          </w:tcPr>
          <w:p>
            <w:pPr>
              <w:spacing w:after="0" w:line="247" w:lineRule="auto"/>
              <w:jc w:val="left"/>
            </w:pPr>
            <w:r>
              <w:rPr>
                <w:rFonts w:ascii="Times New Roman" w:hAnsi="Times New Roman"/>
                <w:sz w:val="19"/>
              </w:rPr>
              <w:t>200</w:t>
            </w:r>
          </w:p>
        </w:tc>
      </w:tr>
      <w:tr>
        <w:trPr>
          <w:cantSplit/>
        </w:trPr>
        <w:tc>
          <w:tcPr>
            <w:tcW w:type="dxa" w:w="2156"/>
            <w:vAlign w:val="center"/>
            <w:tcMar>
              <w:top w:w="65" w:type="dxa"/>
              <w:bottom w:w="65" w:type="dxa"/>
              <w:left w:w="90" w:type="dxa"/>
              <w:right w:w="90" w:type="dxa"/>
            </w:tcMar>
          </w:tcPr>
          <w:p>
            <w:pPr>
              <w:spacing w:after="0" w:line="247" w:lineRule="auto"/>
              <w:jc w:val="left"/>
            </w:pPr>
            <w:r>
              <w:rPr>
                <w:rFonts w:ascii="Times New Roman" w:hAnsi="Times New Roman"/>
                <w:sz w:val="19"/>
              </w:rPr>
              <w:t>learning_rate</w:t>
            </w:r>
          </w:p>
        </w:tc>
        <w:tc>
          <w:tcPr>
            <w:tcW w:type="dxa" w:w="4313"/>
            <w:vAlign w:val="center"/>
            <w:tcMar>
              <w:top w:w="65" w:type="dxa"/>
              <w:bottom w:w="65" w:type="dxa"/>
              <w:left w:w="90" w:type="dxa"/>
              <w:right w:w="90" w:type="dxa"/>
            </w:tcMar>
          </w:tcPr>
          <w:p>
            <w:pPr>
              <w:spacing w:after="0" w:line="247" w:lineRule="auto"/>
              <w:jc w:val="left"/>
            </w:pPr>
            <w:r>
              <w:rPr>
                <w:rFonts w:ascii="Times New Roman" w:hAnsi="Times New Roman"/>
                <w:sz w:val="19"/>
              </w:rPr>
              <w:t>0,01; 0,02; 0,03; 0,05; 0,08</w:t>
            </w:r>
          </w:p>
        </w:tc>
        <w:tc>
          <w:tcPr>
            <w:tcW w:type="dxa" w:w="1581"/>
            <w:vAlign w:val="center"/>
            <w:tcMar>
              <w:top w:w="65" w:type="dxa"/>
              <w:bottom w:w="65" w:type="dxa"/>
              <w:left w:w="90" w:type="dxa"/>
              <w:right w:w="90" w:type="dxa"/>
            </w:tcMar>
          </w:tcPr>
          <w:p>
            <w:pPr>
              <w:spacing w:after="0" w:line="247" w:lineRule="auto"/>
              <w:jc w:val="left"/>
            </w:pPr>
            <w:r>
              <w:rPr>
                <w:rFonts w:ascii="Times New Roman" w:hAnsi="Times New Roman"/>
                <w:sz w:val="19"/>
              </w:rPr>
              <w:t>0,01</w:t>
            </w:r>
          </w:p>
        </w:tc>
        <w:tc>
          <w:tcPr>
            <w:tcW w:type="dxa" w:w="1581"/>
            <w:vAlign w:val="center"/>
            <w:tcMar>
              <w:top w:w="65" w:type="dxa"/>
              <w:bottom w:w="65" w:type="dxa"/>
              <w:left w:w="90" w:type="dxa"/>
              <w:right w:w="90" w:type="dxa"/>
            </w:tcMar>
          </w:tcPr>
          <w:p>
            <w:pPr>
              <w:spacing w:after="0" w:line="247" w:lineRule="auto"/>
              <w:jc w:val="left"/>
            </w:pPr>
            <w:r>
              <w:rPr>
                <w:rFonts w:ascii="Times New Roman" w:hAnsi="Times New Roman"/>
                <w:sz w:val="19"/>
              </w:rPr>
              <w:t>0,01</w:t>
            </w:r>
          </w:p>
        </w:tc>
      </w:tr>
      <w:tr>
        <w:trPr>
          <w:cantSplit/>
        </w:trPr>
        <w:tc>
          <w:tcPr>
            <w:tcW w:type="dxa" w:w="2156"/>
            <w:vAlign w:val="center"/>
            <w:tcMar>
              <w:top w:w="65" w:type="dxa"/>
              <w:bottom w:w="65" w:type="dxa"/>
              <w:left w:w="90" w:type="dxa"/>
              <w:right w:w="90" w:type="dxa"/>
            </w:tcMar>
          </w:tcPr>
          <w:p>
            <w:pPr>
              <w:spacing w:after="0" w:line="247" w:lineRule="auto"/>
              <w:jc w:val="left"/>
            </w:pPr>
            <w:r>
              <w:rPr>
                <w:rFonts w:ascii="Times New Roman" w:hAnsi="Times New Roman"/>
                <w:sz w:val="19"/>
              </w:rPr>
              <w:t>max_depth</w:t>
            </w:r>
          </w:p>
        </w:tc>
        <w:tc>
          <w:tcPr>
            <w:tcW w:type="dxa" w:w="4313"/>
            <w:vAlign w:val="center"/>
            <w:tcMar>
              <w:top w:w="65" w:type="dxa"/>
              <w:bottom w:w="65" w:type="dxa"/>
              <w:left w:w="90" w:type="dxa"/>
              <w:right w:w="90" w:type="dxa"/>
            </w:tcMar>
          </w:tcPr>
          <w:p>
            <w:pPr>
              <w:spacing w:after="0" w:line="247" w:lineRule="auto"/>
              <w:jc w:val="left"/>
            </w:pPr>
            <w:r>
              <w:rPr>
                <w:rFonts w:ascii="Times New Roman" w:hAnsi="Times New Roman"/>
                <w:sz w:val="19"/>
              </w:rPr>
              <w:t>2; 3; 4; 5; 6</w:t>
            </w:r>
          </w:p>
        </w:tc>
        <w:tc>
          <w:tcPr>
            <w:tcW w:type="dxa" w:w="1581"/>
            <w:vAlign w:val="center"/>
            <w:tcMar>
              <w:top w:w="65" w:type="dxa"/>
              <w:bottom w:w="65" w:type="dxa"/>
              <w:left w:w="90" w:type="dxa"/>
              <w:right w:w="90" w:type="dxa"/>
            </w:tcMar>
          </w:tcPr>
          <w:p>
            <w:pPr>
              <w:spacing w:after="0" w:line="247" w:lineRule="auto"/>
              <w:jc w:val="left"/>
            </w:pPr>
            <w:r>
              <w:rPr>
                <w:rFonts w:ascii="Times New Roman" w:hAnsi="Times New Roman"/>
                <w:sz w:val="19"/>
              </w:rPr>
              <w:t>6</w:t>
            </w:r>
          </w:p>
        </w:tc>
        <w:tc>
          <w:tcPr>
            <w:tcW w:type="dxa" w:w="1581"/>
            <w:vAlign w:val="center"/>
            <w:tcMar>
              <w:top w:w="65" w:type="dxa"/>
              <w:bottom w:w="65" w:type="dxa"/>
              <w:left w:w="90" w:type="dxa"/>
              <w:right w:w="90" w:type="dxa"/>
            </w:tcMar>
          </w:tcPr>
          <w:p>
            <w:pPr>
              <w:spacing w:after="0" w:line="247" w:lineRule="auto"/>
              <w:jc w:val="left"/>
            </w:pPr>
            <w:r>
              <w:rPr>
                <w:rFonts w:ascii="Times New Roman" w:hAnsi="Times New Roman"/>
                <w:sz w:val="19"/>
              </w:rPr>
              <w:t>6</w:t>
            </w:r>
          </w:p>
        </w:tc>
      </w:tr>
      <w:tr>
        <w:trPr>
          <w:cantSplit/>
        </w:trPr>
        <w:tc>
          <w:tcPr>
            <w:tcW w:type="dxa" w:w="2156"/>
            <w:vAlign w:val="center"/>
            <w:tcMar>
              <w:top w:w="65" w:type="dxa"/>
              <w:bottom w:w="65" w:type="dxa"/>
              <w:left w:w="90" w:type="dxa"/>
              <w:right w:w="90" w:type="dxa"/>
            </w:tcMar>
          </w:tcPr>
          <w:p>
            <w:pPr>
              <w:spacing w:after="0" w:line="247" w:lineRule="auto"/>
              <w:jc w:val="left"/>
            </w:pPr>
            <w:r>
              <w:rPr>
                <w:rFonts w:ascii="Times New Roman" w:hAnsi="Times New Roman"/>
                <w:sz w:val="19"/>
              </w:rPr>
              <w:t>min_child_weight</w:t>
            </w:r>
          </w:p>
        </w:tc>
        <w:tc>
          <w:tcPr>
            <w:tcW w:type="dxa" w:w="4313"/>
            <w:vAlign w:val="center"/>
            <w:tcMar>
              <w:top w:w="65" w:type="dxa"/>
              <w:bottom w:w="65" w:type="dxa"/>
              <w:left w:w="90" w:type="dxa"/>
              <w:right w:w="90" w:type="dxa"/>
            </w:tcMar>
          </w:tcPr>
          <w:p>
            <w:pPr>
              <w:spacing w:after="0" w:line="247" w:lineRule="auto"/>
              <w:jc w:val="left"/>
            </w:pPr>
            <w:r>
              <w:rPr>
                <w:rFonts w:ascii="Times New Roman" w:hAnsi="Times New Roman"/>
                <w:sz w:val="19"/>
              </w:rPr>
              <w:t>1; 3; 5; 8; 12</w:t>
            </w:r>
          </w:p>
        </w:tc>
        <w:tc>
          <w:tcPr>
            <w:tcW w:type="dxa" w:w="1581"/>
            <w:vAlign w:val="center"/>
            <w:tcMar>
              <w:top w:w="65" w:type="dxa"/>
              <w:bottom w:w="65" w:type="dxa"/>
              <w:left w:w="90" w:type="dxa"/>
              <w:right w:w="90" w:type="dxa"/>
            </w:tcMar>
          </w:tcPr>
          <w:p>
            <w:pPr>
              <w:spacing w:after="0" w:line="247" w:lineRule="auto"/>
              <w:jc w:val="left"/>
            </w:pPr>
            <w:r>
              <w:rPr>
                <w:rFonts w:ascii="Times New Roman" w:hAnsi="Times New Roman"/>
                <w:sz w:val="19"/>
              </w:rPr>
              <w:t>5</w:t>
            </w:r>
          </w:p>
        </w:tc>
        <w:tc>
          <w:tcPr>
            <w:tcW w:type="dxa" w:w="1581"/>
            <w:vAlign w:val="center"/>
            <w:tcMar>
              <w:top w:w="65" w:type="dxa"/>
              <w:bottom w:w="65" w:type="dxa"/>
              <w:left w:w="90" w:type="dxa"/>
              <w:right w:w="90" w:type="dxa"/>
            </w:tcMar>
          </w:tcPr>
          <w:p>
            <w:pPr>
              <w:spacing w:after="0" w:line="247" w:lineRule="auto"/>
              <w:jc w:val="left"/>
            </w:pPr>
            <w:r>
              <w:rPr>
                <w:rFonts w:ascii="Times New Roman" w:hAnsi="Times New Roman"/>
                <w:sz w:val="19"/>
              </w:rPr>
              <w:t>3</w:t>
            </w:r>
          </w:p>
        </w:tc>
      </w:tr>
      <w:tr>
        <w:trPr>
          <w:cantSplit/>
        </w:trPr>
        <w:tc>
          <w:tcPr>
            <w:tcW w:type="dxa" w:w="2156"/>
            <w:vAlign w:val="center"/>
            <w:tcMar>
              <w:top w:w="65" w:type="dxa"/>
              <w:bottom w:w="65" w:type="dxa"/>
              <w:left w:w="90" w:type="dxa"/>
              <w:right w:w="90" w:type="dxa"/>
            </w:tcMar>
          </w:tcPr>
          <w:p>
            <w:pPr>
              <w:spacing w:after="0" w:line="247" w:lineRule="auto"/>
              <w:jc w:val="left"/>
            </w:pPr>
            <w:r>
              <w:rPr>
                <w:rFonts w:ascii="Times New Roman" w:hAnsi="Times New Roman"/>
                <w:sz w:val="19"/>
              </w:rPr>
              <w:t>subsample</w:t>
            </w:r>
          </w:p>
        </w:tc>
        <w:tc>
          <w:tcPr>
            <w:tcW w:type="dxa" w:w="4313"/>
            <w:vAlign w:val="center"/>
            <w:tcMar>
              <w:top w:w="65" w:type="dxa"/>
              <w:bottom w:w="65" w:type="dxa"/>
              <w:left w:w="90" w:type="dxa"/>
              <w:right w:w="90" w:type="dxa"/>
            </w:tcMar>
          </w:tcPr>
          <w:p>
            <w:pPr>
              <w:spacing w:after="0" w:line="247" w:lineRule="auto"/>
              <w:jc w:val="left"/>
            </w:pPr>
            <w:r>
              <w:rPr>
                <w:rFonts w:ascii="Times New Roman" w:hAnsi="Times New Roman"/>
                <w:sz w:val="19"/>
              </w:rPr>
              <w:t>0,65; 0,75; 0,85; 1,00</w:t>
            </w:r>
          </w:p>
        </w:tc>
        <w:tc>
          <w:tcPr>
            <w:tcW w:type="dxa" w:w="1581"/>
            <w:vAlign w:val="center"/>
            <w:tcMar>
              <w:top w:w="65" w:type="dxa"/>
              <w:bottom w:w="65" w:type="dxa"/>
              <w:left w:w="90" w:type="dxa"/>
              <w:right w:w="90" w:type="dxa"/>
            </w:tcMar>
          </w:tcPr>
          <w:p>
            <w:pPr>
              <w:spacing w:after="0" w:line="247" w:lineRule="auto"/>
              <w:jc w:val="left"/>
            </w:pPr>
            <w:r>
              <w:rPr>
                <w:rFonts w:ascii="Times New Roman" w:hAnsi="Times New Roman"/>
                <w:sz w:val="19"/>
              </w:rPr>
              <w:t>0,85</w:t>
            </w:r>
          </w:p>
        </w:tc>
        <w:tc>
          <w:tcPr>
            <w:tcW w:type="dxa" w:w="1581"/>
            <w:vAlign w:val="center"/>
            <w:tcMar>
              <w:top w:w="65" w:type="dxa"/>
              <w:bottom w:w="65" w:type="dxa"/>
              <w:left w:w="90" w:type="dxa"/>
              <w:right w:w="90" w:type="dxa"/>
            </w:tcMar>
          </w:tcPr>
          <w:p>
            <w:pPr>
              <w:spacing w:after="0" w:line="247" w:lineRule="auto"/>
              <w:jc w:val="left"/>
            </w:pPr>
            <w:r>
              <w:rPr>
                <w:rFonts w:ascii="Times New Roman" w:hAnsi="Times New Roman"/>
                <w:sz w:val="19"/>
              </w:rPr>
              <w:t>1</w:t>
            </w:r>
          </w:p>
        </w:tc>
      </w:tr>
      <w:tr>
        <w:trPr>
          <w:cantSplit/>
        </w:trPr>
        <w:tc>
          <w:tcPr>
            <w:tcW w:type="dxa" w:w="2156"/>
            <w:vAlign w:val="center"/>
            <w:tcMar>
              <w:top w:w="65" w:type="dxa"/>
              <w:bottom w:w="65" w:type="dxa"/>
              <w:left w:w="90" w:type="dxa"/>
              <w:right w:w="90" w:type="dxa"/>
            </w:tcMar>
          </w:tcPr>
          <w:p>
            <w:pPr>
              <w:spacing w:after="0" w:line="247" w:lineRule="auto"/>
              <w:jc w:val="left"/>
            </w:pPr>
            <w:r>
              <w:rPr>
                <w:rFonts w:ascii="Times New Roman" w:hAnsi="Times New Roman"/>
                <w:sz w:val="19"/>
              </w:rPr>
              <w:t>colsample_bytree</w:t>
            </w:r>
          </w:p>
        </w:tc>
        <w:tc>
          <w:tcPr>
            <w:tcW w:type="dxa" w:w="4313"/>
            <w:vAlign w:val="center"/>
            <w:tcMar>
              <w:top w:w="65" w:type="dxa"/>
              <w:bottom w:w="65" w:type="dxa"/>
              <w:left w:w="90" w:type="dxa"/>
              <w:right w:w="90" w:type="dxa"/>
            </w:tcMar>
          </w:tcPr>
          <w:p>
            <w:pPr>
              <w:spacing w:after="0" w:line="247" w:lineRule="auto"/>
              <w:jc w:val="left"/>
            </w:pPr>
            <w:r>
              <w:rPr>
                <w:rFonts w:ascii="Times New Roman" w:hAnsi="Times New Roman"/>
                <w:sz w:val="19"/>
              </w:rPr>
              <w:t>0,65; 0,75; 0,85; 1,00</w:t>
            </w:r>
          </w:p>
        </w:tc>
        <w:tc>
          <w:tcPr>
            <w:tcW w:type="dxa" w:w="1581"/>
            <w:vAlign w:val="center"/>
            <w:tcMar>
              <w:top w:w="65" w:type="dxa"/>
              <w:bottom w:w="65" w:type="dxa"/>
              <w:left w:w="90" w:type="dxa"/>
              <w:right w:w="90" w:type="dxa"/>
            </w:tcMar>
          </w:tcPr>
          <w:p>
            <w:pPr>
              <w:spacing w:after="0" w:line="247" w:lineRule="auto"/>
              <w:jc w:val="left"/>
            </w:pPr>
            <w:r>
              <w:rPr>
                <w:rFonts w:ascii="Times New Roman" w:hAnsi="Times New Roman"/>
                <w:sz w:val="19"/>
              </w:rPr>
              <w:t>1</w:t>
            </w:r>
          </w:p>
        </w:tc>
        <w:tc>
          <w:tcPr>
            <w:tcW w:type="dxa" w:w="1581"/>
            <w:vAlign w:val="center"/>
            <w:tcMar>
              <w:top w:w="65" w:type="dxa"/>
              <w:bottom w:w="65" w:type="dxa"/>
              <w:left w:w="90" w:type="dxa"/>
              <w:right w:w="90" w:type="dxa"/>
            </w:tcMar>
          </w:tcPr>
          <w:p>
            <w:pPr>
              <w:spacing w:after="0" w:line="247" w:lineRule="auto"/>
              <w:jc w:val="left"/>
            </w:pPr>
            <w:r>
              <w:rPr>
                <w:rFonts w:ascii="Times New Roman" w:hAnsi="Times New Roman"/>
                <w:sz w:val="19"/>
              </w:rPr>
              <w:t>1</w:t>
            </w:r>
          </w:p>
        </w:tc>
      </w:tr>
      <w:tr>
        <w:trPr>
          <w:cantSplit/>
        </w:trPr>
        <w:tc>
          <w:tcPr>
            <w:tcW w:type="dxa" w:w="2156"/>
            <w:vAlign w:val="center"/>
            <w:tcMar>
              <w:top w:w="65" w:type="dxa"/>
              <w:bottom w:w="65" w:type="dxa"/>
              <w:left w:w="90" w:type="dxa"/>
              <w:right w:w="90" w:type="dxa"/>
            </w:tcMar>
          </w:tcPr>
          <w:p>
            <w:pPr>
              <w:spacing w:after="0" w:line="247" w:lineRule="auto"/>
              <w:jc w:val="left"/>
            </w:pPr>
            <w:r>
              <w:rPr>
                <w:rFonts w:ascii="Times New Roman" w:hAnsi="Times New Roman"/>
                <w:sz w:val="19"/>
              </w:rPr>
              <w:t>reg_alpha</w:t>
            </w:r>
          </w:p>
        </w:tc>
        <w:tc>
          <w:tcPr>
            <w:tcW w:type="dxa" w:w="4313"/>
            <w:vAlign w:val="center"/>
            <w:tcMar>
              <w:top w:w="65" w:type="dxa"/>
              <w:bottom w:w="65" w:type="dxa"/>
              <w:left w:w="90" w:type="dxa"/>
              <w:right w:w="90" w:type="dxa"/>
            </w:tcMar>
          </w:tcPr>
          <w:p>
            <w:pPr>
              <w:spacing w:after="0" w:line="247" w:lineRule="auto"/>
              <w:jc w:val="left"/>
            </w:pPr>
            <w:r>
              <w:rPr>
                <w:rFonts w:ascii="Times New Roman" w:hAnsi="Times New Roman"/>
                <w:sz w:val="19"/>
              </w:rPr>
              <w:t>0; 0,01; 0,10; 0,50; 1,00</w:t>
            </w:r>
          </w:p>
        </w:tc>
        <w:tc>
          <w:tcPr>
            <w:tcW w:type="dxa" w:w="1581"/>
            <w:vAlign w:val="center"/>
            <w:tcMar>
              <w:top w:w="65" w:type="dxa"/>
              <w:bottom w:w="65" w:type="dxa"/>
              <w:left w:w="90" w:type="dxa"/>
              <w:right w:w="90" w:type="dxa"/>
            </w:tcMar>
          </w:tcPr>
          <w:p>
            <w:pPr>
              <w:spacing w:after="0" w:line="247" w:lineRule="auto"/>
              <w:jc w:val="left"/>
            </w:pPr>
            <w:r>
              <w:rPr>
                <w:rFonts w:ascii="Times New Roman" w:hAnsi="Times New Roman"/>
                <w:sz w:val="19"/>
              </w:rPr>
              <w:t>0,5</w:t>
            </w:r>
          </w:p>
        </w:tc>
        <w:tc>
          <w:tcPr>
            <w:tcW w:type="dxa" w:w="1581"/>
            <w:vAlign w:val="center"/>
            <w:tcMar>
              <w:top w:w="65" w:type="dxa"/>
              <w:bottom w:w="65" w:type="dxa"/>
              <w:left w:w="90" w:type="dxa"/>
              <w:right w:w="90" w:type="dxa"/>
            </w:tcMar>
          </w:tcPr>
          <w:p>
            <w:pPr>
              <w:spacing w:after="0" w:line="247" w:lineRule="auto"/>
              <w:jc w:val="left"/>
            </w:pPr>
            <w:r>
              <w:rPr>
                <w:rFonts w:ascii="Times New Roman" w:hAnsi="Times New Roman"/>
                <w:sz w:val="19"/>
              </w:rPr>
              <w:t>0,5</w:t>
            </w:r>
          </w:p>
        </w:tc>
      </w:tr>
      <w:tr>
        <w:trPr>
          <w:cantSplit/>
        </w:trPr>
        <w:tc>
          <w:tcPr>
            <w:tcW w:type="dxa" w:w="2156"/>
            <w:vAlign w:val="center"/>
            <w:tcMar>
              <w:top w:w="65" w:type="dxa"/>
              <w:bottom w:w="65" w:type="dxa"/>
              <w:left w:w="90" w:type="dxa"/>
              <w:right w:w="90" w:type="dxa"/>
            </w:tcMar>
          </w:tcPr>
          <w:p>
            <w:pPr>
              <w:spacing w:after="0" w:line="247" w:lineRule="auto"/>
              <w:jc w:val="left"/>
            </w:pPr>
            <w:r>
              <w:rPr>
                <w:rFonts w:ascii="Times New Roman" w:hAnsi="Times New Roman"/>
                <w:sz w:val="19"/>
              </w:rPr>
              <w:t>reg_lambda</w:t>
            </w:r>
          </w:p>
        </w:tc>
        <w:tc>
          <w:tcPr>
            <w:tcW w:type="dxa" w:w="4313"/>
            <w:vAlign w:val="center"/>
            <w:tcMar>
              <w:top w:w="65" w:type="dxa"/>
              <w:bottom w:w="65" w:type="dxa"/>
              <w:left w:w="90" w:type="dxa"/>
              <w:right w:w="90" w:type="dxa"/>
            </w:tcMar>
          </w:tcPr>
          <w:p>
            <w:pPr>
              <w:spacing w:after="0" w:line="247" w:lineRule="auto"/>
              <w:jc w:val="left"/>
            </w:pPr>
            <w:r>
              <w:rPr>
                <w:rFonts w:ascii="Times New Roman" w:hAnsi="Times New Roman"/>
                <w:sz w:val="19"/>
              </w:rPr>
              <w:t>0,50; 1,00; 2,00; 5,00; 10,00</w:t>
            </w:r>
          </w:p>
        </w:tc>
        <w:tc>
          <w:tcPr>
            <w:tcW w:type="dxa" w:w="1581"/>
            <w:vAlign w:val="center"/>
            <w:tcMar>
              <w:top w:w="65" w:type="dxa"/>
              <w:bottom w:w="65" w:type="dxa"/>
              <w:left w:w="90" w:type="dxa"/>
              <w:right w:w="90" w:type="dxa"/>
            </w:tcMar>
          </w:tcPr>
          <w:p>
            <w:pPr>
              <w:spacing w:after="0" w:line="247" w:lineRule="auto"/>
              <w:jc w:val="left"/>
            </w:pPr>
            <w:r>
              <w:rPr>
                <w:rFonts w:ascii="Times New Roman" w:hAnsi="Times New Roman"/>
                <w:sz w:val="19"/>
              </w:rPr>
              <w:t>5</w:t>
            </w:r>
          </w:p>
        </w:tc>
        <w:tc>
          <w:tcPr>
            <w:tcW w:type="dxa" w:w="1581"/>
            <w:vAlign w:val="center"/>
            <w:tcMar>
              <w:top w:w="65" w:type="dxa"/>
              <w:bottom w:w="65" w:type="dxa"/>
              <w:left w:w="90" w:type="dxa"/>
              <w:right w:w="90" w:type="dxa"/>
            </w:tcMar>
          </w:tcPr>
          <w:p>
            <w:pPr>
              <w:spacing w:after="0" w:line="247" w:lineRule="auto"/>
              <w:jc w:val="left"/>
            </w:pPr>
            <w:r>
              <w:rPr>
                <w:rFonts w:ascii="Times New Roman" w:hAnsi="Times New Roman"/>
                <w:sz w:val="19"/>
              </w:rPr>
              <w:t>10</w:t>
            </w:r>
          </w:p>
        </w:tc>
      </w:tr>
      <w:tr>
        <w:trPr>
          <w:cantSplit/>
        </w:trPr>
        <w:tc>
          <w:tcPr>
            <w:tcW w:type="dxa" w:w="2156"/>
            <w:vAlign w:val="center"/>
            <w:tcMar>
              <w:top w:w="65" w:type="dxa"/>
              <w:bottom w:w="65" w:type="dxa"/>
              <w:left w:w="90" w:type="dxa"/>
              <w:right w:w="90" w:type="dxa"/>
            </w:tcMar>
          </w:tcPr>
          <w:p>
            <w:pPr>
              <w:spacing w:after="0" w:line="247" w:lineRule="auto"/>
              <w:jc w:val="left"/>
            </w:pPr>
            <w:r>
              <w:rPr>
                <w:rFonts w:ascii="Times New Roman" w:hAnsi="Times New Roman"/>
                <w:sz w:val="19"/>
              </w:rPr>
              <w:t>gamma</w:t>
            </w:r>
          </w:p>
        </w:tc>
        <w:tc>
          <w:tcPr>
            <w:tcW w:type="dxa" w:w="4313"/>
            <w:vAlign w:val="center"/>
            <w:tcMar>
              <w:top w:w="65" w:type="dxa"/>
              <w:bottom w:w="65" w:type="dxa"/>
              <w:left w:w="90" w:type="dxa"/>
              <w:right w:w="90" w:type="dxa"/>
            </w:tcMar>
          </w:tcPr>
          <w:p>
            <w:pPr>
              <w:spacing w:after="0" w:line="247" w:lineRule="auto"/>
              <w:jc w:val="left"/>
            </w:pPr>
            <w:r>
              <w:rPr>
                <w:rFonts w:ascii="Times New Roman" w:hAnsi="Times New Roman"/>
                <w:sz w:val="19"/>
              </w:rPr>
              <w:t>0; 0,05; 0,10; 0,25; 0,50</w:t>
            </w:r>
          </w:p>
        </w:tc>
        <w:tc>
          <w:tcPr>
            <w:tcW w:type="dxa" w:w="1581"/>
            <w:vAlign w:val="center"/>
            <w:tcMar>
              <w:top w:w="65" w:type="dxa"/>
              <w:bottom w:w="65" w:type="dxa"/>
              <w:left w:w="90" w:type="dxa"/>
              <w:right w:w="90" w:type="dxa"/>
            </w:tcMar>
          </w:tcPr>
          <w:p>
            <w:pPr>
              <w:spacing w:after="0" w:line="247" w:lineRule="auto"/>
              <w:jc w:val="left"/>
            </w:pPr>
            <w:r>
              <w:rPr>
                <w:rFonts w:ascii="Times New Roman" w:hAnsi="Times New Roman"/>
                <w:sz w:val="19"/>
              </w:rPr>
              <w:t>0,25</w:t>
            </w:r>
          </w:p>
        </w:tc>
        <w:tc>
          <w:tcPr>
            <w:tcW w:type="dxa" w:w="1581"/>
            <w:vAlign w:val="center"/>
            <w:tcMar>
              <w:top w:w="65" w:type="dxa"/>
              <w:bottom w:w="65" w:type="dxa"/>
              <w:left w:w="90" w:type="dxa"/>
              <w:right w:w="90" w:type="dxa"/>
            </w:tcMar>
          </w:tcPr>
          <w:p>
            <w:pPr>
              <w:spacing w:after="0" w:line="247" w:lineRule="auto"/>
              <w:jc w:val="left"/>
            </w:pPr>
            <w:r>
              <w:rPr>
                <w:rFonts w:ascii="Times New Roman" w:hAnsi="Times New Roman"/>
                <w:sz w:val="19"/>
              </w:rPr>
              <w:t>0,5</w:t>
            </w:r>
          </w:p>
        </w:tc>
      </w:tr>
    </w:tbl>
    <w:p>
      <w:pPr>
        <w:pStyle w:val="Heading2"/>
        <w:pageBreakBefore w:val="0"/>
      </w:pPr>
      <w:r>
        <w:t>A3 Partições temporais e amostra comum</w:t>
      </w:r>
    </w:p>
    <w:p>
      <w:pPr>
        <w:pStyle w:val="Caption"/>
      </w:pPr>
      <w:r>
        <w:t>Tabela A5 Partições cronológicas de desenvolvimento em 2025</w:t>
      </w:r>
    </w:p>
    <w:tbl>
      <w:tblPr>
        <w:tblW w:type="dxa" w:w="9632"/>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3371"/>
        <w:gridCol w:w="1445"/>
        <w:gridCol w:w="3082"/>
        <w:gridCol w:w="1734"/>
      </w:tblGrid>
      <w:tr>
        <w:trPr>
          <w:cantSplit/>
          <w:tblHeader w:val="true"/>
        </w:trPr>
        <w:tc>
          <w:tcPr>
            <w:tcW w:type="dxa" w:w="3371"/>
            <w:vAlign w:val="center"/>
            <w:shd w:fill="F1F1F1" w:val="clear"/>
          </w:tcPr>
          <w:p>
            <w:pPr>
              <w:keepNext/>
              <w:keepLines/>
              <w:widowControl w:val="0"/>
              <w:spacing w:before="0" w:after="0" w:line="252" w:lineRule="auto"/>
              <w:jc w:val="left"/>
            </w:pPr>
            <w:r>
              <w:rPr>
                <w:rFonts w:ascii="Times New Roman" w:hAnsi="Times New Roman"/>
                <w:b/>
                <w:color w:val="000000"/>
                <w:sz w:val="20"/>
              </w:rPr>
              <w:t>Treinamento</w:t>
            </w:r>
          </w:p>
        </w:tc>
        <w:tc>
          <w:tcPr>
            <w:tcW w:type="dxa" w:w="1445"/>
            <w:vAlign w:val="center"/>
            <w:shd w:fill="F1F1F1" w:val="clear"/>
          </w:tcPr>
          <w:p>
            <w:pPr>
              <w:keepNext/>
              <w:keepLines/>
              <w:widowControl w:val="0"/>
              <w:spacing w:before="0" w:after="0" w:line="252" w:lineRule="auto"/>
              <w:jc w:val="center"/>
            </w:pPr>
            <w:r>
              <w:rPr>
                <w:rFonts w:ascii="Times New Roman" w:hAnsi="Times New Roman"/>
                <w:b/>
                <w:color w:val="000000"/>
                <w:sz w:val="20"/>
              </w:rPr>
              <w:t>n treino</w:t>
            </w:r>
          </w:p>
        </w:tc>
        <w:tc>
          <w:tcPr>
            <w:tcW w:type="dxa" w:w="3082"/>
            <w:vAlign w:val="center"/>
            <w:shd w:fill="F1F1F1" w:val="clear"/>
          </w:tcPr>
          <w:p>
            <w:pPr>
              <w:keepNext/>
              <w:keepLines/>
              <w:widowControl w:val="0"/>
              <w:spacing w:before="0" w:after="0" w:line="252" w:lineRule="auto"/>
              <w:jc w:val="center"/>
            </w:pPr>
            <w:r>
              <w:rPr>
                <w:rFonts w:ascii="Times New Roman" w:hAnsi="Times New Roman"/>
                <w:b/>
                <w:color w:val="000000"/>
                <w:sz w:val="20"/>
              </w:rPr>
              <w:t>Validação</w:t>
            </w:r>
          </w:p>
        </w:tc>
        <w:tc>
          <w:tcPr>
            <w:tcW w:type="dxa" w:w="1734"/>
            <w:vAlign w:val="center"/>
            <w:shd w:fill="F1F1F1" w:val="clear"/>
          </w:tcPr>
          <w:p>
            <w:pPr>
              <w:keepNext/>
              <w:keepLines/>
              <w:widowControl w:val="0"/>
              <w:spacing w:before="0" w:after="0" w:line="252" w:lineRule="auto"/>
              <w:jc w:val="center"/>
            </w:pPr>
            <w:r>
              <w:rPr>
                <w:rFonts w:ascii="Times New Roman" w:hAnsi="Times New Roman"/>
                <w:b/>
                <w:color w:val="000000"/>
                <w:sz w:val="20"/>
              </w:rPr>
              <w:t>n validação</w:t>
            </w:r>
          </w:p>
        </w:tc>
      </w:tr>
      <w:tr>
        <w:trPr>
          <w:cantSplit/>
        </w:trPr>
        <w:tc>
          <w:tcPr>
            <w:tcW w:type="dxa" w:w="3371"/>
            <w:vAlign w:val="center"/>
          </w:tcPr>
          <w:p>
            <w:pPr>
              <w:keepNext w:val="0"/>
              <w:keepLines/>
              <w:widowControl w:val="0"/>
              <w:spacing w:before="0" w:after="0" w:line="252" w:lineRule="auto"/>
              <w:jc w:val="left"/>
            </w:pPr>
            <w:r>
              <w:rPr>
                <w:rFonts w:ascii="Times New Roman" w:hAnsi="Times New Roman"/>
                <w:b w:val="0"/>
                <w:color w:val="000000"/>
                <w:sz w:val="20"/>
              </w:rPr>
              <w:t>Janeiro a maio</w:t>
            </w:r>
          </w:p>
        </w:tc>
        <w:tc>
          <w:tcPr>
            <w:tcW w:type="dxa" w:w="1445"/>
            <w:vAlign w:val="center"/>
          </w:tcPr>
          <w:p>
            <w:pPr>
              <w:keepNext w:val="0"/>
              <w:keepLines/>
              <w:widowControl w:val="0"/>
              <w:spacing w:before="0" w:after="0" w:line="252" w:lineRule="auto"/>
              <w:jc w:val="center"/>
            </w:pPr>
            <w:r>
              <w:rPr>
                <w:rFonts w:ascii="Times New Roman" w:hAnsi="Times New Roman"/>
                <w:b w:val="0"/>
                <w:color w:val="000000"/>
                <w:sz w:val="20"/>
              </w:rPr>
              <w:t>2.669</w:t>
            </w:r>
          </w:p>
        </w:tc>
        <w:tc>
          <w:tcPr>
            <w:tcW w:type="dxa" w:w="3082"/>
            <w:vAlign w:val="center"/>
          </w:tcPr>
          <w:p>
            <w:pPr>
              <w:keepNext w:val="0"/>
              <w:keepLines/>
              <w:widowControl w:val="0"/>
              <w:spacing w:before="0" w:after="0" w:line="252" w:lineRule="auto"/>
              <w:jc w:val="left"/>
            </w:pPr>
            <w:r>
              <w:rPr>
                <w:rFonts w:ascii="Times New Roman" w:hAnsi="Times New Roman"/>
                <w:b w:val="0"/>
                <w:color w:val="000000"/>
                <w:sz w:val="20"/>
              </w:rPr>
              <w:t>Junho</w:t>
            </w:r>
          </w:p>
        </w:tc>
        <w:tc>
          <w:tcPr>
            <w:tcW w:type="dxa" w:w="1734"/>
            <w:vAlign w:val="center"/>
          </w:tcPr>
          <w:p>
            <w:pPr>
              <w:keepNext w:val="0"/>
              <w:keepLines/>
              <w:widowControl w:val="0"/>
              <w:spacing w:before="0" w:after="0" w:line="252" w:lineRule="auto"/>
              <w:jc w:val="center"/>
            </w:pPr>
            <w:r>
              <w:rPr>
                <w:rFonts w:ascii="Times New Roman" w:hAnsi="Times New Roman"/>
                <w:b w:val="0"/>
                <w:color w:val="000000"/>
                <w:sz w:val="20"/>
              </w:rPr>
              <w:t>635</w:t>
            </w:r>
          </w:p>
        </w:tc>
      </w:tr>
      <w:tr>
        <w:trPr>
          <w:cantSplit/>
        </w:trPr>
        <w:tc>
          <w:tcPr>
            <w:tcW w:type="dxa" w:w="3371"/>
            <w:vAlign w:val="center"/>
          </w:tcPr>
          <w:p>
            <w:pPr>
              <w:keepNext w:val="0"/>
              <w:keepLines/>
              <w:widowControl w:val="0"/>
              <w:spacing w:before="0" w:after="0" w:line="252" w:lineRule="auto"/>
              <w:jc w:val="left"/>
            </w:pPr>
            <w:r>
              <w:rPr>
                <w:rFonts w:ascii="Times New Roman" w:hAnsi="Times New Roman"/>
                <w:b w:val="0"/>
                <w:color w:val="000000"/>
                <w:sz w:val="20"/>
              </w:rPr>
              <w:t>Janeiro a junho</w:t>
            </w:r>
          </w:p>
        </w:tc>
        <w:tc>
          <w:tcPr>
            <w:tcW w:type="dxa" w:w="1445"/>
            <w:vAlign w:val="center"/>
          </w:tcPr>
          <w:p>
            <w:pPr>
              <w:keepNext w:val="0"/>
              <w:keepLines/>
              <w:widowControl w:val="0"/>
              <w:spacing w:before="0" w:after="0" w:line="252" w:lineRule="auto"/>
              <w:jc w:val="center"/>
            </w:pPr>
            <w:r>
              <w:rPr>
                <w:rFonts w:ascii="Times New Roman" w:hAnsi="Times New Roman"/>
                <w:b w:val="0"/>
                <w:color w:val="000000"/>
                <w:sz w:val="20"/>
              </w:rPr>
              <w:t>3.304</w:t>
            </w:r>
          </w:p>
        </w:tc>
        <w:tc>
          <w:tcPr>
            <w:tcW w:type="dxa" w:w="3082"/>
            <w:vAlign w:val="center"/>
          </w:tcPr>
          <w:p>
            <w:pPr>
              <w:keepNext w:val="0"/>
              <w:keepLines/>
              <w:widowControl w:val="0"/>
              <w:spacing w:before="0" w:after="0" w:line="252" w:lineRule="auto"/>
              <w:jc w:val="left"/>
            </w:pPr>
            <w:r>
              <w:rPr>
                <w:rFonts w:ascii="Times New Roman" w:hAnsi="Times New Roman"/>
                <w:b w:val="0"/>
                <w:color w:val="000000"/>
                <w:sz w:val="20"/>
              </w:rPr>
              <w:t>Julho</w:t>
            </w:r>
          </w:p>
        </w:tc>
        <w:tc>
          <w:tcPr>
            <w:tcW w:type="dxa" w:w="1734"/>
            <w:vAlign w:val="center"/>
          </w:tcPr>
          <w:p>
            <w:pPr>
              <w:keepNext w:val="0"/>
              <w:keepLines/>
              <w:widowControl w:val="0"/>
              <w:spacing w:before="0" w:after="0" w:line="252" w:lineRule="auto"/>
              <w:jc w:val="center"/>
            </w:pPr>
            <w:r>
              <w:rPr>
                <w:rFonts w:ascii="Times New Roman" w:hAnsi="Times New Roman"/>
                <w:b w:val="0"/>
                <w:color w:val="000000"/>
                <w:sz w:val="20"/>
              </w:rPr>
              <w:t>674</w:t>
            </w:r>
          </w:p>
        </w:tc>
      </w:tr>
      <w:tr>
        <w:trPr>
          <w:cantSplit/>
        </w:trPr>
        <w:tc>
          <w:tcPr>
            <w:tcW w:type="dxa" w:w="3371"/>
            <w:vAlign w:val="center"/>
          </w:tcPr>
          <w:p>
            <w:pPr>
              <w:keepNext w:val="0"/>
              <w:keepLines/>
              <w:widowControl w:val="0"/>
              <w:spacing w:before="0" w:after="0" w:line="252" w:lineRule="auto"/>
              <w:jc w:val="left"/>
            </w:pPr>
            <w:r>
              <w:rPr>
                <w:rFonts w:ascii="Times New Roman" w:hAnsi="Times New Roman"/>
                <w:b w:val="0"/>
                <w:color w:val="000000"/>
                <w:sz w:val="20"/>
              </w:rPr>
              <w:t>Janeiro a julho</w:t>
            </w:r>
          </w:p>
        </w:tc>
        <w:tc>
          <w:tcPr>
            <w:tcW w:type="dxa" w:w="1445"/>
            <w:vAlign w:val="center"/>
          </w:tcPr>
          <w:p>
            <w:pPr>
              <w:keepNext w:val="0"/>
              <w:keepLines/>
              <w:widowControl w:val="0"/>
              <w:spacing w:before="0" w:after="0" w:line="252" w:lineRule="auto"/>
              <w:jc w:val="center"/>
            </w:pPr>
            <w:r>
              <w:rPr>
                <w:rFonts w:ascii="Times New Roman" w:hAnsi="Times New Roman"/>
                <w:b w:val="0"/>
                <w:color w:val="000000"/>
                <w:sz w:val="20"/>
              </w:rPr>
              <w:t>3.978</w:t>
            </w:r>
          </w:p>
        </w:tc>
        <w:tc>
          <w:tcPr>
            <w:tcW w:type="dxa" w:w="3082"/>
            <w:vAlign w:val="center"/>
          </w:tcPr>
          <w:p>
            <w:pPr>
              <w:keepNext w:val="0"/>
              <w:keepLines/>
              <w:widowControl w:val="0"/>
              <w:spacing w:before="0" w:after="0" w:line="252" w:lineRule="auto"/>
              <w:jc w:val="left"/>
            </w:pPr>
            <w:r>
              <w:rPr>
                <w:rFonts w:ascii="Times New Roman" w:hAnsi="Times New Roman"/>
                <w:b w:val="0"/>
                <w:color w:val="000000"/>
                <w:sz w:val="20"/>
              </w:rPr>
              <w:t>Agosto</w:t>
            </w:r>
          </w:p>
        </w:tc>
        <w:tc>
          <w:tcPr>
            <w:tcW w:type="dxa" w:w="1734"/>
            <w:vAlign w:val="center"/>
          </w:tcPr>
          <w:p>
            <w:pPr>
              <w:keepNext w:val="0"/>
              <w:keepLines/>
              <w:widowControl w:val="0"/>
              <w:spacing w:before="0" w:after="0" w:line="252" w:lineRule="auto"/>
              <w:jc w:val="center"/>
            </w:pPr>
            <w:r>
              <w:rPr>
                <w:rFonts w:ascii="Times New Roman" w:hAnsi="Times New Roman"/>
                <w:b w:val="0"/>
                <w:color w:val="000000"/>
                <w:sz w:val="20"/>
              </w:rPr>
              <w:t>433</w:t>
            </w:r>
          </w:p>
        </w:tc>
      </w:tr>
      <w:tr>
        <w:trPr>
          <w:cantSplit/>
        </w:trPr>
        <w:tc>
          <w:tcPr>
            <w:tcW w:type="dxa" w:w="3371"/>
            <w:vAlign w:val="center"/>
          </w:tcPr>
          <w:p>
            <w:pPr>
              <w:keepNext w:val="0"/>
              <w:keepLines/>
              <w:widowControl w:val="0"/>
              <w:spacing w:before="0" w:after="0" w:line="252" w:lineRule="auto"/>
              <w:jc w:val="left"/>
            </w:pPr>
            <w:r>
              <w:rPr>
                <w:rFonts w:ascii="Times New Roman" w:hAnsi="Times New Roman"/>
                <w:b w:val="0"/>
                <w:color w:val="000000"/>
                <w:sz w:val="20"/>
              </w:rPr>
              <w:t>Janeiro a agosto</w:t>
            </w:r>
          </w:p>
        </w:tc>
        <w:tc>
          <w:tcPr>
            <w:tcW w:type="dxa" w:w="1445"/>
            <w:vAlign w:val="center"/>
          </w:tcPr>
          <w:p>
            <w:pPr>
              <w:keepNext w:val="0"/>
              <w:keepLines/>
              <w:widowControl w:val="0"/>
              <w:spacing w:before="0" w:after="0" w:line="252" w:lineRule="auto"/>
              <w:jc w:val="center"/>
            </w:pPr>
            <w:r>
              <w:rPr>
                <w:rFonts w:ascii="Times New Roman" w:hAnsi="Times New Roman"/>
                <w:b w:val="0"/>
                <w:color w:val="000000"/>
                <w:sz w:val="20"/>
              </w:rPr>
              <w:t>4.411</w:t>
            </w:r>
          </w:p>
        </w:tc>
        <w:tc>
          <w:tcPr>
            <w:tcW w:type="dxa" w:w="3082"/>
            <w:vAlign w:val="center"/>
          </w:tcPr>
          <w:p>
            <w:pPr>
              <w:keepNext w:val="0"/>
              <w:keepLines/>
              <w:widowControl w:val="0"/>
              <w:spacing w:before="0" w:after="0" w:line="252" w:lineRule="auto"/>
              <w:jc w:val="left"/>
            </w:pPr>
            <w:r>
              <w:rPr>
                <w:rFonts w:ascii="Times New Roman" w:hAnsi="Times New Roman"/>
                <w:b w:val="0"/>
                <w:color w:val="000000"/>
                <w:sz w:val="20"/>
              </w:rPr>
              <w:t>Setembro</w:t>
            </w:r>
          </w:p>
        </w:tc>
        <w:tc>
          <w:tcPr>
            <w:tcW w:type="dxa" w:w="1734"/>
            <w:vAlign w:val="center"/>
          </w:tcPr>
          <w:p>
            <w:pPr>
              <w:keepNext w:val="0"/>
              <w:keepLines/>
              <w:widowControl w:val="0"/>
              <w:spacing w:before="0" w:after="0" w:line="252" w:lineRule="auto"/>
              <w:jc w:val="center"/>
            </w:pPr>
            <w:r>
              <w:rPr>
                <w:rFonts w:ascii="Times New Roman" w:hAnsi="Times New Roman"/>
                <w:b w:val="0"/>
                <w:color w:val="000000"/>
                <w:sz w:val="20"/>
              </w:rPr>
              <w:t>483</w:t>
            </w:r>
          </w:p>
        </w:tc>
      </w:tr>
      <w:tr>
        <w:trPr>
          <w:cantSplit/>
        </w:trPr>
        <w:tc>
          <w:tcPr>
            <w:tcW w:type="dxa" w:w="3371"/>
            <w:vAlign w:val="center"/>
          </w:tcPr>
          <w:p>
            <w:pPr>
              <w:keepNext/>
              <w:keepLines/>
              <w:widowControl w:val="0"/>
              <w:spacing w:before="0" w:after="0" w:line="252" w:lineRule="auto"/>
              <w:jc w:val="left"/>
            </w:pPr>
            <w:r>
              <w:rPr>
                <w:rFonts w:ascii="Times New Roman" w:hAnsi="Times New Roman"/>
                <w:b w:val="0"/>
                <w:color w:val="000000"/>
                <w:sz w:val="20"/>
              </w:rPr>
              <w:t>Janeiro a setembro</w:t>
            </w:r>
          </w:p>
        </w:tc>
        <w:tc>
          <w:tcPr>
            <w:tcW w:type="dxa" w:w="1445"/>
            <w:vAlign w:val="center"/>
          </w:tcPr>
          <w:p>
            <w:pPr>
              <w:keepNext/>
              <w:keepLines/>
              <w:widowControl w:val="0"/>
              <w:spacing w:before="0" w:after="0" w:line="252" w:lineRule="auto"/>
              <w:jc w:val="center"/>
            </w:pPr>
            <w:r>
              <w:rPr>
                <w:rFonts w:ascii="Times New Roman" w:hAnsi="Times New Roman"/>
                <w:b w:val="0"/>
                <w:color w:val="000000"/>
                <w:sz w:val="20"/>
              </w:rPr>
              <w:t>4.894</w:t>
            </w:r>
          </w:p>
        </w:tc>
        <w:tc>
          <w:tcPr>
            <w:tcW w:type="dxa" w:w="3082"/>
            <w:vAlign w:val="center"/>
          </w:tcPr>
          <w:p>
            <w:pPr>
              <w:keepNext/>
              <w:keepLines/>
              <w:widowControl w:val="0"/>
              <w:spacing w:before="0" w:after="0" w:line="252" w:lineRule="auto"/>
              <w:jc w:val="left"/>
            </w:pPr>
            <w:r>
              <w:rPr>
                <w:rFonts w:ascii="Times New Roman" w:hAnsi="Times New Roman"/>
                <w:b w:val="0"/>
                <w:color w:val="000000"/>
                <w:sz w:val="20"/>
              </w:rPr>
              <w:t>Outubro</w:t>
            </w:r>
          </w:p>
        </w:tc>
        <w:tc>
          <w:tcPr>
            <w:tcW w:type="dxa" w:w="1734"/>
            <w:vAlign w:val="center"/>
          </w:tcPr>
          <w:p>
            <w:pPr>
              <w:keepNext/>
              <w:keepLines/>
              <w:widowControl w:val="0"/>
              <w:spacing w:before="0" w:after="0" w:line="252" w:lineRule="auto"/>
              <w:jc w:val="center"/>
            </w:pPr>
            <w:r>
              <w:rPr>
                <w:rFonts w:ascii="Times New Roman" w:hAnsi="Times New Roman"/>
                <w:b w:val="0"/>
                <w:color w:val="000000"/>
                <w:sz w:val="20"/>
              </w:rPr>
              <w:t>211</w:t>
            </w:r>
          </w:p>
        </w:tc>
      </w:tr>
    </w:tbl>
    <w:p>
      <w:pPr>
        <w:pStyle w:val="ArticleNote"/>
      </w:pPr>
      <w:r>
        <w:t>Os cinco escores foram resumidos por média aritmética entre partições, sem ponderação pelo número de observações de validação.</w:t>
      </w:r>
    </w:p>
    <w:p>
      <w:pPr>
        <w:pStyle w:val="SupplementText"/>
      </w:pPr>
      <w:r>
        <w:t>Os 25 backtests combinaram anos-alvo de 2021 a 2025 e janelas de 1, 2, 3, 5 e 10 anos. Para ano Y e janela h, o treino abrangeu janeiro de Y−h a setembro de Y−1; a validação, o último trimestre de Y−1; e o teste, o ano Y.</w:t>
      </w:r>
    </w:p>
    <w:p>
      <w:pPr>
        <w:pStyle w:val="SupplementText"/>
      </w:pPr>
      <w:r>
        <w:t>Na amostra final, 250 horas ON iniciais de 2011 foram excluídas por partida anterior desconhecida. Uma carga ausente em 11/07/2019 comprometeu essa hora e a seguinte. Dos três vetores incompletos, um já integrava as 250 horas. A união dos motivos totalizou 252 exclusões.</w:t>
      </w:r>
    </w:p>
    <w:p>
      <w:pPr>
        <w:pStyle w:val="Caption"/>
      </w:pPr>
      <w:r>
        <w:t>Tabela A6 Ajustes dos experimentos históricos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1"/>
        <w:gridCol w:w="5247"/>
        <w:gridCol w:w="2444"/>
      </w:tblGrid>
      <w:tr>
        <w:trPr>
          <w:cantSplit/>
          <w:tblHeader/>
        </w:trPr>
        <w:tc>
          <w:tcPr>
            <w:tcW w:type="dxa" w:w="1941"/>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Experimento</w:t>
            </w:r>
          </w:p>
        </w:tc>
        <w:tc>
          <w:tcPr>
            <w:tcW w:type="dxa" w:w="5247"/>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Seleção e reajuste</w:t>
            </w:r>
          </w:p>
        </w:tc>
        <w:tc>
          <w:tcPr>
            <w:tcW w:type="dxa" w:w="2444"/>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Aplicação</w:t>
            </w:r>
          </w:p>
        </w:tc>
      </w:tr>
      <w:tr>
        <w:trPr>
          <w:cantSplit/>
        </w:trPr>
        <w:tc>
          <w:tcPr>
            <w:tcW w:type="dxa" w:w="1941"/>
            <w:vAlign w:val="center"/>
            <w:tcMar>
              <w:top w:w="65" w:type="dxa"/>
              <w:bottom w:w="65" w:type="dxa"/>
              <w:left w:w="90" w:type="dxa"/>
              <w:right w:w="90" w:type="dxa"/>
            </w:tcMar>
          </w:tcPr>
          <w:p>
            <w:pPr>
              <w:spacing w:after="0" w:line="247" w:lineRule="auto"/>
              <w:jc w:val="left"/>
            </w:pPr>
            <w:r>
              <w:rPr>
                <w:rFonts w:ascii="Times New Roman" w:hAnsi="Times New Roman"/>
                <w:sz w:val="19"/>
              </w:rPr>
              <w:t>Transferência histórica</w:t>
            </w:r>
          </w:p>
        </w:tc>
        <w:tc>
          <w:tcPr>
            <w:tcW w:type="dxa" w:w="5247"/>
            <w:vAlign w:val="center"/>
            <w:tcMar>
              <w:top w:w="65" w:type="dxa"/>
              <w:bottom w:w="65" w:type="dxa"/>
              <w:left w:w="90" w:type="dxa"/>
              <w:right w:w="90" w:type="dxa"/>
            </w:tcMar>
          </w:tcPr>
          <w:p>
            <w:pPr>
              <w:spacing w:after="0" w:line="247" w:lineRule="auto"/>
              <w:jc w:val="left"/>
            </w:pPr>
            <w:r>
              <w:rPr>
                <w:rFonts w:ascii="Times New Roman" w:hAnsi="Times New Roman"/>
                <w:sz w:val="19"/>
              </w:rPr>
              <w:t>82.576 observações de treino; validação nas últimas 20% das observações elegíveis de 2022: 1.256 registros, de 21 de outubro a 28 de dezembro. Seleção de 202 árvores e reajuste em 83.832 observações de 2011 a 2022.</w:t>
            </w:r>
          </w:p>
        </w:tc>
        <w:tc>
          <w:tcPr>
            <w:tcW w:type="dxa" w:w="2444"/>
            <w:vAlign w:val="center"/>
            <w:tcMar>
              <w:top w:w="65" w:type="dxa"/>
              <w:bottom w:w="65" w:type="dxa"/>
              <w:left w:w="90" w:type="dxa"/>
              <w:right w:w="90" w:type="dxa"/>
            </w:tcMar>
          </w:tcPr>
          <w:p>
            <w:pPr>
              <w:spacing w:after="0" w:line="247" w:lineRule="auto"/>
              <w:jc w:val="left"/>
            </w:pPr>
            <w:r>
              <w:rPr>
                <w:rFonts w:ascii="Times New Roman" w:hAnsi="Times New Roman"/>
                <w:sz w:val="19"/>
              </w:rPr>
              <w:t>Carga atual como entrada; teste nas 6.249 horas ON de 2025.</w:t>
            </w:r>
          </w:p>
        </w:tc>
      </w:tr>
      <w:tr>
        <w:trPr>
          <w:cantSplit/>
        </w:trPr>
        <w:tc>
          <w:tcPr>
            <w:tcW w:type="dxa" w:w="1941"/>
            <w:vAlign w:val="center"/>
            <w:tcMar>
              <w:top w:w="65" w:type="dxa"/>
              <w:bottom w:w="65" w:type="dxa"/>
              <w:left w:w="90" w:type="dxa"/>
              <w:right w:w="90" w:type="dxa"/>
            </w:tcMar>
          </w:tcPr>
          <w:p>
            <w:pPr>
              <w:spacing w:after="0" w:line="247" w:lineRule="auto"/>
              <w:jc w:val="left"/>
            </w:pPr>
            <w:r>
              <w:rPr>
                <w:rFonts w:ascii="Times New Roman" w:hAnsi="Times New Roman"/>
                <w:sz w:val="19"/>
              </w:rPr>
              <w:t>Valor incremental do histórico</w:t>
            </w:r>
          </w:p>
        </w:tc>
        <w:tc>
          <w:tcPr>
            <w:tcW w:type="dxa" w:w="5247"/>
            <w:vAlign w:val="center"/>
            <w:tcMar>
              <w:top w:w="65" w:type="dxa"/>
              <w:bottom w:w="65" w:type="dxa"/>
              <w:left w:w="90" w:type="dxa"/>
              <w:right w:w="90" w:type="dxa"/>
            </w:tcMar>
          </w:tcPr>
          <w:p>
            <w:pPr>
              <w:spacing w:after="0" w:line="247" w:lineRule="auto"/>
              <w:jc w:val="left"/>
            </w:pPr>
            <w:r>
              <w:rPr>
                <w:rFonts w:ascii="Times New Roman" w:hAnsi="Times New Roman"/>
                <w:sz w:val="19"/>
              </w:rPr>
              <w:t>Dois modelos com carga atual. Dados recentes: seleção em janeiro a setembro de 2025 e validação em outubro; reajuste em janeiro a outubro. O segundo modelo acrescentou 2011 a 2022. Reajustes: 5.105 e 88.937 observações; 119 e 524 árvores, respectivamente.</w:t>
            </w:r>
          </w:p>
        </w:tc>
        <w:tc>
          <w:tcPr>
            <w:tcW w:type="dxa" w:w="2444"/>
            <w:vAlign w:val="center"/>
            <w:tcMar>
              <w:top w:w="65" w:type="dxa"/>
              <w:bottom w:w="65" w:type="dxa"/>
              <w:left w:w="90" w:type="dxa"/>
              <w:right w:w="90" w:type="dxa"/>
            </w:tcMar>
          </w:tcPr>
          <w:p>
            <w:pPr>
              <w:spacing w:after="0" w:line="247" w:lineRule="auto"/>
              <w:jc w:val="left"/>
            </w:pPr>
            <w:r>
              <w:rPr>
                <w:rFonts w:ascii="Times New Roman" w:hAnsi="Times New Roman"/>
                <w:sz w:val="19"/>
              </w:rPr>
              <w:t>Teste comum de 1.144 horas em novembro e dezembro de 2025.</w:t>
            </w:r>
          </w:p>
        </w:tc>
      </w:tr>
      <w:tr>
        <w:trPr>
          <w:cantSplit/>
        </w:trPr>
        <w:tc>
          <w:tcPr>
            <w:tcW w:type="dxa" w:w="1941"/>
            <w:vAlign w:val="center"/>
            <w:tcMar>
              <w:top w:w="65" w:type="dxa"/>
              <w:bottom w:w="65" w:type="dxa"/>
              <w:left w:w="90" w:type="dxa"/>
              <w:right w:w="90" w:type="dxa"/>
            </w:tcMar>
          </w:tcPr>
          <w:p>
            <w:pPr>
              <w:spacing w:after="0" w:line="247" w:lineRule="auto"/>
              <w:jc w:val="left"/>
            </w:pPr>
            <w:r>
              <w:rPr>
                <w:rFonts w:ascii="Times New Roman" w:hAnsi="Times New Roman"/>
                <w:sz w:val="19"/>
              </w:rPr>
              <w:t>Comparação final A/B</w:t>
            </w:r>
          </w:p>
        </w:tc>
        <w:tc>
          <w:tcPr>
            <w:tcW w:type="dxa" w:w="5247"/>
            <w:vAlign w:val="center"/>
            <w:tcMar>
              <w:top w:w="65" w:type="dxa"/>
              <w:bottom w:w="65" w:type="dxa"/>
              <w:left w:w="90" w:type="dxa"/>
              <w:right w:w="90" w:type="dxa"/>
            </w:tcMar>
          </w:tcPr>
          <w:p>
            <w:pPr>
              <w:spacing w:after="0" w:line="247" w:lineRule="auto"/>
              <w:jc w:val="left"/>
            </w:pPr>
            <w:r>
              <w:rPr>
                <w:rFonts w:ascii="Times New Roman" w:hAnsi="Times New Roman"/>
                <w:sz w:val="19"/>
              </w:rPr>
              <w:t>RMSE de outubro selecionou 498 árvores para A e 721 para B. Reajuste dos dois modelos nas mesmas 88.686 observações, com o número de árvores fixado.</w:t>
            </w:r>
          </w:p>
        </w:tc>
        <w:tc>
          <w:tcPr>
            <w:tcW w:type="dxa" w:w="2444"/>
            <w:vAlign w:val="center"/>
            <w:tcMar>
              <w:top w:w="65" w:type="dxa"/>
              <w:bottom w:w="65" w:type="dxa"/>
              <w:left w:w="90" w:type="dxa"/>
              <w:right w:w="90" w:type="dxa"/>
            </w:tcMar>
          </w:tcPr>
          <w:p>
            <w:pPr>
              <w:spacing w:after="0" w:line="247" w:lineRule="auto"/>
              <w:jc w:val="left"/>
            </w:pPr>
            <w:r>
              <w:rPr>
                <w:rFonts w:ascii="Times New Roman" w:hAnsi="Times New Roman"/>
                <w:sz w:val="19"/>
              </w:rPr>
              <w:t>Amostra comum de 89.830 observações: 83.581 históricas e 6.249 de 2025. Teste pareado de 1.144 horas.</w:t>
            </w:r>
          </w:p>
        </w:tc>
      </w:tr>
    </w:tbl>
    <w:p>
      <w:pPr>
        <w:pStyle w:val="Caption"/>
      </w:pPr>
      <w:r>
        <w:t>Tabela A7 Indicadores usados na delimitação histórica</w:t>
      </w:r>
    </w:p>
    <w:tbl>
      <w:tblPr>
        <w:tblW w:type="dxa" w:w="9632"/>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3564"/>
        <w:gridCol w:w="2986"/>
        <w:gridCol w:w="1541"/>
        <w:gridCol w:w="1541"/>
      </w:tblGrid>
      <w:tr>
        <w:trPr>
          <w:cantSplit/>
          <w:tblHeader w:val="true"/>
        </w:trPr>
        <w:tc>
          <w:tcPr>
            <w:tcW w:type="dxa" w:w="3564"/>
            <w:vAlign w:val="center"/>
            <w:shd w:fill="F1F1F1" w:val="clear"/>
          </w:tcPr>
          <w:p>
            <w:pPr>
              <w:keepNext/>
              <w:keepLines/>
              <w:widowControl w:val="0"/>
              <w:spacing w:before="0" w:after="0" w:line="252" w:lineRule="auto"/>
              <w:jc w:val="left"/>
            </w:pPr>
            <w:r>
              <w:rPr>
                <w:rFonts w:ascii="Times New Roman" w:hAnsi="Times New Roman"/>
                <w:b/>
                <w:color w:val="000000"/>
                <w:sz w:val="20"/>
              </w:rPr>
              <w:t>Indicador</w:t>
            </w:r>
          </w:p>
        </w:tc>
        <w:tc>
          <w:tcPr>
            <w:tcW w:type="dxa" w:w="2986"/>
            <w:vAlign w:val="center"/>
            <w:shd w:fill="F1F1F1" w:val="clear"/>
          </w:tcPr>
          <w:p>
            <w:pPr>
              <w:keepNext/>
              <w:keepLines/>
              <w:widowControl w:val="0"/>
              <w:spacing w:before="0" w:after="0" w:line="252" w:lineRule="auto"/>
              <w:jc w:val="center"/>
            </w:pPr>
            <w:r>
              <w:rPr>
                <w:rFonts w:ascii="Times New Roman" w:hAnsi="Times New Roman"/>
                <w:b/>
                <w:color w:val="000000"/>
                <w:sz w:val="20"/>
              </w:rPr>
              <w:t>Faixa 2011 a 2022</w:t>
            </w:r>
          </w:p>
        </w:tc>
        <w:tc>
          <w:tcPr>
            <w:tcW w:type="dxa" w:w="1541"/>
            <w:vAlign w:val="center"/>
            <w:shd w:fill="F1F1F1" w:val="clear"/>
          </w:tcPr>
          <w:p>
            <w:pPr>
              <w:keepNext/>
              <w:keepLines/>
              <w:widowControl w:val="0"/>
              <w:spacing w:before="0" w:after="0" w:line="252" w:lineRule="auto"/>
              <w:jc w:val="center"/>
            </w:pPr>
            <w:r>
              <w:rPr>
                <w:rFonts w:ascii="Times New Roman" w:hAnsi="Times New Roman"/>
                <w:b/>
                <w:color w:val="000000"/>
                <w:sz w:val="20"/>
              </w:rPr>
              <w:t>2023</w:t>
            </w:r>
          </w:p>
        </w:tc>
        <w:tc>
          <w:tcPr>
            <w:tcW w:type="dxa" w:w="1541"/>
            <w:vAlign w:val="center"/>
            <w:shd w:fill="F1F1F1" w:val="clear"/>
          </w:tcPr>
          <w:p>
            <w:pPr>
              <w:keepNext/>
              <w:keepLines/>
              <w:widowControl w:val="0"/>
              <w:spacing w:before="0" w:after="0" w:line="252" w:lineRule="auto"/>
              <w:jc w:val="center"/>
            </w:pPr>
            <w:r>
              <w:rPr>
                <w:rFonts w:ascii="Times New Roman" w:hAnsi="Times New Roman"/>
                <w:b/>
                <w:color w:val="000000"/>
                <w:sz w:val="20"/>
              </w:rPr>
              <w:t>2024</w:t>
            </w:r>
          </w:p>
        </w:tc>
      </w:tr>
      <w:tr>
        <w:trPr>
          <w:cantSplit/>
        </w:trPr>
        <w:tc>
          <w:tcPr>
            <w:tcW w:type="dxa" w:w="3564"/>
            <w:vAlign w:val="center"/>
          </w:tcPr>
          <w:p>
            <w:pPr>
              <w:keepNext w:val="0"/>
              <w:keepLines/>
              <w:widowControl w:val="0"/>
              <w:spacing w:before="0" w:after="0" w:line="252" w:lineRule="auto"/>
              <w:jc w:val="left"/>
            </w:pPr>
            <w:r>
              <w:rPr>
                <w:rFonts w:ascii="Times New Roman" w:hAnsi="Times New Roman"/>
                <w:b w:val="0"/>
                <w:color w:val="000000"/>
                <w:sz w:val="20"/>
              </w:rPr>
              <w:t>Horas ON no ano em %</w:t>
            </w:r>
          </w:p>
        </w:tc>
        <w:tc>
          <w:tcPr>
            <w:tcW w:type="dxa" w:w="2986"/>
            <w:vAlign w:val="center"/>
          </w:tcPr>
          <w:p>
            <w:pPr>
              <w:keepNext w:val="0"/>
              <w:keepLines/>
              <w:widowControl w:val="0"/>
              <w:spacing w:before="0" w:after="0" w:line="252" w:lineRule="auto"/>
              <w:jc w:val="left"/>
            </w:pPr>
            <w:r>
              <w:rPr>
                <w:rFonts w:ascii="Times New Roman" w:hAnsi="Times New Roman"/>
                <w:b w:val="0"/>
                <w:color w:val="000000"/>
                <w:sz w:val="20"/>
              </w:rPr>
              <w:t>60,354 a 97,089</w:t>
            </w:r>
          </w:p>
        </w:tc>
        <w:tc>
          <w:tcPr>
            <w:tcW w:type="dxa" w:w="1541"/>
            <w:vAlign w:val="center"/>
          </w:tcPr>
          <w:p>
            <w:pPr>
              <w:keepNext w:val="0"/>
              <w:keepLines/>
              <w:widowControl w:val="0"/>
              <w:spacing w:before="0" w:after="0" w:line="252" w:lineRule="auto"/>
              <w:jc w:val="center"/>
            </w:pPr>
            <w:r>
              <w:rPr>
                <w:rFonts w:ascii="Times New Roman" w:hAnsi="Times New Roman"/>
                <w:b w:val="0"/>
                <w:color w:val="000000"/>
                <w:sz w:val="20"/>
              </w:rPr>
              <w:t>49,269</w:t>
            </w:r>
          </w:p>
        </w:tc>
        <w:tc>
          <w:tcPr>
            <w:tcW w:type="dxa" w:w="1541"/>
            <w:vAlign w:val="center"/>
          </w:tcPr>
          <w:p>
            <w:pPr>
              <w:keepNext w:val="0"/>
              <w:keepLines/>
              <w:widowControl w:val="0"/>
              <w:spacing w:before="0" w:after="0" w:line="252" w:lineRule="auto"/>
              <w:jc w:val="center"/>
            </w:pPr>
            <w:r>
              <w:rPr>
                <w:rFonts w:ascii="Times New Roman" w:hAnsi="Times New Roman"/>
                <w:b w:val="0"/>
                <w:color w:val="000000"/>
                <w:sz w:val="20"/>
              </w:rPr>
              <w:t>50,102</w:t>
            </w:r>
          </w:p>
        </w:tc>
      </w:tr>
      <w:tr>
        <w:trPr>
          <w:cantSplit/>
        </w:trPr>
        <w:tc>
          <w:tcPr>
            <w:tcW w:type="dxa" w:w="3564"/>
            <w:vAlign w:val="center"/>
          </w:tcPr>
          <w:p>
            <w:pPr>
              <w:keepNext w:val="0"/>
              <w:keepLines/>
              <w:widowControl w:val="0"/>
              <w:spacing w:before="0" w:after="0" w:line="252" w:lineRule="auto"/>
              <w:jc w:val="left"/>
            </w:pPr>
            <w:r>
              <w:rPr>
                <w:rFonts w:ascii="Times New Roman" w:hAnsi="Times New Roman"/>
                <w:b w:val="0"/>
                <w:color w:val="000000"/>
                <w:sz w:val="20"/>
              </w:rPr>
              <w:t>Horas ON com carga zero em %</w:t>
            </w:r>
          </w:p>
        </w:tc>
        <w:tc>
          <w:tcPr>
            <w:tcW w:type="dxa" w:w="2986"/>
            <w:vAlign w:val="center"/>
          </w:tcPr>
          <w:p>
            <w:pPr>
              <w:keepNext w:val="0"/>
              <w:keepLines/>
              <w:widowControl w:val="0"/>
              <w:spacing w:before="0" w:after="0" w:line="252" w:lineRule="auto"/>
              <w:jc w:val="left"/>
            </w:pPr>
            <w:r>
              <w:rPr>
                <w:rFonts w:ascii="Times New Roman" w:hAnsi="Times New Roman"/>
                <w:b w:val="0"/>
                <w:color w:val="000000"/>
                <w:sz w:val="20"/>
              </w:rPr>
              <w:t>0 a 3,193</w:t>
            </w:r>
          </w:p>
        </w:tc>
        <w:tc>
          <w:tcPr>
            <w:tcW w:type="dxa" w:w="1541"/>
            <w:vAlign w:val="center"/>
          </w:tcPr>
          <w:p>
            <w:pPr>
              <w:keepNext w:val="0"/>
              <w:keepLines/>
              <w:widowControl w:val="0"/>
              <w:spacing w:before="0" w:after="0" w:line="252" w:lineRule="auto"/>
              <w:jc w:val="center"/>
            </w:pPr>
            <w:r>
              <w:rPr>
                <w:rFonts w:ascii="Times New Roman" w:hAnsi="Times New Roman"/>
                <w:b w:val="0"/>
                <w:color w:val="000000"/>
                <w:sz w:val="20"/>
              </w:rPr>
              <w:t>4,008</w:t>
            </w:r>
          </w:p>
        </w:tc>
        <w:tc>
          <w:tcPr>
            <w:tcW w:type="dxa" w:w="1541"/>
            <w:vAlign w:val="center"/>
          </w:tcPr>
          <w:p>
            <w:pPr>
              <w:keepNext w:val="0"/>
              <w:keepLines/>
              <w:widowControl w:val="0"/>
              <w:spacing w:before="0" w:after="0" w:line="252" w:lineRule="auto"/>
              <w:jc w:val="center"/>
            </w:pPr>
            <w:r>
              <w:rPr>
                <w:rFonts w:ascii="Times New Roman" w:hAnsi="Times New Roman"/>
                <w:b w:val="0"/>
                <w:color w:val="000000"/>
                <w:sz w:val="20"/>
              </w:rPr>
              <w:t>5,249</w:t>
            </w:r>
          </w:p>
        </w:tc>
      </w:tr>
      <w:tr>
        <w:trPr>
          <w:cantSplit/>
        </w:trPr>
        <w:tc>
          <w:tcPr>
            <w:tcW w:type="dxa" w:w="3564"/>
            <w:vAlign w:val="center"/>
          </w:tcPr>
          <w:p>
            <w:pPr>
              <w:keepNext w:val="0"/>
              <w:keepLines/>
              <w:widowControl w:val="0"/>
              <w:spacing w:before="0" w:after="0" w:line="252" w:lineRule="auto"/>
              <w:jc w:val="left"/>
            </w:pPr>
            <w:r>
              <w:rPr>
                <w:rFonts w:ascii="Times New Roman" w:hAnsi="Times New Roman"/>
                <w:b w:val="0"/>
                <w:color w:val="000000"/>
                <w:sz w:val="20"/>
              </w:rPr>
              <w:t>Carga média ON em MW</w:t>
            </w:r>
          </w:p>
        </w:tc>
        <w:tc>
          <w:tcPr>
            <w:tcW w:type="dxa" w:w="2986"/>
            <w:vAlign w:val="center"/>
          </w:tcPr>
          <w:p>
            <w:pPr>
              <w:keepNext w:val="0"/>
              <w:keepLines/>
              <w:widowControl w:val="0"/>
              <w:spacing w:before="0" w:after="0" w:line="252" w:lineRule="auto"/>
              <w:jc w:val="left"/>
            </w:pPr>
            <w:r>
              <w:rPr>
                <w:rFonts w:ascii="Times New Roman" w:hAnsi="Times New Roman"/>
                <w:b w:val="0"/>
                <w:color w:val="000000"/>
                <w:sz w:val="20"/>
              </w:rPr>
              <w:t>706,682 a 854,226</w:t>
            </w:r>
          </w:p>
        </w:tc>
        <w:tc>
          <w:tcPr>
            <w:tcW w:type="dxa" w:w="1541"/>
            <w:vAlign w:val="center"/>
          </w:tcPr>
          <w:p>
            <w:pPr>
              <w:keepNext w:val="0"/>
              <w:keepLines/>
              <w:widowControl w:val="0"/>
              <w:spacing w:before="0" w:after="0" w:line="252" w:lineRule="auto"/>
              <w:jc w:val="center"/>
            </w:pPr>
            <w:r>
              <w:rPr>
                <w:rFonts w:ascii="Times New Roman" w:hAnsi="Times New Roman"/>
                <w:b w:val="0"/>
                <w:color w:val="000000"/>
                <w:sz w:val="20"/>
              </w:rPr>
              <w:t>691,338</w:t>
            </w:r>
          </w:p>
        </w:tc>
        <w:tc>
          <w:tcPr>
            <w:tcW w:type="dxa" w:w="1541"/>
            <w:vAlign w:val="center"/>
          </w:tcPr>
          <w:p>
            <w:pPr>
              <w:keepNext w:val="0"/>
              <w:keepLines/>
              <w:widowControl w:val="0"/>
              <w:spacing w:before="0" w:after="0" w:line="252" w:lineRule="auto"/>
              <w:jc w:val="center"/>
            </w:pPr>
            <w:r>
              <w:rPr>
                <w:rFonts w:ascii="Times New Roman" w:hAnsi="Times New Roman"/>
                <w:b w:val="0"/>
                <w:color w:val="000000"/>
                <w:sz w:val="20"/>
              </w:rPr>
              <w:t>626,548</w:t>
            </w:r>
          </w:p>
        </w:tc>
      </w:tr>
      <w:tr>
        <w:trPr>
          <w:cantSplit/>
        </w:trPr>
        <w:tc>
          <w:tcPr>
            <w:tcW w:type="dxa" w:w="3564"/>
            <w:vAlign w:val="center"/>
          </w:tcPr>
          <w:p>
            <w:pPr>
              <w:keepNext w:val="0"/>
              <w:keepLines/>
              <w:widowControl w:val="0"/>
              <w:spacing w:before="0" w:after="0" w:line="252" w:lineRule="auto"/>
              <w:jc w:val="left"/>
            </w:pPr>
            <w:r>
              <w:rPr>
                <w:rFonts w:ascii="Times New Roman" w:hAnsi="Times New Roman"/>
                <w:b w:val="0"/>
                <w:color w:val="000000"/>
                <w:sz w:val="20"/>
              </w:rPr>
              <w:t>P05 da carga ON em MW</w:t>
            </w:r>
          </w:p>
        </w:tc>
        <w:tc>
          <w:tcPr>
            <w:tcW w:type="dxa" w:w="2986"/>
            <w:vAlign w:val="center"/>
          </w:tcPr>
          <w:p>
            <w:pPr>
              <w:keepNext w:val="0"/>
              <w:keepLines/>
              <w:widowControl w:val="0"/>
              <w:spacing w:before="0" w:after="0" w:line="252" w:lineRule="auto"/>
              <w:jc w:val="left"/>
            </w:pPr>
            <w:r>
              <w:rPr>
                <w:rFonts w:ascii="Times New Roman" w:hAnsi="Times New Roman"/>
                <w:b w:val="0"/>
                <w:color w:val="000000"/>
                <w:sz w:val="20"/>
              </w:rPr>
              <w:t>425,600 a 701,000</w:t>
            </w:r>
          </w:p>
        </w:tc>
        <w:tc>
          <w:tcPr>
            <w:tcW w:type="dxa" w:w="1541"/>
            <w:vAlign w:val="center"/>
          </w:tcPr>
          <w:p>
            <w:pPr>
              <w:keepNext w:val="0"/>
              <w:keepLines/>
              <w:widowControl w:val="0"/>
              <w:spacing w:before="0" w:after="0" w:line="252" w:lineRule="auto"/>
              <w:jc w:val="center"/>
            </w:pPr>
            <w:r>
              <w:rPr>
                <w:rFonts w:ascii="Times New Roman" w:hAnsi="Times New Roman"/>
                <w:b w:val="0"/>
                <w:color w:val="000000"/>
                <w:sz w:val="20"/>
              </w:rPr>
              <w:t>136,750</w:t>
            </w:r>
          </w:p>
        </w:tc>
        <w:tc>
          <w:tcPr>
            <w:tcW w:type="dxa" w:w="1541"/>
            <w:vAlign w:val="center"/>
          </w:tcPr>
          <w:p>
            <w:pPr>
              <w:keepNext w:val="0"/>
              <w:keepLines/>
              <w:widowControl w:val="0"/>
              <w:spacing w:before="0" w:after="0" w:line="252" w:lineRule="auto"/>
              <w:jc w:val="center"/>
            </w:pPr>
            <w:r>
              <w:rPr>
                <w:rFonts w:ascii="Times New Roman" w:hAnsi="Times New Roman"/>
                <w:b w:val="0"/>
                <w:color w:val="000000"/>
                <w:sz w:val="20"/>
              </w:rPr>
              <w:t>0,000</w:t>
            </w:r>
          </w:p>
        </w:tc>
      </w:tr>
      <w:tr>
        <w:trPr>
          <w:cantSplit/>
        </w:trPr>
        <w:tc>
          <w:tcPr>
            <w:tcW w:type="dxa" w:w="3564"/>
            <w:vAlign w:val="center"/>
          </w:tcPr>
          <w:p>
            <w:pPr>
              <w:keepNext/>
              <w:keepLines/>
              <w:widowControl w:val="0"/>
              <w:spacing w:before="0" w:after="0" w:line="252" w:lineRule="auto"/>
              <w:jc w:val="left"/>
            </w:pPr>
            <w:r>
              <w:rPr>
                <w:rFonts w:ascii="Times New Roman" w:hAnsi="Times New Roman"/>
                <w:b w:val="0"/>
                <w:color w:val="000000"/>
                <w:sz w:val="20"/>
              </w:rPr>
              <w:t>Partidas anuais</w:t>
            </w:r>
          </w:p>
        </w:tc>
        <w:tc>
          <w:tcPr>
            <w:tcW w:type="dxa" w:w="2986"/>
            <w:vAlign w:val="center"/>
          </w:tcPr>
          <w:p>
            <w:pPr>
              <w:keepNext/>
              <w:keepLines/>
              <w:widowControl w:val="0"/>
              <w:spacing w:before="0" w:after="0" w:line="252" w:lineRule="auto"/>
              <w:jc w:val="left"/>
            </w:pPr>
            <w:r>
              <w:rPr>
                <w:rFonts w:ascii="Times New Roman" w:hAnsi="Times New Roman"/>
                <w:b w:val="0"/>
                <w:color w:val="000000"/>
                <w:sz w:val="20"/>
              </w:rPr>
              <w:t>3 a 25</w:t>
            </w:r>
          </w:p>
        </w:tc>
        <w:tc>
          <w:tcPr>
            <w:tcW w:type="dxa" w:w="1541"/>
            <w:vAlign w:val="center"/>
          </w:tcPr>
          <w:p>
            <w:pPr>
              <w:keepNext/>
              <w:keepLines/>
              <w:widowControl w:val="0"/>
              <w:spacing w:before="0" w:after="0" w:line="252" w:lineRule="auto"/>
              <w:jc w:val="center"/>
            </w:pPr>
            <w:r>
              <w:rPr>
                <w:rFonts w:ascii="Times New Roman" w:hAnsi="Times New Roman"/>
                <w:b w:val="0"/>
                <w:color w:val="000000"/>
                <w:sz w:val="20"/>
              </w:rPr>
              <w:t>20</w:t>
            </w:r>
          </w:p>
        </w:tc>
        <w:tc>
          <w:tcPr>
            <w:tcW w:type="dxa" w:w="1541"/>
            <w:vAlign w:val="center"/>
          </w:tcPr>
          <w:p>
            <w:pPr>
              <w:keepNext/>
              <w:keepLines/>
              <w:widowControl w:val="0"/>
              <w:spacing w:before="0" w:after="0" w:line="252" w:lineRule="auto"/>
              <w:jc w:val="center"/>
            </w:pPr>
            <w:r>
              <w:rPr>
                <w:rFonts w:ascii="Times New Roman" w:hAnsi="Times New Roman"/>
                <w:b w:val="0"/>
                <w:color w:val="000000"/>
                <w:sz w:val="20"/>
              </w:rPr>
              <w:t>30</w:t>
            </w:r>
          </w:p>
        </w:tc>
      </w:tr>
    </w:tbl>
    <w:p>
      <w:pPr>
        <w:pStyle w:val="ArticleNote"/>
      </w:pPr>
      <w:r>
        <w:t>Valores descritivos, sem teste formal de mudança de regime. A exclusão de 2023 e 2024 do treinamento principal ocorreu após o backtest exploratório. Os dados desses anos permaneceram nos diagnósticos.</w:t>
      </w:r>
    </w:p>
    <w:p>
      <w:pPr>
        <w:pStyle w:val="Heading2"/>
        <w:pageBreakBefore w:val="0"/>
      </w:pPr>
      <w:r>
        <w:t>A4 Métricas e contextos operacionais</w:t>
      </w:r>
    </w:p>
    <w:p>
      <w:pPr>
        <w:pStyle w:val="SupplementText"/>
      </w:pPr>
      <w:r>
        <w:t>Para cada observação, eᵢ = yᵢ − ŷᵢ representa o resíduo; n é o número de observações e ȳ, a média observada. MAE e RMSE seguem Hyndman e Koehler (2006), e R² segue a documentação do Scikit-learn (2025). A mediana do erro absoluto corresponde à mediana de |eᵢ|. As demais convenções foram definidas no protocolo.</w:t>
      </w:r>
    </w:p>
    <w:p>
      <w:pPr>
        <w:keepLines/>
        <w:spacing w:before="80" w:after="140" w:line="269" w:lineRule="auto"/>
        <w:jc w:val="center"/>
      </w:pPr>
      <m:oMathPara>
        <m:oMathParaPr>
          <m:jc m:val="center"/>
        </m:oMathParaPr>
        <m:oMath>
          <m:r>
            <m:rPr>
              <m:sty m:val="p"/>
            </m:rPr>
            <w:rPr>
              <w:rFonts w:ascii="Cambria Math" w:hAnsi="Cambria Math"/>
              <w:sz w:val="23"/>
            </w:rPr>
            <m:t>MAE</m:t>
          </m:r>
          <m:r>
            <m:rPr>
              <m:sty m:val="i"/>
            </m:rPr>
            <w:rPr>
              <w:rFonts w:ascii="Cambria Math" w:hAnsi="Cambria Math"/>
              <w:sz w:val="23"/>
            </w:rPr>
            <m:t>=</m:t>
          </m:r>
          <m:f>
            <m:num>
              <m:r>
                <m:rPr>
                  <m:sty m:val="i"/>
                </m:rPr>
                <w:rPr>
                  <w:rFonts w:ascii="Cambria Math" w:hAnsi="Cambria Math"/>
                  <w:sz w:val="23"/>
                </w:rPr>
                <m:t>1</m:t>
              </m:r>
            </m:num>
            <m:den>
              <m:r>
                <m:rPr>
                  <m:sty m:val="i"/>
                </m:rPr>
                <w:rPr>
                  <w:rFonts w:ascii="Cambria Math" w:hAnsi="Cambria Math"/>
                  <w:sz w:val="23"/>
                </w:rPr>
                <m:t>n</m:t>
              </m:r>
            </m:den>
          </m:f>
          <m:nary>
            <m:naryPr>
              <m:chr m:val="∑"/>
              <m:limLoc m:val="undOvr"/>
              <m:grow m:val="1"/>
            </m:naryPr>
            <m:sub>
              <m:r>
                <m:rPr>
                  <m:sty m:val="i"/>
                </m:rPr>
                <w:rPr>
                  <w:rFonts w:ascii="Cambria Math" w:hAnsi="Cambria Math"/>
                  <w:sz w:val="23"/>
                </w:rPr>
                <m:t>i=1</m:t>
              </m:r>
            </m:sub>
            <m:sup>
              <m:r>
                <m:rPr>
                  <m:sty m:val="i"/>
                </m:rPr>
                <w:rPr>
                  <w:rFonts w:ascii="Cambria Math" w:hAnsi="Cambria Math"/>
                  <w:sz w:val="23"/>
                </w:rPr>
                <m:t>n</m:t>
              </m:r>
            </m:sup>
            <m:e>
              <m:d>
                <m:dPr>
                  <m:begChr m:val="|"/>
                  <m:endChr m:val="|"/>
                  <m:grow m:val="1"/>
                </m:dPr>
                <m:e>
                  <m:sSub>
                    <m:e>
                      <m:r>
                        <m:rPr>
                          <m:sty m:val="i"/>
                        </m:rPr>
                        <w:rPr>
                          <w:rFonts w:ascii="Cambria Math" w:hAnsi="Cambria Math"/>
                          <w:sz w:val="23"/>
                        </w:rPr>
                        <m:t>e</m:t>
                      </m:r>
                    </m:e>
                    <m:sub>
                      <m:r>
                        <m:rPr>
                          <m:sty m:val="i"/>
                        </m:rPr>
                        <w:rPr>
                          <w:rFonts w:ascii="Cambria Math" w:hAnsi="Cambria Math"/>
                          <w:sz w:val="23"/>
                        </w:rPr>
                        <m:t>i</m:t>
                      </m:r>
                    </m:sub>
                  </m:sSub>
                </m:e>
              </m:d>
            </m:e>
          </m:nary>
        </m:oMath>
      </m:oMathPara>
    </w:p>
    <w:p>
      <w:pPr>
        <w:keepLines/>
        <w:spacing w:before="80" w:after="140" w:line="269" w:lineRule="auto"/>
        <w:jc w:val="center"/>
      </w:pPr>
      <m:oMathPara>
        <m:oMathParaPr>
          <m:jc m:val="center"/>
        </m:oMathParaPr>
        <m:oMath>
          <m:r>
            <m:rPr>
              <m:sty m:val="p"/>
            </m:rPr>
            <w:rPr>
              <w:rFonts w:ascii="Cambria Math" w:hAnsi="Cambria Math"/>
              <w:sz w:val="23"/>
            </w:rPr>
            <m:t>RMSE</m:t>
          </m:r>
          <m:r>
            <m:rPr>
              <m:sty m:val="i"/>
            </m:rPr>
            <w:rPr>
              <w:rFonts w:ascii="Cambria Math" w:hAnsi="Cambria Math"/>
              <w:sz w:val="23"/>
            </w:rPr>
            <m:t>=</m:t>
          </m:r>
          <m:rad>
            <m:radPr>
              <m:degHide m:val="1"/>
            </m:radPr>
            <m:deg/>
            <m:e>
              <m:f>
                <m:num>
                  <m:r>
                    <m:rPr>
                      <m:sty m:val="i"/>
                    </m:rPr>
                    <w:rPr>
                      <w:rFonts w:ascii="Cambria Math" w:hAnsi="Cambria Math"/>
                      <w:sz w:val="23"/>
                    </w:rPr>
                    <m:t>1</m:t>
                  </m:r>
                </m:num>
                <m:den>
                  <m:r>
                    <m:rPr>
                      <m:sty m:val="i"/>
                    </m:rPr>
                    <w:rPr>
                      <w:rFonts w:ascii="Cambria Math" w:hAnsi="Cambria Math"/>
                      <w:sz w:val="23"/>
                    </w:rPr>
                    <m:t>n</m:t>
                  </m:r>
                </m:den>
              </m:f>
              <m:nary>
                <m:naryPr>
                  <m:chr m:val="∑"/>
                  <m:limLoc m:val="undOvr"/>
                  <m:grow m:val="1"/>
                </m:naryPr>
                <m:sub>
                  <m:r>
                    <m:rPr>
                      <m:sty m:val="i"/>
                    </m:rPr>
                    <w:rPr>
                      <w:rFonts w:ascii="Cambria Math" w:hAnsi="Cambria Math"/>
                      <w:sz w:val="23"/>
                    </w:rPr>
                    <m:t>i=1</m:t>
                  </m:r>
                </m:sub>
                <m:sup>
                  <m:r>
                    <m:rPr>
                      <m:sty m:val="i"/>
                    </m:rPr>
                    <w:rPr>
                      <w:rFonts w:ascii="Cambria Math" w:hAnsi="Cambria Math"/>
                      <w:sz w:val="23"/>
                    </w:rPr>
                    <m:t>n</m:t>
                  </m:r>
                </m:sup>
                <m:e>
                  <m:sSup>
                    <m:e>
                      <m:sSub>
                        <m:e>
                          <m:r>
                            <m:rPr>
                              <m:sty m:val="i"/>
                            </m:rPr>
                            <w:rPr>
                              <w:rFonts w:ascii="Cambria Math" w:hAnsi="Cambria Math"/>
                              <w:sz w:val="23"/>
                            </w:rPr>
                            <m:t>e</m:t>
                          </m:r>
                        </m:e>
                        <m:sub>
                          <m:r>
                            <m:rPr>
                              <m:sty m:val="i"/>
                            </m:rPr>
                            <w:rPr>
                              <w:rFonts w:ascii="Cambria Math" w:hAnsi="Cambria Math"/>
                              <w:sz w:val="23"/>
                            </w:rPr>
                            <m:t>i</m:t>
                          </m:r>
                        </m:sub>
                      </m:sSub>
                    </m:e>
                    <m:sup>
                      <m:r>
                        <m:rPr>
                          <m:sty m:val="i"/>
                        </m:rPr>
                        <w:rPr>
                          <w:rFonts w:ascii="Cambria Math" w:hAnsi="Cambria Math"/>
                          <w:sz w:val="23"/>
                        </w:rPr>
                        <m:t>2</m:t>
                      </m:r>
                    </m:sup>
                  </m:sSup>
                </m:e>
              </m:nary>
            </m:e>
          </m:rad>
        </m:oMath>
      </m:oMathPara>
    </w:p>
    <w:p>
      <w:pPr>
        <w:keepLines/>
        <w:spacing w:before="80" w:after="140" w:line="269" w:lineRule="auto"/>
        <w:jc w:val="center"/>
      </w:pPr>
      <m:oMathPara>
        <m:oMathParaPr>
          <m:jc m:val="center"/>
        </m:oMathParaPr>
        <m:oMath>
          <m:sSup>
            <m:e>
              <m:r>
                <m:rPr>
                  <m:sty m:val="i"/>
                </m:rPr>
                <w:rPr>
                  <w:rFonts w:ascii="Cambria Math" w:hAnsi="Cambria Math"/>
                  <w:sz w:val="23"/>
                </w:rPr>
                <m:t>R</m:t>
              </m:r>
            </m:e>
            <m:sup>
              <m:r>
                <m:rPr>
                  <m:sty m:val="i"/>
                </m:rPr>
                <w:rPr>
                  <w:rFonts w:ascii="Cambria Math" w:hAnsi="Cambria Math"/>
                  <w:sz w:val="23"/>
                </w:rPr>
                <m:t>2</m:t>
              </m:r>
            </m:sup>
          </m:sSup>
          <m:r>
            <m:rPr>
              <m:sty m:val="i"/>
            </m:rPr>
            <w:rPr>
              <w:rFonts w:ascii="Cambria Math" w:hAnsi="Cambria Math"/>
              <w:sz w:val="23"/>
            </w:rPr>
            <m:t>=1−</m:t>
          </m:r>
          <m:f>
            <m:num>
              <m:nary>
                <m:naryPr>
                  <m:chr m:val="∑"/>
                  <m:limLoc m:val="undOvr"/>
                  <m:grow m:val="1"/>
                </m:naryPr>
                <m:sub>
                  <m:r>
                    <m:rPr>
                      <m:sty m:val="i"/>
                    </m:rPr>
                    <w:rPr>
                      <w:rFonts w:ascii="Cambria Math" w:hAnsi="Cambria Math"/>
                      <w:sz w:val="23"/>
                    </w:rPr>
                    <m:t>i=1</m:t>
                  </m:r>
                </m:sub>
                <m:sup>
                  <m:r>
                    <m:rPr>
                      <m:sty m:val="i"/>
                    </m:rPr>
                    <w:rPr>
                      <w:rFonts w:ascii="Cambria Math" w:hAnsi="Cambria Math"/>
                      <w:sz w:val="23"/>
                    </w:rPr>
                    <m:t>n</m:t>
                  </m:r>
                </m:sup>
                <m:e>
                  <m:sSup>
                    <m:e>
                      <m:sSub>
                        <m:e>
                          <m:r>
                            <m:rPr>
                              <m:sty m:val="i"/>
                            </m:rPr>
                            <w:rPr>
                              <w:rFonts w:ascii="Cambria Math" w:hAnsi="Cambria Math"/>
                              <w:sz w:val="23"/>
                            </w:rPr>
                            <m:t>e</m:t>
                          </m:r>
                        </m:e>
                        <m:sub>
                          <m:r>
                            <m:rPr>
                              <m:sty m:val="i"/>
                            </m:rPr>
                            <w:rPr>
                              <w:rFonts w:ascii="Cambria Math" w:hAnsi="Cambria Math"/>
                              <w:sz w:val="23"/>
                            </w:rPr>
                            <m:t>i</m:t>
                          </m:r>
                        </m:sub>
                      </m:sSub>
                    </m:e>
                    <m:sup>
                      <m:r>
                        <m:rPr>
                          <m:sty m:val="i"/>
                        </m:rPr>
                        <w:rPr>
                          <w:rFonts w:ascii="Cambria Math" w:hAnsi="Cambria Math"/>
                          <w:sz w:val="23"/>
                        </w:rPr>
                        <m:t>2</m:t>
                      </m:r>
                    </m:sup>
                  </m:sSup>
                </m:e>
              </m:nary>
            </m:num>
            <m:den>
              <m:nary>
                <m:naryPr>
                  <m:chr m:val="∑"/>
                  <m:limLoc m:val="undOvr"/>
                  <m:grow m:val="1"/>
                </m:naryPr>
                <m:sub>
                  <m:r>
                    <m:rPr>
                      <m:sty m:val="i"/>
                    </m:rPr>
                    <w:rPr>
                      <w:rFonts w:ascii="Cambria Math" w:hAnsi="Cambria Math"/>
                      <w:sz w:val="23"/>
                    </w:rPr>
                    <m:t>i=1</m:t>
                  </m:r>
                </m:sub>
                <m:sup>
                  <m:r>
                    <m:rPr>
                      <m:sty m:val="i"/>
                    </m:rPr>
                    <w:rPr>
                      <w:rFonts w:ascii="Cambria Math" w:hAnsi="Cambria Math"/>
                      <w:sz w:val="23"/>
                    </w:rPr>
                    <m:t>n</m:t>
                  </m:r>
                </m:sup>
                <m:e>
                  <m:sSup>
                    <m:e>
                      <m:d>
                        <m:dPr>
                          <m:begChr m:val="("/>
                          <m:endChr m:val=")"/>
                          <m:grow m:val="1"/>
                        </m:dPr>
                        <m:e>
                          <m:sSub>
                            <m:e>
                              <m:r>
                                <m:rPr>
                                  <m:sty m:val="i"/>
                                </m:rPr>
                                <w:rPr>
                                  <w:rFonts w:ascii="Cambria Math" w:hAnsi="Cambria Math"/>
                                  <w:sz w:val="23"/>
                                </w:rPr>
                                <m:t>y</m:t>
                              </m:r>
                            </m:e>
                            <m:sub>
                              <m:r>
                                <m:rPr>
                                  <m:sty m:val="i"/>
                                </m:rPr>
                                <w:rPr>
                                  <w:rFonts w:ascii="Cambria Math" w:hAnsi="Cambria Math"/>
                                  <w:sz w:val="23"/>
                                </w:rPr>
                                <m:t>i</m:t>
                              </m:r>
                            </m:sub>
                          </m:sSub>
                          <m:r>
                            <m:rPr>
                              <m:sty m:val="i"/>
                            </m:rPr>
                            <w:rPr>
                              <w:rFonts w:ascii="Cambria Math" w:hAnsi="Cambria Math"/>
                              <w:sz w:val="23"/>
                            </w:rPr>
                            <m:t>−</m:t>
                          </m:r>
                          <m:bar>
                            <m:barPr>
                              <m:pos m:val="top"/>
                            </m:barPr>
                            <m:e>
                              <m:r>
                                <m:rPr>
                                  <m:sty m:val="i"/>
                                </m:rPr>
                                <w:rPr>
                                  <w:rFonts w:ascii="Cambria Math" w:hAnsi="Cambria Math"/>
                                  <w:sz w:val="23"/>
                                </w:rPr>
                                <m:t>y</m:t>
                              </m:r>
                            </m:e>
                          </m:bar>
                        </m:e>
                      </m:d>
                    </m:e>
                    <m:sup>
                      <m:r>
                        <m:rPr>
                          <m:sty m:val="i"/>
                        </m:rPr>
                        <w:rPr>
                          <w:rFonts w:ascii="Cambria Math" w:hAnsi="Cambria Math"/>
                          <w:sz w:val="23"/>
                        </w:rPr>
                        <m:t>2</m:t>
                      </m:r>
                    </m:sup>
                  </m:sSup>
                </m:e>
              </m:nary>
            </m:den>
          </m:f>
        </m:oMath>
      </m:oMathPara>
    </w:p>
    <w:p>
      <w:pPr>
        <w:keepLines/>
        <w:spacing w:before="80" w:after="140" w:line="269" w:lineRule="auto"/>
        <w:jc w:val="center"/>
      </w:pPr>
      <m:oMathPara>
        <m:oMathParaPr>
          <m:jc m:val="center"/>
        </m:oMathParaPr>
        <m:oMath>
          <m:r>
            <m:rPr>
              <m:sty m:val="p"/>
            </m:rPr>
            <w:rPr>
              <w:rFonts w:ascii="Cambria Math" w:hAnsi="Cambria Math"/>
              <w:sz w:val="23"/>
            </w:rPr>
            <m:t>NMAE</m:t>
          </m:r>
          <m:r>
            <m:rPr>
              <m:sty m:val="i"/>
            </m:rPr>
            <w:rPr>
              <w:rFonts w:ascii="Cambria Math" w:hAnsi="Cambria Math"/>
              <w:sz w:val="23"/>
            </w:rPr>
            <m:t>=100</m:t>
          </m:r>
          <m:f>
            <m:num>
              <m:r>
                <m:rPr>
                  <m:sty m:val="p"/>
                </m:rPr>
                <w:rPr>
                  <w:rFonts w:ascii="Cambria Math" w:hAnsi="Cambria Math"/>
                  <w:sz w:val="23"/>
                </w:rPr>
                <m:t>MAE</m:t>
              </m:r>
            </m:num>
            <m:den>
              <m:bar>
                <m:barPr>
                  <m:pos m:val="top"/>
                </m:barPr>
                <m:e>
                  <m:r>
                    <m:rPr>
                      <m:sty m:val="i"/>
                    </m:rPr>
                    <w:rPr>
                      <w:rFonts w:ascii="Cambria Math" w:hAnsi="Cambria Math"/>
                      <w:sz w:val="23"/>
                    </w:rPr>
                    <m:t>y</m:t>
                  </m:r>
                </m:e>
              </m:bar>
            </m:den>
          </m:f>
        </m:oMath>
      </m:oMathPara>
    </w:p>
    <w:p>
      <w:pPr>
        <w:keepLines/>
        <w:spacing w:before="80" w:after="140" w:line="269" w:lineRule="auto"/>
        <w:jc w:val="center"/>
      </w:pPr>
      <m:oMathPara>
        <m:oMathParaPr>
          <m:jc m:val="center"/>
        </m:oMathParaPr>
        <m:oMath>
          <m:r>
            <m:rPr>
              <m:sty m:val="p"/>
            </m:rPr>
            <w:rPr>
              <w:rFonts w:ascii="Cambria Math" w:hAnsi="Cambria Math"/>
              <w:sz w:val="23"/>
            </w:rPr>
            <m:t>Bias</m:t>
          </m:r>
          <m:r>
            <m:rPr>
              <m:sty m:val="i"/>
            </m:rPr>
            <w:rPr>
              <w:rFonts w:ascii="Cambria Math" w:hAnsi="Cambria Math"/>
              <w:sz w:val="23"/>
            </w:rPr>
            <m:t>=</m:t>
          </m:r>
          <m:f>
            <m:num>
              <m:r>
                <m:rPr>
                  <m:sty m:val="i"/>
                </m:rPr>
                <w:rPr>
                  <w:rFonts w:ascii="Cambria Math" w:hAnsi="Cambria Math"/>
                  <w:sz w:val="23"/>
                </w:rPr>
                <m:t>1</m:t>
              </m:r>
            </m:num>
            <m:den>
              <m:r>
                <m:rPr>
                  <m:sty m:val="i"/>
                </m:rPr>
                <w:rPr>
                  <w:rFonts w:ascii="Cambria Math" w:hAnsi="Cambria Math"/>
                  <w:sz w:val="23"/>
                </w:rPr>
                <m:t>n</m:t>
              </m:r>
            </m:den>
          </m:f>
          <m:nary>
            <m:naryPr>
              <m:chr m:val="∑"/>
              <m:limLoc m:val="undOvr"/>
              <m:grow m:val="1"/>
            </m:naryPr>
            <m:sub>
              <m:r>
                <m:rPr>
                  <m:sty m:val="i"/>
                </m:rPr>
                <w:rPr>
                  <w:rFonts w:ascii="Cambria Math" w:hAnsi="Cambria Math"/>
                  <w:sz w:val="23"/>
                </w:rPr>
                <m:t>i=1</m:t>
              </m:r>
            </m:sub>
            <m:sup>
              <m:r>
                <m:rPr>
                  <m:sty m:val="i"/>
                </m:rPr>
                <w:rPr>
                  <w:rFonts w:ascii="Cambria Math" w:hAnsi="Cambria Math"/>
                  <w:sz w:val="23"/>
                </w:rPr>
                <m:t>n</m:t>
              </m:r>
            </m:sup>
            <m:e>
              <m:sSub>
                <m:e>
                  <m:r>
                    <m:rPr>
                      <m:sty m:val="i"/>
                    </m:rPr>
                    <w:rPr>
                      <w:rFonts w:ascii="Cambria Math" w:hAnsi="Cambria Math"/>
                      <w:sz w:val="23"/>
                    </w:rPr>
                    <m:t>e</m:t>
                  </m:r>
                </m:e>
                <m:sub>
                  <m:r>
                    <m:rPr>
                      <m:sty m:val="i"/>
                    </m:rPr>
                    <w:rPr>
                      <w:rFonts w:ascii="Cambria Math" w:hAnsi="Cambria Math"/>
                      <w:sz w:val="23"/>
                    </w:rPr>
                    <m:t>i</m:t>
                  </m:r>
                </m:sub>
              </m:sSub>
            </m:e>
          </m:nary>
        </m:oMath>
      </m:oMathPara>
    </w:p>
    <w:p>
      <w:pPr>
        <w:pStyle w:val="SupplementText"/>
      </w:pPr>
      <w:r>
        <w:t>MAE, mediana, RMSE e viés têm a unidade do alvo. O NMAE usa a média observada como denominador; viés negativo indica superestimação média. Para comparar A e B, utilizaram-se o ganho relativo e a redução pareada abaixo. Valores positivos favorecem B.</w:t>
      </w:r>
    </w:p>
    <w:p>
      <w:pPr>
        <w:keepLines/>
        <w:spacing w:before="80" w:after="140" w:line="269" w:lineRule="auto"/>
        <w:jc w:val="center"/>
      </w:pPr>
      <m:oMathPara>
        <m:oMathParaPr>
          <m:jc m:val="center"/>
        </m:oMathParaPr>
        <m:oMath>
          <m:r>
            <m:rPr>
              <m:sty m:val="p"/>
            </m:rPr>
            <w:rPr>
              <w:rFonts w:ascii="Cambria Math" w:hAnsi="Cambria Math"/>
              <w:sz w:val="23"/>
            </w:rPr>
            <m:t>Ganho</m:t>
          </m:r>
          <m:r>
            <m:rPr>
              <m:sty m:val="i"/>
            </m:rPr>
            <w:rPr>
              <w:rFonts w:ascii="Cambria Math" w:hAnsi="Cambria Math"/>
              <w:sz w:val="23"/>
            </w:rPr>
            <m:t>=100</m:t>
          </m:r>
          <m:f>
            <m:num>
              <m:sSub>
                <m:e>
                  <m:r>
                    <m:rPr>
                      <m:sty m:val="p"/>
                    </m:rPr>
                    <w:rPr>
                      <w:rFonts w:ascii="Cambria Math" w:hAnsi="Cambria Math"/>
                      <w:sz w:val="23"/>
                    </w:rPr>
                    <m:t>MAE</m:t>
                  </m:r>
                </m:e>
                <m:sub>
                  <m:r>
                    <m:rPr>
                      <m:sty m:val="i"/>
                    </m:rPr>
                    <w:rPr>
                      <w:rFonts w:ascii="Cambria Math" w:hAnsi="Cambria Math"/>
                      <w:sz w:val="23"/>
                    </w:rPr>
                    <m:t>A</m:t>
                  </m:r>
                </m:sub>
              </m:sSub>
              <m:r>
                <m:rPr>
                  <m:sty m:val="i"/>
                </m:rPr>
                <w:rPr>
                  <w:rFonts w:ascii="Cambria Math" w:hAnsi="Cambria Math"/>
                  <w:sz w:val="23"/>
                </w:rPr>
                <m:t>−</m:t>
              </m:r>
              <m:sSub>
                <m:e>
                  <m:r>
                    <m:rPr>
                      <m:sty m:val="p"/>
                    </m:rPr>
                    <w:rPr>
                      <w:rFonts w:ascii="Cambria Math" w:hAnsi="Cambria Math"/>
                      <w:sz w:val="23"/>
                    </w:rPr>
                    <m:t>MAE</m:t>
                  </m:r>
                </m:e>
                <m:sub>
                  <m:r>
                    <m:rPr>
                      <m:sty m:val="i"/>
                    </m:rPr>
                    <w:rPr>
                      <w:rFonts w:ascii="Cambria Math" w:hAnsi="Cambria Math"/>
                      <w:sz w:val="23"/>
                    </w:rPr>
                    <m:t>B</m:t>
                  </m:r>
                </m:sub>
              </m:sSub>
            </m:num>
            <m:den>
              <m:sSub>
                <m:e>
                  <m:r>
                    <m:rPr>
                      <m:sty m:val="p"/>
                    </m:rPr>
                    <w:rPr>
                      <w:rFonts w:ascii="Cambria Math" w:hAnsi="Cambria Math"/>
                      <w:sz w:val="23"/>
                    </w:rPr>
                    <m:t>MAE</m:t>
                  </m:r>
                </m:e>
                <m:sub>
                  <m:r>
                    <m:rPr>
                      <m:sty m:val="i"/>
                    </m:rPr>
                    <w:rPr>
                      <w:rFonts w:ascii="Cambria Math" w:hAnsi="Cambria Math"/>
                      <w:sz w:val="23"/>
                    </w:rPr>
                    <m:t>A</m:t>
                  </m:r>
                </m:sub>
              </m:sSub>
            </m:den>
          </m:f>
        </m:oMath>
      </m:oMathPara>
    </w:p>
    <w:p>
      <w:pPr>
        <w:keepLines/>
        <w:spacing w:before="80" w:after="140" w:line="269" w:lineRule="auto"/>
        <w:jc w:val="center"/>
      </w:pPr>
      <m:oMathPara>
        <m:oMathParaPr>
          <m:jc m:val="center"/>
        </m:oMathParaPr>
        <m:oMath>
          <m:sSub>
            <m:e>
              <m:r>
                <m:rPr>
                  <m:sty m:val="i"/>
                </m:rPr>
                <w:rPr>
                  <w:rFonts w:ascii="Cambria Math" w:hAnsi="Cambria Math"/>
                  <w:sz w:val="23"/>
                </w:rPr>
                <m:t>D</m:t>
              </m:r>
            </m:e>
            <m:sub>
              <m:r>
                <m:rPr>
                  <m:sty m:val="i"/>
                </m:rPr>
                <w:rPr>
                  <w:rFonts w:ascii="Cambria Math" w:hAnsi="Cambria Math"/>
                  <w:sz w:val="23"/>
                </w:rPr>
                <m:t>i</m:t>
              </m:r>
            </m:sub>
          </m:sSub>
          <m:r>
            <m:rPr>
              <m:sty m:val="i"/>
            </m:rPr>
            <w:rPr>
              <w:rFonts w:ascii="Cambria Math" w:hAnsi="Cambria Math"/>
              <w:sz w:val="23"/>
            </w:rPr>
            <m:t>=</m:t>
          </m:r>
          <m:d>
            <m:dPr>
              <m:begChr m:val="|"/>
              <m:endChr m:val="|"/>
              <m:grow m:val="1"/>
            </m:dPr>
            <m:e>
              <m:sSub>
                <m:e>
                  <m:r>
                    <m:rPr>
                      <m:sty m:val="i"/>
                    </m:rPr>
                    <w:rPr>
                      <w:rFonts w:ascii="Cambria Math" w:hAnsi="Cambria Math"/>
                      <w:sz w:val="23"/>
                    </w:rPr>
                    <m:t>e</m:t>
                  </m:r>
                </m:e>
                <m:sub>
                  <m:r>
                    <m:rPr>
                      <m:sty m:val="i"/>
                    </m:rPr>
                    <w:rPr>
                      <w:rFonts w:ascii="Cambria Math" w:hAnsi="Cambria Math"/>
                      <w:sz w:val="23"/>
                    </w:rPr>
                    <m:t>Ai</m:t>
                  </m:r>
                </m:sub>
              </m:sSub>
            </m:e>
          </m:d>
          <m:r>
            <m:rPr>
              <m:sty m:val="i"/>
            </m:rPr>
            <w:rPr>
              <w:rFonts w:ascii="Cambria Math" w:hAnsi="Cambria Math"/>
              <w:sz w:val="23"/>
            </w:rPr>
            <m:t>−</m:t>
          </m:r>
          <m:d>
            <m:dPr>
              <m:begChr m:val="|"/>
              <m:endChr m:val="|"/>
              <m:grow m:val="1"/>
            </m:dPr>
            <m:e>
              <m:sSub>
                <m:e>
                  <m:r>
                    <m:rPr>
                      <m:sty m:val="i"/>
                    </m:rPr>
                    <w:rPr>
                      <w:rFonts w:ascii="Cambria Math" w:hAnsi="Cambria Math"/>
                      <w:sz w:val="23"/>
                    </w:rPr>
                    <m:t>e</m:t>
                  </m:r>
                </m:e>
                <m:sub>
                  <m:r>
                    <m:rPr>
                      <m:sty m:val="i"/>
                    </m:rPr>
                    <w:rPr>
                      <w:rFonts w:ascii="Cambria Math" w:hAnsi="Cambria Math"/>
                      <w:sz w:val="23"/>
                    </w:rPr>
                    <m:t>Bi</m:t>
                  </m:r>
                </m:sub>
              </m:sSub>
            </m:e>
          </m:d>
        </m:oMath>
      </m:oMathPara>
    </w:p>
    <w:p>
      <w:pPr>
        <w:pStyle w:val="Caption"/>
      </w:pPr>
      <w:r>
        <w:t>Tabela A8 Definição dos contextos de avaliação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69"/>
        <w:gridCol w:w="7763"/>
      </w:tblGrid>
      <w:tr>
        <w:trPr>
          <w:cantSplit/>
          <w:tblHeader/>
        </w:trPr>
        <w:tc>
          <w:tcPr>
            <w:tcW w:type="dxa" w:w="1869"/>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Contexto</w:t>
            </w:r>
          </w:p>
        </w:tc>
        <w:tc>
          <w:tcPr>
            <w:tcW w:type="dxa" w:w="7763"/>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Regra</w:t>
            </w:r>
          </w:p>
        </w:tc>
      </w:tr>
      <w:tr>
        <w:trPr>
          <w:cantSplit/>
        </w:trPr>
        <w:tc>
          <w:tcPr>
            <w:tcW w:type="dxa" w:w="1869"/>
            <w:vAlign w:val="center"/>
            <w:tcMar>
              <w:top w:w="65" w:type="dxa"/>
              <w:bottom w:w="65" w:type="dxa"/>
              <w:left w:w="90" w:type="dxa"/>
              <w:right w:w="90" w:type="dxa"/>
            </w:tcMar>
          </w:tcPr>
          <w:p>
            <w:pPr>
              <w:spacing w:after="0" w:line="247" w:lineRule="auto"/>
              <w:jc w:val="left"/>
            </w:pPr>
            <w:r>
              <w:rPr>
                <w:rFonts w:ascii="Times New Roman" w:hAnsi="Times New Roman"/>
                <w:sz w:val="19"/>
              </w:rPr>
              <w:t>Partida</w:t>
            </w:r>
          </w:p>
        </w:tc>
        <w:tc>
          <w:tcPr>
            <w:tcW w:type="dxa" w:w="7763"/>
            <w:vAlign w:val="center"/>
            <w:tcMar>
              <w:top w:w="65" w:type="dxa"/>
              <w:bottom w:w="65" w:type="dxa"/>
              <w:left w:w="90" w:type="dxa"/>
              <w:right w:w="90" w:type="dxa"/>
            </w:tcMar>
          </w:tcPr>
          <w:p>
            <w:pPr>
              <w:spacing w:after="0" w:line="247" w:lineRule="auto"/>
              <w:jc w:val="left"/>
            </w:pPr>
            <w:r>
              <w:rPr>
                <w:rFonts w:ascii="Times New Roman" w:hAnsi="Times New Roman"/>
                <w:sz w:val="19"/>
              </w:rPr>
              <w:t>Contador entre 1 e 6 horas ON após uma transição OFF para ON.</w:t>
            </w:r>
          </w:p>
        </w:tc>
      </w:tr>
      <w:tr>
        <w:trPr>
          <w:cantSplit/>
        </w:trPr>
        <w:tc>
          <w:tcPr>
            <w:tcW w:type="dxa" w:w="1869"/>
            <w:vAlign w:val="center"/>
            <w:tcMar>
              <w:top w:w="65" w:type="dxa"/>
              <w:bottom w:w="65" w:type="dxa"/>
              <w:left w:w="90" w:type="dxa"/>
              <w:right w:w="90" w:type="dxa"/>
            </w:tcMar>
          </w:tcPr>
          <w:p>
            <w:pPr>
              <w:spacing w:after="0" w:line="247" w:lineRule="auto"/>
              <w:jc w:val="left"/>
            </w:pPr>
            <w:r>
              <w:rPr>
                <w:rFonts w:ascii="Times New Roman" w:hAnsi="Times New Roman"/>
                <w:sz w:val="19"/>
              </w:rPr>
              <w:t>Rampa intensa</w:t>
            </w:r>
          </w:p>
        </w:tc>
        <w:tc>
          <w:tcPr>
            <w:tcW w:type="dxa" w:w="7763"/>
            <w:vAlign w:val="center"/>
            <w:tcMar>
              <w:top w:w="65" w:type="dxa"/>
              <w:bottom w:w="65" w:type="dxa"/>
              <w:left w:w="90" w:type="dxa"/>
              <w:right w:w="90" w:type="dxa"/>
            </w:tcMar>
          </w:tcPr>
          <w:p>
            <w:pPr>
              <w:spacing w:after="0" w:line="247" w:lineRule="auto"/>
              <w:jc w:val="left"/>
            </w:pPr>
            <w:r>
              <w:rPr>
                <w:rFonts w:ascii="Times New Roman" w:hAnsi="Times New Roman"/>
                <w:sz w:val="19"/>
              </w:rPr>
              <w:t>Variação absoluta de carga igual ou superior ao percentil 90 do treinamento. No teste das etapas restritas a 2025: 130 MW por hora; na comparação final: 56 MW por hora, calculados nas 88.686 observações de reajuste.</w:t>
            </w:r>
          </w:p>
        </w:tc>
      </w:tr>
      <w:tr>
        <w:trPr>
          <w:cantSplit/>
        </w:trPr>
        <w:tc>
          <w:tcPr>
            <w:tcW w:type="dxa" w:w="1869"/>
            <w:vAlign w:val="center"/>
            <w:tcMar>
              <w:top w:w="65" w:type="dxa"/>
              <w:bottom w:w="65" w:type="dxa"/>
              <w:left w:w="90" w:type="dxa"/>
              <w:right w:w="90" w:type="dxa"/>
            </w:tcMar>
          </w:tcPr>
          <w:p>
            <w:pPr>
              <w:spacing w:after="0" w:line="247" w:lineRule="auto"/>
              <w:jc w:val="left"/>
            </w:pPr>
            <w:r>
              <w:rPr>
                <w:rFonts w:ascii="Times New Roman" w:hAnsi="Times New Roman"/>
                <w:sz w:val="19"/>
              </w:rPr>
              <w:t>Demais horas</w:t>
            </w:r>
          </w:p>
        </w:tc>
        <w:tc>
          <w:tcPr>
            <w:tcW w:type="dxa" w:w="7763"/>
            <w:vAlign w:val="center"/>
            <w:tcMar>
              <w:top w:w="65" w:type="dxa"/>
              <w:bottom w:w="65" w:type="dxa"/>
              <w:left w:w="90" w:type="dxa"/>
              <w:right w:w="90" w:type="dxa"/>
            </w:tcMar>
          </w:tcPr>
          <w:p>
            <w:pPr>
              <w:spacing w:after="0" w:line="247" w:lineRule="auto"/>
              <w:jc w:val="left"/>
            </w:pPr>
            <w:r>
              <w:rPr>
                <w:rFonts w:ascii="Times New Roman" w:hAnsi="Times New Roman"/>
                <w:sz w:val="19"/>
              </w:rPr>
              <w:t>Complemento da união dos dois contextos. Uma hora do teste final pertence simultaneamente a partida e rampa.</w:t>
            </w:r>
          </w:p>
        </w:tc>
      </w:tr>
    </w:tbl>
    <w:p>
      <w:pPr>
        <w:pStyle w:val="Heading1"/>
        <w:pageBreakBefore/>
      </w:pPr>
      <w:r>
        <w:t>Apêndice B Acesso aos materiais e verificação da reprodução</w:t>
      </w:r>
    </w:p>
    <w:p>
      <w:pPr>
        <w:pStyle w:val="SupplementText"/>
      </w:pPr>
      <w:r>
        <w:t>Os nomes vinculados nas tabelas seguintes abrem os materiais públicos no GitHub. Cada endereço inclui a versão consultada em 24 de outubro de 2026, de modo que o leitor acesse o conteúdo identificado neste artigo. Os códigos de versão permanecem nos endereços e nos registros técnicos, sem exigir sua digitação. A consulta e o download dos arquivos públicos não exigem acesso à conta dos autores.</w:t>
      </w:r>
    </w:p>
    <w:p>
      <w:pPr>
        <w:pStyle w:val="Caption"/>
      </w:pPr>
      <w:r>
        <w:t>Tabela B1 Códigos das etapas do estudo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685"/>
        <w:gridCol w:w="2947"/>
      </w:tblGrid>
      <w:tr>
        <w:trPr>
          <w:cantSplit/>
          <w:tblHeader/>
        </w:trPr>
        <w:tc>
          <w:tcPr>
            <w:tcW w:type="dxa" w:w="6685"/>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Etapa</w:t>
            </w:r>
          </w:p>
        </w:tc>
        <w:tc>
          <w:tcPr>
            <w:tcW w:type="dxa" w:w="2947"/>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Acesso ao código</w:t>
            </w:r>
          </w:p>
        </w:tc>
      </w:tr>
      <w:tr>
        <w:trPr>
          <w:cantSplit/>
        </w:trPr>
        <w:tc>
          <w:tcPr>
            <w:tcW w:type="dxa" w:w="6685"/>
            <w:vAlign w:val="center"/>
            <w:tcMar>
              <w:top w:w="65" w:type="dxa"/>
              <w:bottom w:w="65" w:type="dxa"/>
              <w:left w:w="90" w:type="dxa"/>
              <w:right w:w="90" w:type="dxa"/>
            </w:tcMar>
          </w:tcPr>
          <w:p>
            <w:pPr>
              <w:spacing w:after="0" w:line="247" w:lineRule="auto"/>
              <w:jc w:val="left"/>
            </w:pPr>
            <w:r>
              <w:rPr>
                <w:rFonts w:ascii="Times New Roman" w:hAnsi="Times New Roman"/>
                <w:sz w:val="19"/>
              </w:rPr>
              <w:t>Seleção da unidade</w:t>
            </w:r>
          </w:p>
        </w:tc>
        <w:tc>
          <w:tcPr>
            <w:tcW w:type="dxa" w:w="2947"/>
            <w:vAlign w:val="center"/>
            <w:tcMar>
              <w:top w:w="65" w:type="dxa"/>
              <w:bottom w:w="65" w:type="dxa"/>
              <w:left w:w="90" w:type="dxa"/>
              <w:right w:w="90" w:type="dxa"/>
            </w:tcMar>
          </w:tcPr>
          <w:p>
            <w:pPr>
              <w:spacing w:after="0" w:line="247" w:lineRule="auto"/>
              <w:jc w:val="left"/>
            </w:pPr>
            <w:hyperlink r:id="rId52">
              <w:r>
                <w:rPr>
                  <w:color w:val="1F4E79"/>
                  <w:u w:val="single"/>
                </w:rPr>
                <w:t>Abrir notebook</w:t>
              </w:r>
            </w:hyperlink>
          </w:p>
        </w:tc>
      </w:tr>
      <w:tr>
        <w:trPr>
          <w:cantSplit/>
        </w:trPr>
        <w:tc>
          <w:tcPr>
            <w:tcW w:type="dxa" w:w="6685"/>
            <w:vAlign w:val="center"/>
            <w:tcMar>
              <w:top w:w="65" w:type="dxa"/>
              <w:bottom w:w="65" w:type="dxa"/>
              <w:left w:w="90" w:type="dxa"/>
              <w:right w:w="90" w:type="dxa"/>
            </w:tcMar>
          </w:tcPr>
          <w:p>
            <w:pPr>
              <w:spacing w:after="0" w:line="247" w:lineRule="auto"/>
              <w:jc w:val="left"/>
            </w:pPr>
            <w:r>
              <w:rPr>
                <w:rFonts w:ascii="Times New Roman" w:hAnsi="Times New Roman"/>
                <w:sz w:val="19"/>
              </w:rPr>
              <w:t>Tratamento e representação dos dados</w:t>
            </w:r>
          </w:p>
        </w:tc>
        <w:tc>
          <w:tcPr>
            <w:tcW w:type="dxa" w:w="2947"/>
            <w:vAlign w:val="center"/>
            <w:tcMar>
              <w:top w:w="65" w:type="dxa"/>
              <w:bottom w:w="65" w:type="dxa"/>
              <w:left w:w="90" w:type="dxa"/>
              <w:right w:w="90" w:type="dxa"/>
            </w:tcMar>
          </w:tcPr>
          <w:p>
            <w:pPr>
              <w:spacing w:after="0" w:line="247" w:lineRule="auto"/>
              <w:jc w:val="left"/>
            </w:pPr>
            <w:hyperlink r:id="rId53">
              <w:r>
                <w:rPr>
                  <w:color w:val="1F4E79"/>
                  <w:u w:val="single"/>
                </w:rPr>
                <w:t>Abrir notebook</w:t>
              </w:r>
            </w:hyperlink>
          </w:p>
        </w:tc>
      </w:tr>
      <w:tr>
        <w:trPr>
          <w:cantSplit/>
        </w:trPr>
        <w:tc>
          <w:tcPr>
            <w:tcW w:type="dxa" w:w="6685"/>
            <w:vAlign w:val="center"/>
            <w:tcMar>
              <w:top w:w="65" w:type="dxa"/>
              <w:bottom w:w="65" w:type="dxa"/>
              <w:left w:w="90" w:type="dxa"/>
              <w:right w:w="90" w:type="dxa"/>
            </w:tcMar>
          </w:tcPr>
          <w:p>
            <w:pPr>
              <w:spacing w:after="0" w:line="247" w:lineRule="auto"/>
              <w:jc w:val="left"/>
            </w:pPr>
            <w:r>
              <w:rPr>
                <w:rFonts w:ascii="Times New Roman" w:hAnsi="Times New Roman"/>
                <w:sz w:val="19"/>
              </w:rPr>
              <w:t>Redes neurais com carga e trajetória</w:t>
            </w:r>
          </w:p>
        </w:tc>
        <w:tc>
          <w:tcPr>
            <w:tcW w:type="dxa" w:w="2947"/>
            <w:vAlign w:val="center"/>
            <w:tcMar>
              <w:top w:w="65" w:type="dxa"/>
              <w:bottom w:w="65" w:type="dxa"/>
              <w:left w:w="90" w:type="dxa"/>
              <w:right w:w="90" w:type="dxa"/>
            </w:tcMar>
          </w:tcPr>
          <w:p>
            <w:pPr>
              <w:spacing w:after="0" w:line="247" w:lineRule="auto"/>
              <w:jc w:val="left"/>
            </w:pPr>
            <w:hyperlink r:id="rId54">
              <w:r>
                <w:rPr>
                  <w:color w:val="1F4E79"/>
                  <w:u w:val="single"/>
                </w:rPr>
                <w:t>Abrir notebook</w:t>
              </w:r>
            </w:hyperlink>
          </w:p>
        </w:tc>
      </w:tr>
      <w:tr>
        <w:trPr>
          <w:cantSplit/>
        </w:trPr>
        <w:tc>
          <w:tcPr>
            <w:tcW w:type="dxa" w:w="6685"/>
            <w:vAlign w:val="center"/>
            <w:tcMar>
              <w:top w:w="65" w:type="dxa"/>
              <w:bottom w:w="65" w:type="dxa"/>
              <w:left w:w="90" w:type="dxa"/>
              <w:right w:w="90" w:type="dxa"/>
            </w:tcMar>
          </w:tcPr>
          <w:p>
            <w:pPr>
              <w:spacing w:after="0" w:line="247" w:lineRule="auto"/>
              <w:jc w:val="left"/>
            </w:pPr>
            <w:r>
              <w:rPr>
                <w:rFonts w:ascii="Times New Roman" w:hAnsi="Times New Roman"/>
                <w:sz w:val="19"/>
              </w:rPr>
              <w:t>Ampliação dos atributos</w:t>
            </w:r>
          </w:p>
        </w:tc>
        <w:tc>
          <w:tcPr>
            <w:tcW w:type="dxa" w:w="2947"/>
            <w:vAlign w:val="center"/>
            <w:tcMar>
              <w:top w:w="65" w:type="dxa"/>
              <w:bottom w:w="65" w:type="dxa"/>
              <w:left w:w="90" w:type="dxa"/>
              <w:right w:w="90" w:type="dxa"/>
            </w:tcMar>
          </w:tcPr>
          <w:p>
            <w:pPr>
              <w:spacing w:after="0" w:line="247" w:lineRule="auto"/>
              <w:jc w:val="left"/>
            </w:pPr>
            <w:hyperlink r:id="rId55">
              <w:r>
                <w:rPr>
                  <w:color w:val="1F4E79"/>
                  <w:u w:val="single"/>
                </w:rPr>
                <w:t>Abrir notebook</w:t>
              </w:r>
            </w:hyperlink>
          </w:p>
        </w:tc>
      </w:tr>
      <w:tr>
        <w:trPr>
          <w:cantSplit/>
        </w:trPr>
        <w:tc>
          <w:tcPr>
            <w:tcW w:type="dxa" w:w="6685"/>
            <w:vAlign w:val="center"/>
            <w:tcMar>
              <w:top w:w="65" w:type="dxa"/>
              <w:bottom w:w="65" w:type="dxa"/>
              <w:left w:w="90" w:type="dxa"/>
              <w:right w:w="90" w:type="dxa"/>
            </w:tcMar>
          </w:tcPr>
          <w:p>
            <w:pPr>
              <w:spacing w:after="0" w:line="247" w:lineRule="auto"/>
              <w:jc w:val="left"/>
            </w:pPr>
            <w:r>
              <w:rPr>
                <w:rFonts w:ascii="Times New Roman" w:hAnsi="Times New Roman"/>
                <w:sz w:val="19"/>
              </w:rPr>
              <w:t>Comparação com XGBoost</w:t>
            </w:r>
          </w:p>
        </w:tc>
        <w:tc>
          <w:tcPr>
            <w:tcW w:type="dxa" w:w="2947"/>
            <w:vAlign w:val="center"/>
            <w:tcMar>
              <w:top w:w="65" w:type="dxa"/>
              <w:bottom w:w="65" w:type="dxa"/>
              <w:left w:w="90" w:type="dxa"/>
              <w:right w:w="90" w:type="dxa"/>
            </w:tcMar>
          </w:tcPr>
          <w:p>
            <w:pPr>
              <w:spacing w:after="0" w:line="247" w:lineRule="auto"/>
              <w:jc w:val="left"/>
            </w:pPr>
            <w:hyperlink r:id="rId56">
              <w:r>
                <w:rPr>
                  <w:color w:val="1F4E79"/>
                  <w:u w:val="single"/>
                </w:rPr>
                <w:t>Abrir notebook</w:t>
              </w:r>
            </w:hyperlink>
          </w:p>
        </w:tc>
      </w:tr>
      <w:tr>
        <w:trPr>
          <w:cantSplit/>
        </w:trPr>
        <w:tc>
          <w:tcPr>
            <w:tcW w:type="dxa" w:w="6685"/>
            <w:vAlign w:val="center"/>
            <w:tcMar>
              <w:top w:w="65" w:type="dxa"/>
              <w:bottom w:w="65" w:type="dxa"/>
              <w:left w:w="90" w:type="dxa"/>
              <w:right w:w="90" w:type="dxa"/>
            </w:tcMar>
          </w:tcPr>
          <w:p>
            <w:pPr>
              <w:spacing w:after="0" w:line="247" w:lineRule="auto"/>
              <w:jc w:val="left"/>
            </w:pPr>
            <w:r>
              <w:rPr>
                <w:rFonts w:ascii="Times New Roman" w:hAnsi="Times New Roman"/>
                <w:sz w:val="19"/>
              </w:rPr>
              <w:t>Busca pareada de hiperparâmetros</w:t>
            </w:r>
          </w:p>
        </w:tc>
        <w:tc>
          <w:tcPr>
            <w:tcW w:type="dxa" w:w="2947"/>
            <w:vAlign w:val="center"/>
            <w:tcMar>
              <w:top w:w="65" w:type="dxa"/>
              <w:bottom w:w="65" w:type="dxa"/>
              <w:left w:w="90" w:type="dxa"/>
              <w:right w:w="90" w:type="dxa"/>
            </w:tcMar>
          </w:tcPr>
          <w:p>
            <w:pPr>
              <w:spacing w:after="0" w:line="247" w:lineRule="auto"/>
              <w:jc w:val="left"/>
            </w:pPr>
            <w:hyperlink r:id="rId57">
              <w:r>
                <w:rPr>
                  <w:color w:val="1F4E79"/>
                  <w:u w:val="single"/>
                </w:rPr>
                <w:t>Abrir notebook</w:t>
              </w:r>
            </w:hyperlink>
          </w:p>
        </w:tc>
      </w:tr>
      <w:tr>
        <w:trPr>
          <w:cantSplit/>
        </w:trPr>
        <w:tc>
          <w:tcPr>
            <w:tcW w:type="dxa" w:w="6685"/>
            <w:vAlign w:val="center"/>
            <w:tcMar>
              <w:top w:w="65" w:type="dxa"/>
              <w:bottom w:w="65" w:type="dxa"/>
              <w:left w:w="90" w:type="dxa"/>
              <w:right w:w="90" w:type="dxa"/>
            </w:tcMar>
          </w:tcPr>
          <w:p>
            <w:pPr>
              <w:spacing w:after="0" w:line="247" w:lineRule="auto"/>
              <w:jc w:val="left"/>
            </w:pPr>
            <w:r>
              <w:rPr>
                <w:rFonts w:ascii="Times New Roman" w:hAnsi="Times New Roman"/>
                <w:sz w:val="19"/>
              </w:rPr>
              <w:t>Abrangência histórica</w:t>
            </w:r>
          </w:p>
        </w:tc>
        <w:tc>
          <w:tcPr>
            <w:tcW w:type="dxa" w:w="2947"/>
            <w:vAlign w:val="center"/>
            <w:tcMar>
              <w:top w:w="65" w:type="dxa"/>
              <w:bottom w:w="65" w:type="dxa"/>
              <w:left w:w="90" w:type="dxa"/>
              <w:right w:w="90" w:type="dxa"/>
            </w:tcMar>
          </w:tcPr>
          <w:p>
            <w:pPr>
              <w:spacing w:after="0" w:line="247" w:lineRule="auto"/>
              <w:jc w:val="left"/>
            </w:pPr>
            <w:hyperlink r:id="rId58">
              <w:r>
                <w:rPr>
                  <w:color w:val="1F4E79"/>
                  <w:u w:val="single"/>
                </w:rPr>
                <w:t>Abrir notebook</w:t>
              </w:r>
            </w:hyperlink>
          </w:p>
        </w:tc>
      </w:tr>
      <w:tr>
        <w:trPr>
          <w:cantSplit/>
        </w:trPr>
        <w:tc>
          <w:tcPr>
            <w:tcW w:type="dxa" w:w="6685"/>
            <w:vAlign w:val="center"/>
            <w:tcMar>
              <w:top w:w="65" w:type="dxa"/>
              <w:bottom w:w="65" w:type="dxa"/>
              <w:left w:w="90" w:type="dxa"/>
              <w:right w:w="90" w:type="dxa"/>
            </w:tcMar>
          </w:tcPr>
          <w:p>
            <w:pPr>
              <w:spacing w:after="0" w:line="247" w:lineRule="auto"/>
              <w:jc w:val="left"/>
            </w:pPr>
            <w:r>
              <w:rPr>
                <w:rFonts w:ascii="Times New Roman" w:hAnsi="Times New Roman"/>
                <w:sz w:val="19"/>
              </w:rPr>
              <w:t>Trajetória com histórico ampliado</w:t>
            </w:r>
          </w:p>
        </w:tc>
        <w:tc>
          <w:tcPr>
            <w:tcW w:type="dxa" w:w="2947"/>
            <w:vAlign w:val="center"/>
            <w:tcMar>
              <w:top w:w="65" w:type="dxa"/>
              <w:bottom w:w="65" w:type="dxa"/>
              <w:left w:w="90" w:type="dxa"/>
              <w:right w:w="90" w:type="dxa"/>
            </w:tcMar>
          </w:tcPr>
          <w:p>
            <w:pPr>
              <w:spacing w:after="0" w:line="247" w:lineRule="auto"/>
              <w:jc w:val="left"/>
            </w:pPr>
            <w:hyperlink r:id="rId59">
              <w:r>
                <w:rPr>
                  <w:color w:val="1F4E79"/>
                  <w:u w:val="single"/>
                </w:rPr>
                <w:t>Abrir notebook</w:t>
              </w:r>
            </w:hyperlink>
          </w:p>
        </w:tc>
      </w:tr>
    </w:tbl>
    <w:p>
      <w:pPr>
        <w:pStyle w:val="Caption"/>
      </w:pPr>
      <w:r>
        <w:t>Tabela B2 Resultados e documentação de acesso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44"/>
        <w:gridCol w:w="2228"/>
        <w:gridCol w:w="2660"/>
      </w:tblGrid>
      <w:tr>
        <w:trPr>
          <w:cantSplit/>
          <w:tblHeader/>
        </w:trPr>
        <w:tc>
          <w:tcPr>
            <w:tcW w:type="dxa" w:w="4744"/>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Material</w:t>
            </w:r>
          </w:p>
        </w:tc>
        <w:tc>
          <w:tcPr>
            <w:tcW w:type="dxa" w:w="2228"/>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Acesso</w:t>
            </w:r>
          </w:p>
        </w:tc>
        <w:tc>
          <w:tcPr>
            <w:tcW w:type="dxa" w:w="2660"/>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Disponibilidade</w:t>
            </w:r>
          </w:p>
        </w:tc>
      </w:tr>
      <w:tr>
        <w:trPr>
          <w:cantSplit/>
        </w:trPr>
        <w:tc>
          <w:tcPr>
            <w:tcW w:type="dxa" w:w="4744"/>
            <w:vAlign w:val="center"/>
            <w:tcMar>
              <w:top w:w="65" w:type="dxa"/>
              <w:bottom w:w="65" w:type="dxa"/>
              <w:left w:w="90" w:type="dxa"/>
              <w:right w:w="90" w:type="dxa"/>
            </w:tcMar>
          </w:tcPr>
          <w:p>
            <w:pPr>
              <w:spacing w:after="0" w:line="247" w:lineRule="auto"/>
              <w:jc w:val="left"/>
            </w:pPr>
            <w:r>
              <w:rPr>
                <w:rFonts w:ascii="Times New Roman" w:hAnsi="Times New Roman"/>
                <w:sz w:val="19"/>
              </w:rPr>
              <w:t>Relatórios das etapas</w:t>
            </w:r>
          </w:p>
        </w:tc>
        <w:tc>
          <w:tcPr>
            <w:tcW w:type="dxa" w:w="2228"/>
            <w:vAlign w:val="center"/>
            <w:tcMar>
              <w:top w:w="65" w:type="dxa"/>
              <w:bottom w:w="65" w:type="dxa"/>
              <w:left w:w="90" w:type="dxa"/>
              <w:right w:w="90" w:type="dxa"/>
            </w:tcMar>
          </w:tcPr>
          <w:p>
            <w:pPr>
              <w:spacing w:after="0" w:line="247" w:lineRule="auto"/>
              <w:jc w:val="left"/>
            </w:pPr>
            <w:hyperlink r:id="rId60">
              <w:r>
                <w:rPr>
                  <w:color w:val="1F4E79"/>
                  <w:u w:val="single"/>
                </w:rPr>
                <w:t>Abrir material</w:t>
              </w:r>
            </w:hyperlink>
          </w:p>
        </w:tc>
        <w:tc>
          <w:tcPr>
            <w:tcW w:type="dxa" w:w="2660"/>
            <w:vAlign w:val="center"/>
            <w:tcMar>
              <w:top w:w="65" w:type="dxa"/>
              <w:bottom w:w="65" w:type="dxa"/>
              <w:left w:w="90" w:type="dxa"/>
              <w:right w:w="90" w:type="dxa"/>
            </w:tcMar>
          </w:tcPr>
          <w:p>
            <w:pPr>
              <w:spacing w:after="0" w:line="247" w:lineRule="auto"/>
              <w:jc w:val="left"/>
            </w:pPr>
            <w:r>
              <w:rPr>
                <w:rFonts w:ascii="Times New Roman" w:hAnsi="Times New Roman"/>
                <w:sz w:val="19"/>
              </w:rPr>
              <w:t>Público</w:t>
            </w:r>
          </w:p>
        </w:tc>
      </w:tr>
      <w:tr>
        <w:trPr>
          <w:cantSplit/>
        </w:trPr>
        <w:tc>
          <w:tcPr>
            <w:tcW w:type="dxa" w:w="4744"/>
            <w:vAlign w:val="center"/>
            <w:tcMar>
              <w:top w:w="65" w:type="dxa"/>
              <w:bottom w:w="65" w:type="dxa"/>
              <w:left w:w="90" w:type="dxa"/>
              <w:right w:w="90" w:type="dxa"/>
            </w:tcMar>
          </w:tcPr>
          <w:p>
            <w:pPr>
              <w:spacing w:after="0" w:line="247" w:lineRule="auto"/>
              <w:jc w:val="left"/>
            </w:pPr>
            <w:r>
              <w:rPr>
                <w:rFonts w:ascii="Times New Roman" w:hAnsi="Times New Roman"/>
                <w:sz w:val="19"/>
              </w:rPr>
              <w:t>Tabelas de resultados</w:t>
            </w:r>
          </w:p>
        </w:tc>
        <w:tc>
          <w:tcPr>
            <w:tcW w:type="dxa" w:w="2228"/>
            <w:vAlign w:val="center"/>
            <w:tcMar>
              <w:top w:w="65" w:type="dxa"/>
              <w:bottom w:w="65" w:type="dxa"/>
              <w:left w:w="90" w:type="dxa"/>
              <w:right w:w="90" w:type="dxa"/>
            </w:tcMar>
          </w:tcPr>
          <w:p>
            <w:pPr>
              <w:spacing w:after="0" w:line="247" w:lineRule="auto"/>
              <w:jc w:val="left"/>
            </w:pPr>
            <w:hyperlink r:id="rId61">
              <w:r>
                <w:rPr>
                  <w:color w:val="1F4E79"/>
                  <w:u w:val="single"/>
                </w:rPr>
                <w:t>Abrir material</w:t>
              </w:r>
            </w:hyperlink>
          </w:p>
        </w:tc>
        <w:tc>
          <w:tcPr>
            <w:tcW w:type="dxa" w:w="2660"/>
            <w:vAlign w:val="center"/>
            <w:tcMar>
              <w:top w:w="65" w:type="dxa"/>
              <w:bottom w:w="65" w:type="dxa"/>
              <w:left w:w="90" w:type="dxa"/>
              <w:right w:w="90" w:type="dxa"/>
            </w:tcMar>
          </w:tcPr>
          <w:p>
            <w:pPr>
              <w:spacing w:after="0" w:line="247" w:lineRule="auto"/>
              <w:jc w:val="left"/>
            </w:pPr>
            <w:r>
              <w:rPr>
                <w:rFonts w:ascii="Times New Roman" w:hAnsi="Times New Roman"/>
                <w:sz w:val="19"/>
              </w:rPr>
              <w:t>Público</w:t>
            </w:r>
          </w:p>
        </w:tc>
      </w:tr>
      <w:tr>
        <w:trPr>
          <w:cantSplit/>
        </w:trPr>
        <w:tc>
          <w:tcPr>
            <w:tcW w:type="dxa" w:w="4744"/>
            <w:vAlign w:val="center"/>
            <w:tcMar>
              <w:top w:w="65" w:type="dxa"/>
              <w:bottom w:w="65" w:type="dxa"/>
              <w:left w:w="90" w:type="dxa"/>
              <w:right w:w="90" w:type="dxa"/>
            </w:tcMar>
          </w:tcPr>
          <w:p>
            <w:pPr>
              <w:spacing w:after="0" w:line="247" w:lineRule="auto"/>
              <w:jc w:val="left"/>
            </w:pPr>
            <w:r>
              <w:rPr>
                <w:rFonts w:ascii="Times New Roman" w:hAnsi="Times New Roman"/>
                <w:sz w:val="19"/>
              </w:rPr>
              <w:t>Resultados preservados de referência</w:t>
            </w:r>
          </w:p>
        </w:tc>
        <w:tc>
          <w:tcPr>
            <w:tcW w:type="dxa" w:w="2228"/>
            <w:vAlign w:val="center"/>
            <w:tcMar>
              <w:top w:w="65" w:type="dxa"/>
              <w:bottom w:w="65" w:type="dxa"/>
              <w:left w:w="90" w:type="dxa"/>
              <w:right w:w="90" w:type="dxa"/>
            </w:tcMar>
          </w:tcPr>
          <w:p>
            <w:pPr>
              <w:spacing w:after="0" w:line="247" w:lineRule="auto"/>
              <w:jc w:val="left"/>
            </w:pPr>
            <w:hyperlink r:id="rId62">
              <w:r>
                <w:rPr>
                  <w:color w:val="1F4E79"/>
                  <w:u w:val="single"/>
                </w:rPr>
                <w:t>Abrir material</w:t>
              </w:r>
            </w:hyperlink>
          </w:p>
        </w:tc>
        <w:tc>
          <w:tcPr>
            <w:tcW w:type="dxa" w:w="2660"/>
            <w:vAlign w:val="center"/>
            <w:tcMar>
              <w:top w:w="65" w:type="dxa"/>
              <w:bottom w:w="65" w:type="dxa"/>
              <w:left w:w="90" w:type="dxa"/>
              <w:right w:w="90" w:type="dxa"/>
            </w:tcMar>
          </w:tcPr>
          <w:p>
            <w:pPr>
              <w:spacing w:after="0" w:line="247" w:lineRule="auto"/>
              <w:jc w:val="left"/>
            </w:pPr>
            <w:r>
              <w:rPr>
                <w:rFonts w:ascii="Times New Roman" w:hAnsi="Times New Roman"/>
                <w:sz w:val="19"/>
              </w:rPr>
              <w:t>Público</w:t>
            </w:r>
          </w:p>
        </w:tc>
      </w:tr>
      <w:tr>
        <w:trPr>
          <w:cantSplit/>
        </w:trPr>
        <w:tc>
          <w:tcPr>
            <w:tcW w:type="dxa" w:w="4744"/>
            <w:vAlign w:val="center"/>
            <w:tcMar>
              <w:top w:w="65" w:type="dxa"/>
              <w:bottom w:w="65" w:type="dxa"/>
              <w:left w:w="90" w:type="dxa"/>
              <w:right w:w="90" w:type="dxa"/>
            </w:tcMar>
          </w:tcPr>
          <w:p>
            <w:pPr>
              <w:spacing w:after="0" w:line="247" w:lineRule="auto"/>
              <w:jc w:val="left"/>
            </w:pPr>
            <w:r>
              <w:rPr>
                <w:rFonts w:ascii="Times New Roman" w:hAnsi="Times New Roman"/>
                <w:sz w:val="19"/>
              </w:rPr>
              <w:t>Instruções e registros de reprodução</w:t>
            </w:r>
          </w:p>
        </w:tc>
        <w:tc>
          <w:tcPr>
            <w:tcW w:type="dxa" w:w="2228"/>
            <w:vAlign w:val="center"/>
            <w:tcMar>
              <w:top w:w="65" w:type="dxa"/>
              <w:bottom w:w="65" w:type="dxa"/>
              <w:left w:w="90" w:type="dxa"/>
              <w:right w:w="90" w:type="dxa"/>
            </w:tcMar>
          </w:tcPr>
          <w:p>
            <w:pPr>
              <w:spacing w:after="0" w:line="247" w:lineRule="auto"/>
              <w:jc w:val="left"/>
            </w:pPr>
            <w:hyperlink r:id="rId63">
              <w:r>
                <w:rPr>
                  <w:color w:val="1F4E79"/>
                  <w:u w:val="single"/>
                </w:rPr>
                <w:t>Abrir material</w:t>
              </w:r>
            </w:hyperlink>
          </w:p>
        </w:tc>
        <w:tc>
          <w:tcPr>
            <w:tcW w:type="dxa" w:w="2660"/>
            <w:vAlign w:val="center"/>
            <w:tcMar>
              <w:top w:w="65" w:type="dxa"/>
              <w:bottom w:w="65" w:type="dxa"/>
              <w:left w:w="90" w:type="dxa"/>
              <w:right w:w="90" w:type="dxa"/>
            </w:tcMar>
          </w:tcPr>
          <w:p>
            <w:pPr>
              <w:spacing w:after="0" w:line="247" w:lineRule="auto"/>
              <w:jc w:val="left"/>
            </w:pPr>
            <w:r>
              <w:rPr>
                <w:rFonts w:ascii="Times New Roman" w:hAnsi="Times New Roman"/>
                <w:sz w:val="19"/>
              </w:rPr>
              <w:t>Público</w:t>
            </w:r>
          </w:p>
        </w:tc>
      </w:tr>
      <w:tr>
        <w:trPr>
          <w:cantSplit/>
        </w:trPr>
        <w:tc>
          <w:tcPr>
            <w:tcW w:type="dxa" w:w="4744"/>
            <w:vAlign w:val="center"/>
            <w:tcMar>
              <w:top w:w="65" w:type="dxa"/>
              <w:bottom w:w="65" w:type="dxa"/>
              <w:left w:w="90" w:type="dxa"/>
              <w:right w:w="90" w:type="dxa"/>
            </w:tcMar>
          </w:tcPr>
          <w:p>
            <w:pPr>
              <w:spacing w:after="0" w:line="247" w:lineRule="auto"/>
              <w:jc w:val="left"/>
            </w:pPr>
            <w:r>
              <w:rPr>
                <w:rFonts w:ascii="Times New Roman" w:hAnsi="Times New Roman"/>
                <w:sz w:val="19"/>
              </w:rPr>
              <w:t>Auditoria do monitoramento e fontes</w:t>
            </w:r>
          </w:p>
        </w:tc>
        <w:tc>
          <w:tcPr>
            <w:tcW w:type="dxa" w:w="2228"/>
            <w:vAlign w:val="center"/>
            <w:tcMar>
              <w:top w:w="65" w:type="dxa"/>
              <w:bottom w:w="65" w:type="dxa"/>
              <w:left w:w="90" w:type="dxa"/>
              <w:right w:w="90" w:type="dxa"/>
            </w:tcMar>
          </w:tcPr>
          <w:p>
            <w:pPr>
              <w:spacing w:after="0" w:line="247" w:lineRule="auto"/>
              <w:jc w:val="left"/>
            </w:pPr>
            <w:hyperlink r:id="rId64">
              <w:r>
                <w:rPr>
                  <w:color w:val="1F4E79"/>
                  <w:u w:val="single"/>
                </w:rPr>
                <w:t>Abrir material</w:t>
              </w:r>
            </w:hyperlink>
          </w:p>
        </w:tc>
        <w:tc>
          <w:tcPr>
            <w:tcW w:type="dxa" w:w="2660"/>
            <w:vAlign w:val="center"/>
            <w:tcMar>
              <w:top w:w="65" w:type="dxa"/>
              <w:bottom w:w="65" w:type="dxa"/>
              <w:left w:w="90" w:type="dxa"/>
              <w:right w:w="90" w:type="dxa"/>
            </w:tcMar>
          </w:tcPr>
          <w:p>
            <w:pPr>
              <w:spacing w:after="0" w:line="247" w:lineRule="auto"/>
              <w:jc w:val="left"/>
            </w:pPr>
            <w:r>
              <w:rPr>
                <w:rFonts w:ascii="Times New Roman" w:hAnsi="Times New Roman"/>
                <w:sz w:val="19"/>
              </w:rPr>
              <w:t>Público</w:t>
            </w:r>
          </w:p>
        </w:tc>
      </w:tr>
      <w:tr>
        <w:trPr>
          <w:cantSplit/>
        </w:trPr>
        <w:tc>
          <w:tcPr>
            <w:tcW w:type="dxa" w:w="4744"/>
            <w:vAlign w:val="center"/>
            <w:tcMar>
              <w:top w:w="65" w:type="dxa"/>
              <w:bottom w:w="65" w:type="dxa"/>
              <w:left w:w="90" w:type="dxa"/>
              <w:right w:w="90" w:type="dxa"/>
            </w:tcMar>
          </w:tcPr>
          <w:p>
            <w:pPr>
              <w:spacing w:after="0" w:line="247" w:lineRule="auto"/>
              <w:jc w:val="left"/>
            </w:pPr>
            <w:r>
              <w:rPr>
                <w:rFonts w:ascii="Times New Roman" w:hAnsi="Times New Roman"/>
                <w:sz w:val="19"/>
              </w:rPr>
              <w:t>Dados públicos de origem</w:t>
            </w:r>
          </w:p>
        </w:tc>
        <w:tc>
          <w:tcPr>
            <w:tcW w:type="dxa" w:w="2228"/>
            <w:vAlign w:val="center"/>
            <w:tcMar>
              <w:top w:w="65" w:type="dxa"/>
              <w:bottom w:w="65" w:type="dxa"/>
              <w:left w:w="90" w:type="dxa"/>
              <w:right w:w="90" w:type="dxa"/>
            </w:tcMar>
          </w:tcPr>
          <w:p>
            <w:pPr>
              <w:spacing w:after="0" w:line="247" w:lineRule="auto"/>
              <w:jc w:val="left"/>
            </w:pPr>
            <w:hyperlink r:id="rId51">
              <w:r>
                <w:rPr>
                  <w:color w:val="1F4E79"/>
                  <w:u w:val="single"/>
                </w:rPr>
                <w:t>CAMPD da EPA</w:t>
              </w:r>
            </w:hyperlink>
          </w:p>
        </w:tc>
        <w:tc>
          <w:tcPr>
            <w:tcW w:type="dxa" w:w="2660"/>
            <w:vAlign w:val="center"/>
            <w:tcMar>
              <w:top w:w="65" w:type="dxa"/>
              <w:bottom w:w="65" w:type="dxa"/>
              <w:left w:w="90" w:type="dxa"/>
              <w:right w:w="90" w:type="dxa"/>
            </w:tcMar>
          </w:tcPr>
          <w:p>
            <w:pPr>
              <w:spacing w:after="0" w:line="247" w:lineRule="auto"/>
              <w:jc w:val="left"/>
            </w:pPr>
            <w:r>
              <w:rPr>
                <w:rFonts w:ascii="Times New Roman" w:hAnsi="Times New Roman"/>
                <w:sz w:val="19"/>
              </w:rPr>
              <w:t>Público</w:t>
            </w:r>
          </w:p>
        </w:tc>
      </w:tr>
      <w:tr>
        <w:trPr>
          <w:cantSplit/>
        </w:trPr>
        <w:tc>
          <w:tcPr>
            <w:tcW w:type="dxa" w:w="4744"/>
            <w:vAlign w:val="center"/>
            <w:tcMar>
              <w:top w:w="65" w:type="dxa"/>
              <w:bottom w:w="65" w:type="dxa"/>
              <w:left w:w="90" w:type="dxa"/>
              <w:right w:w="90" w:type="dxa"/>
            </w:tcMar>
          </w:tcPr>
          <w:p>
            <w:pPr>
              <w:spacing w:after="0" w:line="247" w:lineRule="auto"/>
              <w:jc w:val="left"/>
            </w:pPr>
            <w:r>
              <w:rPr>
                <w:rFonts w:ascii="Times New Roman" w:hAnsi="Times New Roman"/>
                <w:sz w:val="19"/>
              </w:rPr>
              <w:t>Arquivos preservados e pacote complementar</w:t>
            </w:r>
          </w:p>
        </w:tc>
        <w:tc>
          <w:tcPr>
            <w:tcW w:type="dxa" w:w="2228"/>
            <w:vAlign w:val="center"/>
            <w:tcMar>
              <w:top w:w="65" w:type="dxa"/>
              <w:bottom w:w="65" w:type="dxa"/>
              <w:left w:w="90" w:type="dxa"/>
              <w:right w:w="90" w:type="dxa"/>
            </w:tcMar>
          </w:tcPr>
          <w:p>
            <w:pPr>
              <w:spacing w:after="0" w:line="247" w:lineRule="auto"/>
              <w:jc w:val="left"/>
            </w:pPr>
            <w:hyperlink r:id="rId65">
              <w:r>
                <w:rPr>
                  <w:color w:val="1F4E79"/>
                  <w:u w:val="single"/>
                </w:rPr>
                <w:t>Pacote de reprodução</w:t>
              </w:r>
            </w:hyperlink>
          </w:p>
        </w:tc>
        <w:tc>
          <w:tcPr>
            <w:tcW w:type="dxa" w:w="2660"/>
            <w:vAlign w:val="center"/>
            <w:tcMar>
              <w:top w:w="65" w:type="dxa"/>
              <w:bottom w:w="65" w:type="dxa"/>
              <w:left w:w="90" w:type="dxa"/>
              <w:right w:w="90" w:type="dxa"/>
            </w:tcMar>
          </w:tcPr>
          <w:p>
            <w:pPr>
              <w:spacing w:after="0" w:line="247" w:lineRule="auto"/>
              <w:jc w:val="left"/>
            </w:pPr>
            <w:r>
              <w:rPr>
                <w:rFonts w:ascii="Times New Roman" w:hAnsi="Times New Roman"/>
                <w:sz w:val="19"/>
              </w:rPr>
              <w:t>Restrito aos colaboradores autorizados</w:t>
            </w:r>
          </w:p>
        </w:tc>
      </w:tr>
    </w:tbl>
    <w:p>
      <w:pPr>
        <w:pStyle w:val="SupplementText"/>
      </w:pPr>
      <w:r>
        <w:t>No CAMPD, o recorte pode ser localizado pela instalação 6065, unidade 2, com dados horários de emissão e operação de outubro de 2010 a dezembro de 2025. O GitHub contém códigos, tabelas e documentação; os arquivos brutos volumosos permanecem no pacote complementar. O acesso ao portal da EPA não equivale ao acesso às cópias preservadas, cuja identidade é registrada nos manifestos.</w:t>
      </w:r>
    </w:p>
    <w:p>
      <w:pPr>
        <w:pStyle w:val="Heading2"/>
        <w:pageBreakBefore w:val="0"/>
      </w:pPr>
      <w:r>
        <w:t>B1 Reprodução computacional</w:t>
      </w:r>
    </w:p>
    <w:p>
      <w:pPr>
        <w:pStyle w:val="SupplementText"/>
      </w:pPr>
      <w:r>
        <w:t>Em 24 de outubro de 2026, os notebooks de abrangência histórica e de comparação final foram executados integralmente, com um kernel independente e dez células de código em cada um. Os 16 arquivos anuais preservaram seus hashes SHA-256, e a leitura corrigida reuniu 133.704 registros únicos, excluindo o consolidado da lista de entradas. Os manifestos identificam os arquivos de entrada e saída; esses hashes verificam identidade de conteúdo e não funcionam como endereços de acesso.</w:t>
      </w:r>
    </w:p>
    <w:p>
      <w:pPr>
        <w:pStyle w:val="Caption"/>
      </w:pPr>
      <w:r>
        <w:t>Tabela B3 Ambiente da reprodução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35"/>
        <w:gridCol w:w="6397"/>
      </w:tblGrid>
      <w:tr>
        <w:trPr>
          <w:cantSplit/>
          <w:tblHeader/>
        </w:trPr>
        <w:tc>
          <w:tcPr>
            <w:tcW w:type="dxa" w:w="3235"/>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Componente</w:t>
            </w:r>
          </w:p>
        </w:tc>
        <w:tc>
          <w:tcPr>
            <w:tcW w:type="dxa" w:w="6397"/>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Versão ou plataforma</w:t>
            </w:r>
          </w:p>
        </w:tc>
      </w:tr>
      <w:tr>
        <w:trPr>
          <w:cantSplit/>
        </w:trPr>
        <w:tc>
          <w:tcPr>
            <w:tcW w:type="dxa" w:w="3235"/>
            <w:vAlign w:val="center"/>
            <w:tcMar>
              <w:top w:w="65" w:type="dxa"/>
              <w:bottom w:w="65" w:type="dxa"/>
              <w:left w:w="90" w:type="dxa"/>
              <w:right w:w="90" w:type="dxa"/>
            </w:tcMar>
          </w:tcPr>
          <w:p>
            <w:pPr>
              <w:spacing w:after="0" w:line="247" w:lineRule="auto"/>
              <w:jc w:val="left"/>
            </w:pPr>
            <w:r>
              <w:rPr>
                <w:rFonts w:ascii="Times New Roman" w:hAnsi="Times New Roman"/>
                <w:sz w:val="19"/>
              </w:rPr>
              <w:t>Sistema</w:t>
            </w:r>
          </w:p>
        </w:tc>
        <w:tc>
          <w:tcPr>
            <w:tcW w:type="dxa" w:w="6397"/>
            <w:vAlign w:val="center"/>
            <w:tcMar>
              <w:top w:w="65" w:type="dxa"/>
              <w:bottom w:w="65" w:type="dxa"/>
              <w:left w:w="90" w:type="dxa"/>
              <w:right w:w="90" w:type="dxa"/>
            </w:tcMar>
          </w:tcPr>
          <w:p>
            <w:pPr>
              <w:spacing w:after="0" w:line="247" w:lineRule="auto"/>
              <w:jc w:val="left"/>
            </w:pPr>
            <w:r>
              <w:rPr>
                <w:rFonts w:ascii="Times New Roman" w:hAnsi="Times New Roman"/>
                <w:sz w:val="19"/>
              </w:rPr>
              <w:t>Linux x86_64</w:t>
            </w:r>
          </w:p>
        </w:tc>
      </w:tr>
      <w:tr>
        <w:trPr>
          <w:cantSplit/>
        </w:trPr>
        <w:tc>
          <w:tcPr>
            <w:tcW w:type="dxa" w:w="3235"/>
            <w:vAlign w:val="center"/>
            <w:tcMar>
              <w:top w:w="65" w:type="dxa"/>
              <w:bottom w:w="65" w:type="dxa"/>
              <w:left w:w="90" w:type="dxa"/>
              <w:right w:w="90" w:type="dxa"/>
            </w:tcMar>
          </w:tcPr>
          <w:p>
            <w:pPr>
              <w:spacing w:after="0" w:line="247" w:lineRule="auto"/>
              <w:jc w:val="left"/>
            </w:pPr>
            <w:r>
              <w:rPr>
                <w:rFonts w:ascii="Times New Roman" w:hAnsi="Times New Roman"/>
                <w:sz w:val="19"/>
              </w:rPr>
              <w:t>Python</w:t>
            </w:r>
          </w:p>
        </w:tc>
        <w:tc>
          <w:tcPr>
            <w:tcW w:type="dxa" w:w="6397"/>
            <w:vAlign w:val="center"/>
            <w:tcMar>
              <w:top w:w="65" w:type="dxa"/>
              <w:bottom w:w="65" w:type="dxa"/>
              <w:left w:w="90" w:type="dxa"/>
              <w:right w:w="90" w:type="dxa"/>
            </w:tcMar>
          </w:tcPr>
          <w:p>
            <w:pPr>
              <w:spacing w:after="0" w:line="247" w:lineRule="auto"/>
              <w:jc w:val="left"/>
            </w:pPr>
            <w:r>
              <w:rPr>
                <w:rFonts w:ascii="Times New Roman" w:hAnsi="Times New Roman"/>
                <w:sz w:val="19"/>
              </w:rPr>
              <w:t>3.12.14</w:t>
            </w:r>
          </w:p>
        </w:tc>
      </w:tr>
      <w:tr>
        <w:trPr>
          <w:cantSplit/>
        </w:trPr>
        <w:tc>
          <w:tcPr>
            <w:tcW w:type="dxa" w:w="3235"/>
            <w:vAlign w:val="center"/>
            <w:tcMar>
              <w:top w:w="65" w:type="dxa"/>
              <w:bottom w:w="65" w:type="dxa"/>
              <w:left w:w="90" w:type="dxa"/>
              <w:right w:w="90" w:type="dxa"/>
            </w:tcMar>
          </w:tcPr>
          <w:p>
            <w:pPr>
              <w:spacing w:after="0" w:line="247" w:lineRule="auto"/>
              <w:jc w:val="left"/>
            </w:pPr>
            <w:r>
              <w:rPr>
                <w:rFonts w:ascii="Times New Roman" w:hAnsi="Times New Roman"/>
                <w:sz w:val="19"/>
              </w:rPr>
              <w:t>XGBoost</w:t>
            </w:r>
          </w:p>
        </w:tc>
        <w:tc>
          <w:tcPr>
            <w:tcW w:type="dxa" w:w="6397"/>
            <w:vAlign w:val="center"/>
            <w:tcMar>
              <w:top w:w="65" w:type="dxa"/>
              <w:bottom w:w="65" w:type="dxa"/>
              <w:left w:w="90" w:type="dxa"/>
              <w:right w:w="90" w:type="dxa"/>
            </w:tcMar>
          </w:tcPr>
          <w:p>
            <w:pPr>
              <w:spacing w:after="0" w:line="247" w:lineRule="auto"/>
              <w:jc w:val="left"/>
            </w:pPr>
            <w:r>
              <w:rPr>
                <w:rFonts w:ascii="Times New Roman" w:hAnsi="Times New Roman"/>
                <w:sz w:val="19"/>
              </w:rPr>
              <w:t>3.4.1</w:t>
            </w:r>
          </w:p>
        </w:tc>
      </w:tr>
      <w:tr>
        <w:trPr>
          <w:cantSplit/>
        </w:trPr>
        <w:tc>
          <w:tcPr>
            <w:tcW w:type="dxa" w:w="3235"/>
            <w:vAlign w:val="center"/>
            <w:tcMar>
              <w:top w:w="65" w:type="dxa"/>
              <w:bottom w:w="65" w:type="dxa"/>
              <w:left w:w="90" w:type="dxa"/>
              <w:right w:w="90" w:type="dxa"/>
            </w:tcMar>
          </w:tcPr>
          <w:p>
            <w:pPr>
              <w:spacing w:after="0" w:line="247" w:lineRule="auto"/>
              <w:jc w:val="left"/>
            </w:pPr>
            <w:r>
              <w:rPr>
                <w:rFonts w:ascii="Times New Roman" w:hAnsi="Times New Roman"/>
                <w:sz w:val="19"/>
              </w:rPr>
              <w:t>pandas</w:t>
            </w:r>
          </w:p>
        </w:tc>
        <w:tc>
          <w:tcPr>
            <w:tcW w:type="dxa" w:w="6397"/>
            <w:vAlign w:val="center"/>
            <w:tcMar>
              <w:top w:w="65" w:type="dxa"/>
              <w:bottom w:w="65" w:type="dxa"/>
              <w:left w:w="90" w:type="dxa"/>
              <w:right w:w="90" w:type="dxa"/>
            </w:tcMar>
          </w:tcPr>
          <w:p>
            <w:pPr>
              <w:spacing w:after="0" w:line="247" w:lineRule="auto"/>
              <w:jc w:val="left"/>
            </w:pPr>
            <w:r>
              <w:rPr>
                <w:rFonts w:ascii="Times New Roman" w:hAnsi="Times New Roman"/>
                <w:sz w:val="19"/>
              </w:rPr>
              <w:t>2.2.3</w:t>
            </w:r>
          </w:p>
        </w:tc>
      </w:tr>
      <w:tr>
        <w:trPr>
          <w:cantSplit/>
        </w:trPr>
        <w:tc>
          <w:tcPr>
            <w:tcW w:type="dxa" w:w="3235"/>
            <w:vAlign w:val="center"/>
            <w:tcMar>
              <w:top w:w="65" w:type="dxa"/>
              <w:bottom w:w="65" w:type="dxa"/>
              <w:left w:w="90" w:type="dxa"/>
              <w:right w:w="90" w:type="dxa"/>
            </w:tcMar>
          </w:tcPr>
          <w:p>
            <w:pPr>
              <w:spacing w:after="0" w:line="247" w:lineRule="auto"/>
              <w:jc w:val="left"/>
            </w:pPr>
            <w:r>
              <w:rPr>
                <w:rFonts w:ascii="Times New Roman" w:hAnsi="Times New Roman"/>
                <w:sz w:val="19"/>
              </w:rPr>
              <w:t>NumPy</w:t>
            </w:r>
          </w:p>
        </w:tc>
        <w:tc>
          <w:tcPr>
            <w:tcW w:type="dxa" w:w="6397"/>
            <w:vAlign w:val="center"/>
            <w:tcMar>
              <w:top w:w="65" w:type="dxa"/>
              <w:bottom w:w="65" w:type="dxa"/>
              <w:left w:w="90" w:type="dxa"/>
              <w:right w:w="90" w:type="dxa"/>
            </w:tcMar>
          </w:tcPr>
          <w:p>
            <w:pPr>
              <w:spacing w:after="0" w:line="247" w:lineRule="auto"/>
              <w:jc w:val="left"/>
            </w:pPr>
            <w:r>
              <w:rPr>
                <w:rFonts w:ascii="Times New Roman" w:hAnsi="Times New Roman"/>
                <w:sz w:val="19"/>
              </w:rPr>
              <w:t>2.3.5</w:t>
            </w:r>
          </w:p>
        </w:tc>
      </w:tr>
      <w:tr>
        <w:trPr>
          <w:cantSplit/>
        </w:trPr>
        <w:tc>
          <w:tcPr>
            <w:tcW w:type="dxa" w:w="3235"/>
            <w:vAlign w:val="center"/>
            <w:tcMar>
              <w:top w:w="65" w:type="dxa"/>
              <w:bottom w:w="65" w:type="dxa"/>
              <w:left w:w="90" w:type="dxa"/>
              <w:right w:w="90" w:type="dxa"/>
            </w:tcMar>
          </w:tcPr>
          <w:p>
            <w:pPr>
              <w:spacing w:after="0" w:line="247" w:lineRule="auto"/>
              <w:jc w:val="left"/>
            </w:pPr>
            <w:r>
              <w:rPr>
                <w:rFonts w:ascii="Times New Roman" w:hAnsi="Times New Roman"/>
                <w:sz w:val="19"/>
              </w:rPr>
              <w:t>scikit-learn</w:t>
            </w:r>
          </w:p>
        </w:tc>
        <w:tc>
          <w:tcPr>
            <w:tcW w:type="dxa" w:w="6397"/>
            <w:vAlign w:val="center"/>
            <w:tcMar>
              <w:top w:w="65" w:type="dxa"/>
              <w:bottom w:w="65" w:type="dxa"/>
              <w:left w:w="90" w:type="dxa"/>
              <w:right w:w="90" w:type="dxa"/>
            </w:tcMar>
          </w:tcPr>
          <w:p>
            <w:pPr>
              <w:spacing w:after="0" w:line="247" w:lineRule="auto"/>
              <w:jc w:val="left"/>
            </w:pPr>
            <w:r>
              <w:rPr>
                <w:rFonts w:ascii="Times New Roman" w:hAnsi="Times New Roman"/>
                <w:sz w:val="19"/>
              </w:rPr>
              <w:t>1.8.0</w:t>
            </w:r>
          </w:p>
        </w:tc>
      </w:tr>
    </w:tbl>
    <w:p>
      <w:pPr>
        <w:pStyle w:val="SupplementText"/>
      </w:pPr>
      <w:r>
        <w:t>As correções abrangeram leitura dos arquivos anuais, integridade, sintaxe e relatórios, preservando atributos, amostras, parâmetros e sementes. Sete CSVs coincidiram byte a byte com as referências; nove tabelas Parquet de previsões, bases e amostras conservaram valores, tipos e ordenação após alinhamento temporal, com diferenças apenas de serialização. Não houve novo treinamento das MLPs nem reexecução das etapas anteriores. O ambiente registrado corresponde à reprodução, sem pressupor recuperação integral do ambiente original do Colab.</w:t>
      </w:r>
    </w:p>
    <w:p>
      <w:pPr/>
      <w:r>
        <w:t>Na atualização de 29 de outubro de 2026, foram inspecionadas as oito execuções principais e os complementos 03A.05A, 03A.05B e 03A.05C. A conferência final dos três complementos reuniu 376 verificações aprovadas, sem novo treinamento local.</w:t>
      </w:r>
    </w:p>
    <w:p>
      <w:pPr>
        <w:pStyle w:val="Heading2"/>
        <w:pageBreakBefore w:val="0"/>
      </w:pPr>
      <w:r>
        <w:t>B2 Auditoria documental do monitoramento</w:t>
      </w:r>
    </w:p>
    <w:p>
      <w:pPr>
        <w:pStyle w:val="SupplementText"/>
      </w:pPr>
      <w:r>
        <w:t>A auditoria confrontou o XML preservado do plano da unidade com uma exportação oficial do ECMPS, ambos atualizados em janeiro de 2026. O ZIP público da EPA e o original preservado apresentaram o mesmo SHA-256; as fontes concordaram nos 24 registros de CO₂ e fluxo examinados. O método CO₂/CEM e a rotina SPTS têm vigência desde 1º de outubro de 2010, sem término declarado. A fórmula F-11 está registrada desde o mesmo início. As datas finais foram tratadas como inclusivas (United States, 2024); o alvo reportado não foi recalculado.</w:t>
      </w:r>
    </w:p>
    <w:p>
      <w:pPr>
        <w:pStyle w:val="Caption"/>
      </w:pPr>
      <w:r>
        <w:t>Tabela B4 Cobertura e indicadores do monitoramento entre 2011 e 2025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53"/>
        <w:gridCol w:w="2156"/>
        <w:gridCol w:w="3522"/>
      </w:tblGrid>
      <w:tr>
        <w:trPr>
          <w:cantSplit/>
          <w:tblHeader/>
        </w:trPr>
        <w:tc>
          <w:tcPr>
            <w:tcW w:type="dxa" w:w="3953"/>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Registro</w:t>
            </w:r>
          </w:p>
        </w:tc>
        <w:tc>
          <w:tcPr>
            <w:tcW w:type="dxa" w:w="2156"/>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Quantidade</w:t>
            </w:r>
          </w:p>
        </w:tc>
        <w:tc>
          <w:tcPr>
            <w:tcW w:type="dxa" w:w="3522"/>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Proporção das horas ON</w:t>
            </w:r>
          </w:p>
        </w:tc>
      </w:tr>
      <w:tr>
        <w:trPr>
          <w:cantSplit/>
        </w:trPr>
        <w:tc>
          <w:tcPr>
            <w:tcW w:type="dxa" w:w="3953"/>
            <w:vAlign w:val="center"/>
            <w:tcMar>
              <w:top w:w="65" w:type="dxa"/>
              <w:bottom w:w="65" w:type="dxa"/>
              <w:left w:w="90" w:type="dxa"/>
              <w:right w:w="90" w:type="dxa"/>
            </w:tcMar>
          </w:tcPr>
          <w:p>
            <w:pPr>
              <w:spacing w:after="0" w:line="247" w:lineRule="auto"/>
              <w:jc w:val="left"/>
            </w:pPr>
            <w:r>
              <w:rPr>
                <w:rFonts w:ascii="Times New Roman" w:hAnsi="Times New Roman"/>
                <w:sz w:val="19"/>
              </w:rPr>
              <w:t>Calendário de 2011 a 2025</w:t>
            </w:r>
          </w:p>
        </w:tc>
        <w:tc>
          <w:tcPr>
            <w:tcW w:type="dxa" w:w="2156"/>
            <w:vAlign w:val="center"/>
            <w:tcMar>
              <w:top w:w="65" w:type="dxa"/>
              <w:bottom w:w="65" w:type="dxa"/>
              <w:left w:w="90" w:type="dxa"/>
              <w:right w:w="90" w:type="dxa"/>
            </w:tcMar>
          </w:tcPr>
          <w:p>
            <w:pPr>
              <w:spacing w:after="0" w:line="247" w:lineRule="auto"/>
              <w:jc w:val="left"/>
            </w:pPr>
            <w:r>
              <w:rPr>
                <w:rFonts w:ascii="Times New Roman" w:hAnsi="Times New Roman"/>
                <w:sz w:val="19"/>
              </w:rPr>
              <w:t>131.496</w:t>
            </w:r>
          </w:p>
        </w:tc>
        <w:tc>
          <w:tcPr>
            <w:tcW w:type="dxa" w:w="3522"/>
            <w:vAlign w:val="center"/>
            <w:tcMar>
              <w:top w:w="65" w:type="dxa"/>
              <w:bottom w:w="65" w:type="dxa"/>
              <w:left w:w="90" w:type="dxa"/>
              <w:right w:w="90" w:type="dxa"/>
            </w:tcMar>
          </w:tcPr>
          <w:p>
            <w:pPr>
              <w:spacing w:after="0" w:line="247" w:lineRule="auto"/>
              <w:jc w:val="left"/>
            </w:pPr>
            <w:r>
              <w:rPr>
                <w:rFonts w:ascii="Times New Roman" w:hAnsi="Times New Roman"/>
                <w:sz w:val="19"/>
              </w:rPr>
              <w:t>Não se aplica</w:t>
            </w:r>
          </w:p>
        </w:tc>
      </w:tr>
      <w:tr>
        <w:trPr>
          <w:cantSplit/>
        </w:trPr>
        <w:tc>
          <w:tcPr>
            <w:tcW w:type="dxa" w:w="3953"/>
            <w:vAlign w:val="center"/>
            <w:tcMar>
              <w:top w:w="65" w:type="dxa"/>
              <w:bottom w:w="65" w:type="dxa"/>
              <w:left w:w="90" w:type="dxa"/>
              <w:right w:w="90" w:type="dxa"/>
            </w:tcMar>
          </w:tcPr>
          <w:p>
            <w:pPr>
              <w:spacing w:after="0" w:line="247" w:lineRule="auto"/>
              <w:jc w:val="left"/>
            </w:pPr>
            <w:r>
              <w:rPr>
                <w:rFonts w:ascii="Times New Roman" w:hAnsi="Times New Roman"/>
                <w:sz w:val="19"/>
              </w:rPr>
              <w:t>Horas ON</w:t>
            </w:r>
          </w:p>
        </w:tc>
        <w:tc>
          <w:tcPr>
            <w:tcW w:type="dxa" w:w="2156"/>
            <w:vAlign w:val="center"/>
            <w:tcMar>
              <w:top w:w="65" w:type="dxa"/>
              <w:bottom w:w="65" w:type="dxa"/>
              <w:left w:w="90" w:type="dxa"/>
              <w:right w:w="90" w:type="dxa"/>
            </w:tcMar>
          </w:tcPr>
          <w:p>
            <w:pPr>
              <w:spacing w:after="0" w:line="247" w:lineRule="auto"/>
              <w:jc w:val="left"/>
            </w:pPr>
            <w:r>
              <w:rPr>
                <w:rFonts w:ascii="Times New Roman" w:hAnsi="Times New Roman"/>
                <w:sz w:val="19"/>
              </w:rPr>
              <w:t>98.799</w:t>
            </w:r>
          </w:p>
        </w:tc>
        <w:tc>
          <w:tcPr>
            <w:tcW w:type="dxa" w:w="3522"/>
            <w:vAlign w:val="center"/>
            <w:tcMar>
              <w:top w:w="65" w:type="dxa"/>
              <w:bottom w:w="65" w:type="dxa"/>
              <w:left w:w="90" w:type="dxa"/>
              <w:right w:w="90" w:type="dxa"/>
            </w:tcMar>
          </w:tcPr>
          <w:p>
            <w:pPr>
              <w:spacing w:after="0" w:line="247" w:lineRule="auto"/>
              <w:jc w:val="left"/>
            </w:pPr>
            <w:r>
              <w:rPr>
                <w:rFonts w:ascii="Times New Roman" w:hAnsi="Times New Roman"/>
                <w:sz w:val="19"/>
              </w:rPr>
              <w:t>100%</w:t>
            </w:r>
          </w:p>
        </w:tc>
      </w:tr>
      <w:tr>
        <w:trPr>
          <w:cantSplit/>
        </w:trPr>
        <w:tc>
          <w:tcPr>
            <w:tcW w:type="dxa" w:w="3953"/>
            <w:vAlign w:val="center"/>
            <w:tcMar>
              <w:top w:w="65" w:type="dxa"/>
              <w:bottom w:w="65" w:type="dxa"/>
              <w:left w:w="90" w:type="dxa"/>
              <w:right w:w="90" w:type="dxa"/>
            </w:tcMar>
          </w:tcPr>
          <w:p>
            <w:pPr>
              <w:spacing w:after="0" w:line="247" w:lineRule="auto"/>
              <w:jc w:val="left"/>
            </w:pPr>
            <w:r>
              <w:rPr>
                <w:rFonts w:ascii="Times New Roman" w:hAnsi="Times New Roman"/>
                <w:sz w:val="19"/>
              </w:rPr>
              <w:t>Measured</w:t>
            </w:r>
          </w:p>
        </w:tc>
        <w:tc>
          <w:tcPr>
            <w:tcW w:type="dxa" w:w="2156"/>
            <w:vAlign w:val="center"/>
            <w:tcMar>
              <w:top w:w="65" w:type="dxa"/>
              <w:bottom w:w="65" w:type="dxa"/>
              <w:left w:w="90" w:type="dxa"/>
              <w:right w:w="90" w:type="dxa"/>
            </w:tcMar>
          </w:tcPr>
          <w:p>
            <w:pPr>
              <w:spacing w:after="0" w:line="247" w:lineRule="auto"/>
              <w:jc w:val="left"/>
            </w:pPr>
            <w:r>
              <w:rPr>
                <w:rFonts w:ascii="Times New Roman" w:hAnsi="Times New Roman"/>
                <w:sz w:val="19"/>
              </w:rPr>
              <w:t>98.261</w:t>
            </w:r>
          </w:p>
        </w:tc>
        <w:tc>
          <w:tcPr>
            <w:tcW w:type="dxa" w:w="3522"/>
            <w:vAlign w:val="center"/>
            <w:tcMar>
              <w:top w:w="65" w:type="dxa"/>
              <w:bottom w:w="65" w:type="dxa"/>
              <w:left w:w="90" w:type="dxa"/>
              <w:right w:w="90" w:type="dxa"/>
            </w:tcMar>
          </w:tcPr>
          <w:p>
            <w:pPr>
              <w:spacing w:after="0" w:line="247" w:lineRule="auto"/>
              <w:jc w:val="left"/>
            </w:pPr>
            <w:r>
              <w:rPr>
                <w:rFonts w:ascii="Times New Roman" w:hAnsi="Times New Roman"/>
                <w:sz w:val="19"/>
              </w:rPr>
              <w:t>99,4555%</w:t>
            </w:r>
          </w:p>
        </w:tc>
      </w:tr>
      <w:tr>
        <w:trPr>
          <w:cantSplit/>
        </w:trPr>
        <w:tc>
          <w:tcPr>
            <w:tcW w:type="dxa" w:w="3953"/>
            <w:vAlign w:val="center"/>
            <w:tcMar>
              <w:top w:w="65" w:type="dxa"/>
              <w:bottom w:w="65" w:type="dxa"/>
              <w:left w:w="90" w:type="dxa"/>
              <w:right w:w="90" w:type="dxa"/>
            </w:tcMar>
          </w:tcPr>
          <w:p>
            <w:pPr>
              <w:spacing w:after="0" w:line="247" w:lineRule="auto"/>
              <w:jc w:val="left"/>
            </w:pPr>
            <w:r>
              <w:rPr>
                <w:rFonts w:ascii="Times New Roman" w:hAnsi="Times New Roman"/>
                <w:sz w:val="19"/>
              </w:rPr>
              <w:t>Measured and Substitute</w:t>
            </w:r>
          </w:p>
        </w:tc>
        <w:tc>
          <w:tcPr>
            <w:tcW w:type="dxa" w:w="2156"/>
            <w:vAlign w:val="center"/>
            <w:tcMar>
              <w:top w:w="65" w:type="dxa"/>
              <w:bottom w:w="65" w:type="dxa"/>
              <w:left w:w="90" w:type="dxa"/>
              <w:right w:w="90" w:type="dxa"/>
            </w:tcMar>
          </w:tcPr>
          <w:p>
            <w:pPr>
              <w:spacing w:after="0" w:line="247" w:lineRule="auto"/>
              <w:jc w:val="left"/>
            </w:pPr>
            <w:r>
              <w:rPr>
                <w:rFonts w:ascii="Times New Roman" w:hAnsi="Times New Roman"/>
                <w:sz w:val="19"/>
              </w:rPr>
              <w:t>425</w:t>
            </w:r>
          </w:p>
        </w:tc>
        <w:tc>
          <w:tcPr>
            <w:tcW w:type="dxa" w:w="3522"/>
            <w:vAlign w:val="center"/>
            <w:tcMar>
              <w:top w:w="65" w:type="dxa"/>
              <w:bottom w:w="65" w:type="dxa"/>
              <w:left w:w="90" w:type="dxa"/>
              <w:right w:w="90" w:type="dxa"/>
            </w:tcMar>
          </w:tcPr>
          <w:p>
            <w:pPr>
              <w:spacing w:after="0" w:line="247" w:lineRule="auto"/>
              <w:jc w:val="left"/>
            </w:pPr>
            <w:r>
              <w:rPr>
                <w:rFonts w:ascii="Times New Roman" w:hAnsi="Times New Roman"/>
                <w:sz w:val="19"/>
              </w:rPr>
              <w:t>0,4302%</w:t>
            </w:r>
          </w:p>
        </w:tc>
      </w:tr>
      <w:tr>
        <w:trPr>
          <w:cantSplit/>
        </w:trPr>
        <w:tc>
          <w:tcPr>
            <w:tcW w:type="dxa" w:w="3953"/>
            <w:vAlign w:val="center"/>
            <w:tcMar>
              <w:top w:w="65" w:type="dxa"/>
              <w:bottom w:w="65" w:type="dxa"/>
              <w:left w:w="90" w:type="dxa"/>
              <w:right w:w="90" w:type="dxa"/>
            </w:tcMar>
          </w:tcPr>
          <w:p>
            <w:pPr>
              <w:spacing w:after="0" w:line="247" w:lineRule="auto"/>
              <w:jc w:val="left"/>
            </w:pPr>
            <w:r>
              <w:rPr>
                <w:rFonts w:ascii="Times New Roman" w:hAnsi="Times New Roman"/>
                <w:sz w:val="19"/>
              </w:rPr>
              <w:t>Substitute</w:t>
            </w:r>
          </w:p>
        </w:tc>
        <w:tc>
          <w:tcPr>
            <w:tcW w:type="dxa" w:w="2156"/>
            <w:vAlign w:val="center"/>
            <w:tcMar>
              <w:top w:w="65" w:type="dxa"/>
              <w:bottom w:w="65" w:type="dxa"/>
              <w:left w:w="90" w:type="dxa"/>
              <w:right w:w="90" w:type="dxa"/>
            </w:tcMar>
          </w:tcPr>
          <w:p>
            <w:pPr>
              <w:spacing w:after="0" w:line="247" w:lineRule="auto"/>
              <w:jc w:val="left"/>
            </w:pPr>
            <w:r>
              <w:rPr>
                <w:rFonts w:ascii="Times New Roman" w:hAnsi="Times New Roman"/>
                <w:sz w:val="19"/>
              </w:rPr>
              <w:t>113</w:t>
            </w:r>
          </w:p>
        </w:tc>
        <w:tc>
          <w:tcPr>
            <w:tcW w:type="dxa" w:w="3522"/>
            <w:vAlign w:val="center"/>
            <w:tcMar>
              <w:top w:w="65" w:type="dxa"/>
              <w:bottom w:w="65" w:type="dxa"/>
              <w:left w:w="90" w:type="dxa"/>
              <w:right w:w="90" w:type="dxa"/>
            </w:tcMar>
          </w:tcPr>
          <w:p>
            <w:pPr>
              <w:spacing w:after="0" w:line="247" w:lineRule="auto"/>
              <w:jc w:val="left"/>
            </w:pPr>
            <w:r>
              <w:rPr>
                <w:rFonts w:ascii="Times New Roman" w:hAnsi="Times New Roman"/>
                <w:sz w:val="19"/>
              </w:rPr>
              <w:t>0,1144%</w:t>
            </w:r>
          </w:p>
        </w:tc>
      </w:tr>
    </w:tbl>
    <w:p>
      <w:pPr>
        <w:pStyle w:val="Caption"/>
      </w:pPr>
      <w:r>
        <w:t>Tabela B5 Alterações documentadas nos componentes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07"/>
        <w:gridCol w:w="6325"/>
      </w:tblGrid>
      <w:tr>
        <w:trPr>
          <w:cantSplit/>
          <w:tblHeader/>
        </w:trPr>
        <w:tc>
          <w:tcPr>
            <w:tcW w:type="dxa" w:w="3307"/>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Data e hora</w:t>
            </w:r>
          </w:p>
        </w:tc>
        <w:tc>
          <w:tcPr>
            <w:tcW w:type="dxa" w:w="6325"/>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Alteração registrada</w:t>
            </w:r>
          </w:p>
        </w:tc>
      </w:tr>
      <w:tr>
        <w:trPr>
          <w:cantSplit/>
        </w:trPr>
        <w:tc>
          <w:tcPr>
            <w:tcW w:type="dxa" w:w="3307"/>
            <w:vAlign w:val="center"/>
            <w:tcMar>
              <w:top w:w="65" w:type="dxa"/>
              <w:bottom w:w="65" w:type="dxa"/>
              <w:left w:w="90" w:type="dxa"/>
              <w:right w:w="90" w:type="dxa"/>
            </w:tcMar>
          </w:tcPr>
          <w:p>
            <w:pPr>
              <w:spacing w:after="0" w:line="247" w:lineRule="auto"/>
              <w:jc w:val="left"/>
            </w:pPr>
            <w:r>
              <w:rPr>
                <w:rFonts w:ascii="Times New Roman" w:hAnsi="Times New Roman"/>
                <w:sz w:val="19"/>
              </w:rPr>
              <w:t>28 de agosto de 2017, 10h</w:t>
            </w:r>
          </w:p>
        </w:tc>
        <w:tc>
          <w:tcPr>
            <w:tcW w:type="dxa" w:w="6325"/>
            <w:vAlign w:val="center"/>
            <w:tcMar>
              <w:top w:w="65" w:type="dxa"/>
              <w:bottom w:w="65" w:type="dxa"/>
              <w:left w:w="90" w:type="dxa"/>
              <w:right w:w="90" w:type="dxa"/>
            </w:tcMar>
          </w:tcPr>
          <w:p>
            <w:pPr>
              <w:spacing w:after="0" w:line="247" w:lineRule="auto"/>
              <w:jc w:val="left"/>
            </w:pPr>
            <w:r>
              <w:rPr>
                <w:rFonts w:ascii="Times New Roman" w:hAnsi="Times New Roman"/>
                <w:sz w:val="19"/>
              </w:rPr>
              <w:t>Substituição do registrador.</w:t>
            </w:r>
          </w:p>
        </w:tc>
      </w:tr>
      <w:tr>
        <w:trPr>
          <w:cantSplit/>
        </w:trPr>
        <w:tc>
          <w:tcPr>
            <w:tcW w:type="dxa" w:w="3307"/>
            <w:vAlign w:val="center"/>
            <w:tcMar>
              <w:top w:w="65" w:type="dxa"/>
              <w:bottom w:w="65" w:type="dxa"/>
              <w:left w:w="90" w:type="dxa"/>
              <w:right w:w="90" w:type="dxa"/>
            </w:tcMar>
          </w:tcPr>
          <w:p>
            <w:pPr>
              <w:spacing w:after="0" w:line="247" w:lineRule="auto"/>
              <w:jc w:val="left"/>
            </w:pPr>
            <w:r>
              <w:rPr>
                <w:rFonts w:ascii="Times New Roman" w:hAnsi="Times New Roman"/>
                <w:sz w:val="19"/>
              </w:rPr>
              <w:t>4 de janeiro de 2018, 15h</w:t>
            </w:r>
          </w:p>
        </w:tc>
        <w:tc>
          <w:tcPr>
            <w:tcW w:type="dxa" w:w="6325"/>
            <w:vAlign w:val="center"/>
            <w:tcMar>
              <w:top w:w="65" w:type="dxa"/>
              <w:bottom w:w="65" w:type="dxa"/>
              <w:left w:w="90" w:type="dxa"/>
              <w:right w:w="90" w:type="dxa"/>
            </w:tcMar>
          </w:tcPr>
          <w:p>
            <w:pPr>
              <w:spacing w:after="0" w:line="247" w:lineRule="auto"/>
              <w:jc w:val="left"/>
            </w:pPr>
            <w:r>
              <w:rPr>
                <w:rFonts w:ascii="Times New Roman" w:hAnsi="Times New Roman"/>
                <w:sz w:val="19"/>
              </w:rPr>
              <w:t>Mudança do sistema de aquisição e tratamento de dados.</w:t>
            </w:r>
          </w:p>
        </w:tc>
      </w:tr>
      <w:tr>
        <w:trPr>
          <w:cantSplit/>
        </w:trPr>
        <w:tc>
          <w:tcPr>
            <w:tcW w:type="dxa" w:w="3307"/>
            <w:vAlign w:val="center"/>
            <w:tcMar>
              <w:top w:w="65" w:type="dxa"/>
              <w:bottom w:w="65" w:type="dxa"/>
              <w:left w:w="90" w:type="dxa"/>
              <w:right w:w="90" w:type="dxa"/>
            </w:tcMar>
          </w:tcPr>
          <w:p>
            <w:pPr>
              <w:spacing w:after="0" w:line="247" w:lineRule="auto"/>
              <w:jc w:val="left"/>
            </w:pPr>
            <w:r>
              <w:rPr>
                <w:rFonts w:ascii="Times New Roman" w:hAnsi="Times New Roman"/>
                <w:sz w:val="19"/>
              </w:rPr>
              <w:t>18 de setembro de 2024, 10h</w:t>
            </w:r>
          </w:p>
        </w:tc>
        <w:tc>
          <w:tcPr>
            <w:tcW w:type="dxa" w:w="6325"/>
            <w:vAlign w:val="center"/>
            <w:tcMar>
              <w:top w:w="65" w:type="dxa"/>
              <w:bottom w:w="65" w:type="dxa"/>
              <w:left w:w="90" w:type="dxa"/>
              <w:right w:w="90" w:type="dxa"/>
            </w:tcMar>
          </w:tcPr>
          <w:p>
            <w:pPr>
              <w:spacing w:after="0" w:line="247" w:lineRule="auto"/>
              <w:jc w:val="left"/>
            </w:pPr>
            <w:r>
              <w:rPr>
                <w:rFonts w:ascii="Times New Roman" w:hAnsi="Times New Roman"/>
                <w:sz w:val="19"/>
              </w:rPr>
              <w:t>Substituição do analisador e da sonda de CO₂.</w:t>
            </w:r>
          </w:p>
        </w:tc>
      </w:tr>
    </w:tbl>
    <w:p>
      <w:pPr>
        <w:pStyle w:val="SupplementText"/>
        <w:keepLines/>
        <w:spacing w:line="252" w:lineRule="auto" w:after="60"/>
      </w:pPr>
      <w:r>
        <w:rPr>
          <w:sz w:val="21"/>
        </w:rPr>
        <w:t>Não foram identificadas lacunas temporais, timestamps duplicados, indicadores ausentes em horas ON ou lacunas e sobreposições nas associações de componentes verificadas. A categoria mista não informa a fração intrahorária substituída. Como os documentos são posteriores aos períodos analisados, essa verificação não demonstra estabilidade instrumental ou metrológica.</w:t>
      </w:r>
    </w:p>
    <w:p>
      <w:pPr>
        <w:pStyle w:val="Heading1"/>
        <w:pageBreakBefore/>
      </w:pPr>
      <w:r>
        <w:t>Apêndice C Resultados complementares</w:t>
      </w:r>
    </w:p>
    <w:p>
      <w:pPr>
        <w:pStyle w:val="SupplementText"/>
      </w:pPr>
      <w:r>
        <w:t>Os erros absolutos são expressos em short tons de CO₂ por registro horário. As etapas possuem critérios de seleção próprios e não constituem uma sequência de melhorias isoladas.</w:t>
      </w:r>
    </w:p>
    <w:p>
      <w:pPr>
        <w:pStyle w:val="Caption"/>
      </w:pPr>
      <w:r>
        <w:t>Tabela C1 Validação e teste das etapas intermediárias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13"/>
        <w:gridCol w:w="1006"/>
        <w:gridCol w:w="1438"/>
        <w:gridCol w:w="1438"/>
        <w:gridCol w:w="1438"/>
      </w:tblGrid>
      <w:tr>
        <w:trPr>
          <w:cantSplit/>
          <w:tblHeader/>
        </w:trPr>
        <w:tc>
          <w:tcPr>
            <w:tcW w:type="dxa" w:w="4313"/>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Etapa e amostra</w:t>
            </w:r>
          </w:p>
        </w:tc>
        <w:tc>
          <w:tcPr>
            <w:tcW w:type="dxa" w:w="1006"/>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Métrica</w:t>
            </w:r>
          </w:p>
        </w:tc>
        <w:tc>
          <w:tcPr>
            <w:tcW w:type="dxa" w:w="1438"/>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A</w:t>
            </w:r>
          </w:p>
        </w:tc>
        <w:tc>
          <w:tcPr>
            <w:tcW w:type="dxa" w:w="1438"/>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B</w:t>
            </w:r>
          </w:p>
        </w:tc>
        <w:tc>
          <w:tcPr>
            <w:tcW w:type="dxa" w:w="1438"/>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C</w:t>
            </w:r>
          </w:p>
        </w:tc>
      </w:tr>
      <w:tr>
        <w:trPr>
          <w:cantSplit/>
        </w:trPr>
        <w:tc>
          <w:tcPr>
            <w:tcW w:type="dxa" w:w="4313"/>
            <w:vAlign w:val="center"/>
            <w:tcMar>
              <w:top w:w="65" w:type="dxa"/>
              <w:bottom w:w="65" w:type="dxa"/>
              <w:left w:w="90" w:type="dxa"/>
              <w:right w:w="90" w:type="dxa"/>
            </w:tcMar>
          </w:tcPr>
          <w:p>
            <w:pPr>
              <w:spacing w:after="0" w:line="247" w:lineRule="auto"/>
              <w:jc w:val="left"/>
            </w:pPr>
            <w:r>
              <w:rPr>
                <w:rFonts w:ascii="Times New Roman" w:hAnsi="Times New Roman"/>
                <w:sz w:val="19"/>
              </w:rPr>
              <w:t>XGBoost de referência, média das validações</w:t>
            </w:r>
          </w:p>
        </w:tc>
        <w:tc>
          <w:tcPr>
            <w:tcW w:type="dxa" w:w="1006"/>
            <w:vAlign w:val="center"/>
            <w:tcMar>
              <w:top w:w="65" w:type="dxa"/>
              <w:bottom w:w="65" w:type="dxa"/>
              <w:left w:w="90" w:type="dxa"/>
              <w:right w:w="90" w:type="dxa"/>
            </w:tcMar>
          </w:tcPr>
          <w:p>
            <w:pPr>
              <w:spacing w:after="0" w:line="247" w:lineRule="auto"/>
              <w:jc w:val="left"/>
            </w:pPr>
            <w:r>
              <w:rPr>
                <w:rFonts w:ascii="Times New Roman" w:hAnsi="Times New Roman"/>
                <w:sz w:val="19"/>
              </w:rPr>
              <w:t>MAE</w:t>
            </w:r>
          </w:p>
        </w:tc>
        <w:tc>
          <w:tcPr>
            <w:tcW w:type="dxa" w:w="1438"/>
            <w:vAlign w:val="center"/>
            <w:tcMar>
              <w:top w:w="65" w:type="dxa"/>
              <w:bottom w:w="65" w:type="dxa"/>
              <w:left w:w="90" w:type="dxa"/>
              <w:right w:w="90" w:type="dxa"/>
            </w:tcMar>
          </w:tcPr>
          <w:p>
            <w:pPr>
              <w:spacing w:after="0" w:line="247" w:lineRule="auto"/>
              <w:jc w:val="left"/>
            </w:pPr>
            <w:r>
              <w:rPr>
                <w:rFonts w:ascii="Times New Roman" w:hAnsi="Times New Roman"/>
                <w:sz w:val="19"/>
              </w:rPr>
              <w:t>56,6132</w:t>
            </w:r>
          </w:p>
        </w:tc>
        <w:tc>
          <w:tcPr>
            <w:tcW w:type="dxa" w:w="1438"/>
            <w:vAlign w:val="center"/>
            <w:tcMar>
              <w:top w:w="65" w:type="dxa"/>
              <w:bottom w:w="65" w:type="dxa"/>
              <w:left w:w="90" w:type="dxa"/>
              <w:right w:w="90" w:type="dxa"/>
            </w:tcMar>
          </w:tcPr>
          <w:p>
            <w:pPr>
              <w:spacing w:after="0" w:line="247" w:lineRule="auto"/>
              <w:jc w:val="left"/>
            </w:pPr>
            <w:r>
              <w:rPr>
                <w:rFonts w:ascii="Times New Roman" w:hAnsi="Times New Roman"/>
                <w:sz w:val="19"/>
              </w:rPr>
              <w:t>56,2298</w:t>
            </w:r>
          </w:p>
        </w:tc>
        <w:tc>
          <w:tcPr>
            <w:tcW w:type="dxa" w:w="1438"/>
            <w:vAlign w:val="center"/>
            <w:tcMar>
              <w:top w:w="65" w:type="dxa"/>
              <w:bottom w:w="65" w:type="dxa"/>
              <w:left w:w="90" w:type="dxa"/>
              <w:right w:w="90" w:type="dxa"/>
            </w:tcMar>
          </w:tcPr>
          <w:p>
            <w:pPr>
              <w:spacing w:after="0" w:line="247" w:lineRule="auto"/>
              <w:jc w:val="left"/>
            </w:pPr>
            <w:r>
              <w:rPr>
                <w:rFonts w:ascii="Times New Roman" w:hAnsi="Times New Roman"/>
                <w:sz w:val="19"/>
              </w:rPr>
              <w:t>55,6889</w:t>
            </w:r>
          </w:p>
        </w:tc>
      </w:tr>
      <w:tr>
        <w:trPr>
          <w:cantSplit/>
        </w:trPr>
        <w:tc>
          <w:tcPr>
            <w:tcW w:type="dxa" w:w="4313"/>
            <w:vAlign w:val="center"/>
            <w:tcMar>
              <w:top w:w="65" w:type="dxa"/>
              <w:bottom w:w="65" w:type="dxa"/>
              <w:left w:w="90" w:type="dxa"/>
              <w:right w:w="90" w:type="dxa"/>
            </w:tcMar>
          </w:tcPr>
          <w:p>
            <w:pPr>
              <w:spacing w:after="0" w:line="247" w:lineRule="auto"/>
              <w:jc w:val="left"/>
            </w:pPr>
            <w:r>
              <w:rPr>
                <w:rFonts w:ascii="Times New Roman" w:hAnsi="Times New Roman"/>
                <w:sz w:val="19"/>
              </w:rPr>
              <w:t>Busca aleatória, média das validações</w:t>
            </w:r>
          </w:p>
        </w:tc>
        <w:tc>
          <w:tcPr>
            <w:tcW w:type="dxa" w:w="1006"/>
            <w:vAlign w:val="center"/>
            <w:tcMar>
              <w:top w:w="65" w:type="dxa"/>
              <w:bottom w:w="65" w:type="dxa"/>
              <w:left w:w="90" w:type="dxa"/>
              <w:right w:w="90" w:type="dxa"/>
            </w:tcMar>
          </w:tcPr>
          <w:p>
            <w:pPr>
              <w:spacing w:after="0" w:line="247" w:lineRule="auto"/>
              <w:jc w:val="left"/>
            </w:pPr>
            <w:r>
              <w:rPr>
                <w:rFonts w:ascii="Times New Roman" w:hAnsi="Times New Roman"/>
                <w:sz w:val="19"/>
              </w:rPr>
              <w:t>MAE</w:t>
            </w:r>
          </w:p>
        </w:tc>
        <w:tc>
          <w:tcPr>
            <w:tcW w:type="dxa" w:w="1438"/>
            <w:vAlign w:val="center"/>
            <w:tcMar>
              <w:top w:w="65" w:type="dxa"/>
              <w:bottom w:w="65" w:type="dxa"/>
              <w:left w:w="90" w:type="dxa"/>
              <w:right w:w="90" w:type="dxa"/>
            </w:tcMar>
          </w:tcPr>
          <w:p>
            <w:pPr>
              <w:spacing w:after="0" w:line="247" w:lineRule="auto"/>
              <w:jc w:val="left"/>
            </w:pPr>
            <w:r>
              <w:rPr>
                <w:rFonts w:ascii="Times New Roman" w:hAnsi="Times New Roman"/>
                <w:sz w:val="19"/>
              </w:rPr>
              <w:t>62,0962</w:t>
            </w:r>
          </w:p>
        </w:tc>
        <w:tc>
          <w:tcPr>
            <w:tcW w:type="dxa" w:w="1438"/>
            <w:vAlign w:val="center"/>
            <w:tcMar>
              <w:top w:w="65" w:type="dxa"/>
              <w:bottom w:w="65" w:type="dxa"/>
              <w:left w:w="90" w:type="dxa"/>
              <w:right w:w="90" w:type="dxa"/>
            </w:tcMar>
          </w:tcPr>
          <w:p>
            <w:pPr>
              <w:spacing w:after="0" w:line="247" w:lineRule="auto"/>
              <w:jc w:val="left"/>
            </w:pPr>
            <w:r>
              <w:rPr>
                <w:rFonts w:ascii="Times New Roman" w:hAnsi="Times New Roman"/>
                <w:sz w:val="19"/>
              </w:rPr>
              <w:t>61,5446</w:t>
            </w:r>
          </w:p>
        </w:tc>
        <w:tc>
          <w:tcPr>
            <w:tcW w:type="dxa" w:w="1438"/>
            <w:vAlign w:val="center"/>
            <w:tcMar>
              <w:top w:w="65" w:type="dxa"/>
              <w:bottom w:w="65" w:type="dxa"/>
              <w:left w:w="90" w:type="dxa"/>
              <w:right w:w="90" w:type="dxa"/>
            </w:tcMar>
          </w:tcPr>
          <w:p>
            <w:pPr>
              <w:spacing w:after="0" w:line="247" w:lineRule="auto"/>
              <w:jc w:val="left"/>
            </w:pPr>
            <w:r>
              <w:rPr>
                <w:rFonts w:ascii="Times New Roman" w:hAnsi="Times New Roman"/>
                <w:sz w:val="19"/>
              </w:rPr>
              <w:t>Não avaliado</w:t>
            </w:r>
          </w:p>
        </w:tc>
      </w:tr>
      <w:tr>
        <w:trPr>
          <w:cantSplit/>
        </w:trPr>
        <w:tc>
          <w:tcPr>
            <w:tcW w:type="dxa" w:w="4313"/>
            <w:vAlign w:val="center"/>
            <w:tcMar>
              <w:top w:w="65" w:type="dxa"/>
              <w:bottom w:w="65" w:type="dxa"/>
              <w:left w:w="90" w:type="dxa"/>
              <w:right w:w="90" w:type="dxa"/>
            </w:tcMar>
          </w:tcPr>
          <w:p>
            <w:pPr>
              <w:spacing w:after="0" w:line="247" w:lineRule="auto"/>
              <w:jc w:val="left"/>
            </w:pPr>
            <w:r>
              <w:rPr>
                <w:rFonts w:ascii="Times New Roman" w:hAnsi="Times New Roman"/>
                <w:sz w:val="19"/>
              </w:rPr>
              <w:t>Busca aleatória, teste após reajuste</w:t>
            </w:r>
          </w:p>
        </w:tc>
        <w:tc>
          <w:tcPr>
            <w:tcW w:type="dxa" w:w="1006"/>
            <w:vAlign w:val="center"/>
            <w:tcMar>
              <w:top w:w="65" w:type="dxa"/>
              <w:bottom w:w="65" w:type="dxa"/>
              <w:left w:w="90" w:type="dxa"/>
              <w:right w:w="90" w:type="dxa"/>
            </w:tcMar>
          </w:tcPr>
          <w:p>
            <w:pPr>
              <w:spacing w:after="0" w:line="247" w:lineRule="auto"/>
              <w:jc w:val="left"/>
            </w:pPr>
            <w:r>
              <w:rPr>
                <w:rFonts w:ascii="Times New Roman" w:hAnsi="Times New Roman"/>
                <w:sz w:val="19"/>
              </w:rPr>
              <w:t>MAE</w:t>
            </w:r>
          </w:p>
        </w:tc>
        <w:tc>
          <w:tcPr>
            <w:tcW w:type="dxa" w:w="1438"/>
            <w:vAlign w:val="center"/>
            <w:tcMar>
              <w:top w:w="65" w:type="dxa"/>
              <w:bottom w:w="65" w:type="dxa"/>
              <w:left w:w="90" w:type="dxa"/>
              <w:right w:w="90" w:type="dxa"/>
            </w:tcMar>
          </w:tcPr>
          <w:p>
            <w:pPr>
              <w:spacing w:after="0" w:line="247" w:lineRule="auto"/>
              <w:jc w:val="left"/>
            </w:pPr>
            <w:r>
              <w:rPr>
                <w:rFonts w:ascii="Times New Roman" w:hAnsi="Times New Roman"/>
                <w:sz w:val="19"/>
              </w:rPr>
              <w:t>38,8984</w:t>
            </w:r>
          </w:p>
        </w:tc>
        <w:tc>
          <w:tcPr>
            <w:tcW w:type="dxa" w:w="1438"/>
            <w:vAlign w:val="center"/>
            <w:tcMar>
              <w:top w:w="65" w:type="dxa"/>
              <w:bottom w:w="65" w:type="dxa"/>
              <w:left w:w="90" w:type="dxa"/>
              <w:right w:w="90" w:type="dxa"/>
            </w:tcMar>
          </w:tcPr>
          <w:p>
            <w:pPr>
              <w:spacing w:after="0" w:line="247" w:lineRule="auto"/>
              <w:jc w:val="left"/>
            </w:pPr>
            <w:r>
              <w:rPr>
                <w:rFonts w:ascii="Times New Roman" w:hAnsi="Times New Roman"/>
                <w:sz w:val="19"/>
              </w:rPr>
              <w:t>39,3558</w:t>
            </w:r>
          </w:p>
        </w:tc>
        <w:tc>
          <w:tcPr>
            <w:tcW w:type="dxa" w:w="1438"/>
            <w:vAlign w:val="center"/>
            <w:tcMar>
              <w:top w:w="65" w:type="dxa"/>
              <w:bottom w:w="65" w:type="dxa"/>
              <w:left w:w="90" w:type="dxa"/>
              <w:right w:w="90" w:type="dxa"/>
            </w:tcMar>
          </w:tcPr>
          <w:p>
            <w:pPr>
              <w:spacing w:after="0" w:line="247" w:lineRule="auto"/>
              <w:jc w:val="left"/>
            </w:pPr>
            <w:r>
              <w:rPr>
                <w:rFonts w:ascii="Times New Roman" w:hAnsi="Times New Roman"/>
                <w:sz w:val="19"/>
              </w:rPr>
              <w:t>Não avaliado</w:t>
            </w:r>
          </w:p>
        </w:tc>
      </w:tr>
      <w:tr>
        <w:trPr>
          <w:cantSplit/>
        </w:trPr>
        <w:tc>
          <w:tcPr>
            <w:tcW w:type="dxa" w:w="4313"/>
            <w:vAlign w:val="center"/>
            <w:tcMar>
              <w:top w:w="65" w:type="dxa"/>
              <w:bottom w:w="65" w:type="dxa"/>
              <w:left w:w="90" w:type="dxa"/>
              <w:right w:w="90" w:type="dxa"/>
            </w:tcMar>
          </w:tcPr>
          <w:p>
            <w:pPr>
              <w:spacing w:after="0" w:line="247" w:lineRule="auto"/>
              <w:jc w:val="left"/>
            </w:pPr>
            <w:r>
              <w:rPr>
                <w:rFonts w:ascii="Times New Roman" w:hAnsi="Times New Roman"/>
                <w:sz w:val="19"/>
              </w:rPr>
              <w:t>Busca aleatória, teste após reajuste</w:t>
            </w:r>
          </w:p>
        </w:tc>
        <w:tc>
          <w:tcPr>
            <w:tcW w:type="dxa" w:w="1006"/>
            <w:vAlign w:val="center"/>
            <w:tcMar>
              <w:top w:w="65" w:type="dxa"/>
              <w:bottom w:w="65" w:type="dxa"/>
              <w:left w:w="90" w:type="dxa"/>
              <w:right w:w="90" w:type="dxa"/>
            </w:tcMar>
          </w:tcPr>
          <w:p>
            <w:pPr>
              <w:spacing w:after="0" w:line="247" w:lineRule="auto"/>
              <w:jc w:val="left"/>
            </w:pPr>
            <w:r>
              <w:rPr>
                <w:rFonts w:ascii="Times New Roman" w:hAnsi="Times New Roman"/>
                <w:sz w:val="19"/>
              </w:rPr>
              <w:t>RMSE</w:t>
            </w:r>
          </w:p>
        </w:tc>
        <w:tc>
          <w:tcPr>
            <w:tcW w:type="dxa" w:w="1438"/>
            <w:vAlign w:val="center"/>
            <w:tcMar>
              <w:top w:w="65" w:type="dxa"/>
              <w:bottom w:w="65" w:type="dxa"/>
              <w:left w:w="90" w:type="dxa"/>
              <w:right w:w="90" w:type="dxa"/>
            </w:tcMar>
          </w:tcPr>
          <w:p>
            <w:pPr>
              <w:spacing w:after="0" w:line="247" w:lineRule="auto"/>
              <w:jc w:val="left"/>
            </w:pPr>
            <w:r>
              <w:rPr>
                <w:rFonts w:ascii="Times New Roman" w:hAnsi="Times New Roman"/>
                <w:sz w:val="19"/>
              </w:rPr>
              <w:t>45,0646</w:t>
            </w:r>
          </w:p>
        </w:tc>
        <w:tc>
          <w:tcPr>
            <w:tcW w:type="dxa" w:w="1438"/>
            <w:vAlign w:val="center"/>
            <w:tcMar>
              <w:top w:w="65" w:type="dxa"/>
              <w:bottom w:w="65" w:type="dxa"/>
              <w:left w:w="90" w:type="dxa"/>
              <w:right w:w="90" w:type="dxa"/>
            </w:tcMar>
          </w:tcPr>
          <w:p>
            <w:pPr>
              <w:spacing w:after="0" w:line="247" w:lineRule="auto"/>
              <w:jc w:val="left"/>
            </w:pPr>
            <w:r>
              <w:rPr>
                <w:rFonts w:ascii="Times New Roman" w:hAnsi="Times New Roman"/>
                <w:sz w:val="19"/>
              </w:rPr>
              <w:t>46,2507</w:t>
            </w:r>
          </w:p>
        </w:tc>
        <w:tc>
          <w:tcPr>
            <w:tcW w:type="dxa" w:w="1438"/>
            <w:vAlign w:val="center"/>
            <w:tcMar>
              <w:top w:w="65" w:type="dxa"/>
              <w:bottom w:w="65" w:type="dxa"/>
              <w:left w:w="90" w:type="dxa"/>
              <w:right w:w="90" w:type="dxa"/>
            </w:tcMar>
          </w:tcPr>
          <w:p>
            <w:pPr>
              <w:spacing w:after="0" w:line="247" w:lineRule="auto"/>
              <w:jc w:val="left"/>
            </w:pPr>
            <w:r>
              <w:rPr>
                <w:rFonts w:ascii="Times New Roman" w:hAnsi="Times New Roman"/>
                <w:sz w:val="19"/>
              </w:rPr>
              <w:t>Não avaliado</w:t>
            </w:r>
          </w:p>
        </w:tc>
      </w:tr>
      <w:tr>
        <w:trPr>
          <w:cantSplit/>
        </w:trPr>
        <w:tc>
          <w:tcPr>
            <w:tcW w:type="dxa" w:w="4313"/>
            <w:vAlign w:val="center"/>
            <w:tcMar>
              <w:top w:w="65" w:type="dxa"/>
              <w:bottom w:w="65" w:type="dxa"/>
              <w:left w:w="90" w:type="dxa"/>
              <w:right w:w="90" w:type="dxa"/>
            </w:tcMar>
          </w:tcPr>
          <w:p>
            <w:pPr>
              <w:spacing w:after="0" w:line="247" w:lineRule="auto"/>
              <w:jc w:val="left"/>
            </w:pPr>
            <w:r>
              <w:rPr>
                <w:rFonts w:ascii="Times New Roman" w:hAnsi="Times New Roman"/>
                <w:sz w:val="19"/>
              </w:rPr>
              <w:t>Comparação final, validação em outubro</w:t>
            </w:r>
          </w:p>
        </w:tc>
        <w:tc>
          <w:tcPr>
            <w:tcW w:type="dxa" w:w="1006"/>
            <w:vAlign w:val="center"/>
            <w:tcMar>
              <w:top w:w="65" w:type="dxa"/>
              <w:bottom w:w="65" w:type="dxa"/>
              <w:left w:w="90" w:type="dxa"/>
              <w:right w:w="90" w:type="dxa"/>
            </w:tcMar>
          </w:tcPr>
          <w:p>
            <w:pPr>
              <w:spacing w:after="0" w:line="247" w:lineRule="auto"/>
              <w:jc w:val="left"/>
            </w:pPr>
            <w:r>
              <w:rPr>
                <w:rFonts w:ascii="Times New Roman" w:hAnsi="Times New Roman"/>
                <w:sz w:val="19"/>
              </w:rPr>
              <w:t>MAE</w:t>
            </w:r>
          </w:p>
        </w:tc>
        <w:tc>
          <w:tcPr>
            <w:tcW w:type="dxa" w:w="1438"/>
            <w:vAlign w:val="center"/>
            <w:tcMar>
              <w:top w:w="65" w:type="dxa"/>
              <w:bottom w:w="65" w:type="dxa"/>
              <w:left w:w="90" w:type="dxa"/>
              <w:right w:w="90" w:type="dxa"/>
            </w:tcMar>
          </w:tcPr>
          <w:p>
            <w:pPr>
              <w:spacing w:after="0" w:line="247" w:lineRule="auto"/>
              <w:jc w:val="left"/>
            </w:pPr>
            <w:r>
              <w:rPr>
                <w:rFonts w:ascii="Times New Roman" w:hAnsi="Times New Roman"/>
                <w:sz w:val="19"/>
              </w:rPr>
              <w:t>59,9124</w:t>
            </w:r>
          </w:p>
        </w:tc>
        <w:tc>
          <w:tcPr>
            <w:tcW w:type="dxa" w:w="1438"/>
            <w:vAlign w:val="center"/>
            <w:tcMar>
              <w:top w:w="65" w:type="dxa"/>
              <w:bottom w:w="65" w:type="dxa"/>
              <w:left w:w="90" w:type="dxa"/>
              <w:right w:w="90" w:type="dxa"/>
            </w:tcMar>
          </w:tcPr>
          <w:p>
            <w:pPr>
              <w:spacing w:after="0" w:line="247" w:lineRule="auto"/>
              <w:jc w:val="left"/>
            </w:pPr>
            <w:r>
              <w:rPr>
                <w:rFonts w:ascii="Times New Roman" w:hAnsi="Times New Roman"/>
                <w:sz w:val="19"/>
              </w:rPr>
              <w:t>53,7186</w:t>
            </w:r>
          </w:p>
        </w:tc>
        <w:tc>
          <w:tcPr>
            <w:tcW w:type="dxa" w:w="1438"/>
            <w:vAlign w:val="center"/>
            <w:tcMar>
              <w:top w:w="65" w:type="dxa"/>
              <w:bottom w:w="65" w:type="dxa"/>
              <w:left w:w="90" w:type="dxa"/>
              <w:right w:w="90" w:type="dxa"/>
            </w:tcMar>
          </w:tcPr>
          <w:p>
            <w:pPr>
              <w:spacing w:after="0" w:line="247" w:lineRule="auto"/>
              <w:jc w:val="left"/>
            </w:pPr>
            <w:r>
              <w:rPr>
                <w:rFonts w:ascii="Times New Roman" w:hAnsi="Times New Roman"/>
                <w:sz w:val="19"/>
              </w:rPr>
              <w:t>Não avaliado</w:t>
            </w:r>
          </w:p>
        </w:tc>
      </w:tr>
      <w:tr>
        <w:trPr>
          <w:cantSplit/>
        </w:trPr>
        <w:tc>
          <w:tcPr>
            <w:tcW w:type="dxa" w:w="4313"/>
            <w:vAlign w:val="center"/>
            <w:tcMar>
              <w:top w:w="65" w:type="dxa"/>
              <w:bottom w:w="65" w:type="dxa"/>
              <w:left w:w="90" w:type="dxa"/>
              <w:right w:w="90" w:type="dxa"/>
            </w:tcMar>
          </w:tcPr>
          <w:p>
            <w:pPr>
              <w:spacing w:after="0" w:line="247" w:lineRule="auto"/>
              <w:jc w:val="left"/>
            </w:pPr>
            <w:r>
              <w:rPr>
                <w:rFonts w:ascii="Times New Roman" w:hAnsi="Times New Roman"/>
                <w:sz w:val="19"/>
              </w:rPr>
              <w:t>Comparação final, validação em outubro</w:t>
            </w:r>
          </w:p>
        </w:tc>
        <w:tc>
          <w:tcPr>
            <w:tcW w:type="dxa" w:w="1006"/>
            <w:vAlign w:val="center"/>
            <w:tcMar>
              <w:top w:w="65" w:type="dxa"/>
              <w:bottom w:w="65" w:type="dxa"/>
              <w:left w:w="90" w:type="dxa"/>
              <w:right w:w="90" w:type="dxa"/>
            </w:tcMar>
          </w:tcPr>
          <w:p>
            <w:pPr>
              <w:spacing w:after="0" w:line="247" w:lineRule="auto"/>
              <w:jc w:val="left"/>
            </w:pPr>
            <w:r>
              <w:rPr>
                <w:rFonts w:ascii="Times New Roman" w:hAnsi="Times New Roman"/>
                <w:sz w:val="19"/>
              </w:rPr>
              <w:t>RMSE</w:t>
            </w:r>
          </w:p>
        </w:tc>
        <w:tc>
          <w:tcPr>
            <w:tcW w:type="dxa" w:w="1438"/>
            <w:vAlign w:val="center"/>
            <w:tcMar>
              <w:top w:w="65" w:type="dxa"/>
              <w:bottom w:w="65" w:type="dxa"/>
              <w:left w:w="90" w:type="dxa"/>
              <w:right w:w="90" w:type="dxa"/>
            </w:tcMar>
          </w:tcPr>
          <w:p>
            <w:pPr>
              <w:spacing w:after="0" w:line="247" w:lineRule="auto"/>
              <w:jc w:val="left"/>
            </w:pPr>
            <w:r>
              <w:rPr>
                <w:rFonts w:ascii="Times New Roman" w:hAnsi="Times New Roman"/>
                <w:sz w:val="19"/>
              </w:rPr>
              <w:t>75,4836</w:t>
            </w:r>
          </w:p>
        </w:tc>
        <w:tc>
          <w:tcPr>
            <w:tcW w:type="dxa" w:w="1438"/>
            <w:vAlign w:val="center"/>
            <w:tcMar>
              <w:top w:w="65" w:type="dxa"/>
              <w:bottom w:w="65" w:type="dxa"/>
              <w:left w:w="90" w:type="dxa"/>
              <w:right w:w="90" w:type="dxa"/>
            </w:tcMar>
          </w:tcPr>
          <w:p>
            <w:pPr>
              <w:spacing w:after="0" w:line="247" w:lineRule="auto"/>
              <w:jc w:val="left"/>
            </w:pPr>
            <w:r>
              <w:rPr>
                <w:rFonts w:ascii="Times New Roman" w:hAnsi="Times New Roman"/>
                <w:sz w:val="19"/>
              </w:rPr>
              <w:t>67,6990</w:t>
            </w:r>
          </w:p>
        </w:tc>
        <w:tc>
          <w:tcPr>
            <w:tcW w:type="dxa" w:w="1438"/>
            <w:vAlign w:val="center"/>
            <w:tcMar>
              <w:top w:w="65" w:type="dxa"/>
              <w:bottom w:w="65" w:type="dxa"/>
              <w:left w:w="90" w:type="dxa"/>
              <w:right w:w="90" w:type="dxa"/>
            </w:tcMar>
          </w:tcPr>
          <w:p>
            <w:pPr>
              <w:spacing w:after="0" w:line="247" w:lineRule="auto"/>
              <w:jc w:val="left"/>
            </w:pPr>
            <w:r>
              <w:rPr>
                <w:rFonts w:ascii="Times New Roman" w:hAnsi="Times New Roman"/>
                <w:sz w:val="19"/>
              </w:rPr>
              <w:t>Não avaliado</w:t>
            </w:r>
          </w:p>
        </w:tc>
      </w:tr>
    </w:tbl>
    <w:p>
      <w:pPr>
        <w:pStyle w:val="ArticleNote"/>
      </w:pPr>
      <w:r>
        <w:t>Na busca, B teve MAE menor em quatro de cinco validações. A redução de 0,89% usa os MAEs médios, não a média dos percentuais por partição. No teste, o MAE de B foi 1,18% maior. Na validação final, MAE e RMSE caíram 10,34% e 10,31%, respectivamente.</w:t>
      </w:r>
    </w:p>
    <w:p>
      <w:pPr>
        <w:pStyle w:val="Caption"/>
      </w:pPr>
      <w:r>
        <w:t>Tabela C2 Ganho de MAE de B em relação a A nos contextos das etapas iniciais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1"/>
        <w:gridCol w:w="1438"/>
        <w:gridCol w:w="1581"/>
        <w:gridCol w:w="3522"/>
      </w:tblGrid>
      <w:tr>
        <w:trPr>
          <w:cantSplit/>
          <w:tblHeader/>
        </w:trPr>
        <w:tc>
          <w:tcPr>
            <w:tcW w:type="dxa" w:w="3091"/>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Modelo</w:t>
            </w:r>
          </w:p>
        </w:tc>
        <w:tc>
          <w:tcPr>
            <w:tcW w:type="dxa" w:w="1438"/>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Partidas</w:t>
            </w:r>
          </w:p>
        </w:tc>
        <w:tc>
          <w:tcPr>
            <w:tcW w:type="dxa" w:w="1581"/>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Rampas intensas</w:t>
            </w:r>
          </w:p>
        </w:tc>
        <w:tc>
          <w:tcPr>
            <w:tcW w:type="dxa" w:w="3522"/>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Limiar de rampa</w:t>
            </w:r>
          </w:p>
        </w:tc>
      </w:tr>
      <w:tr>
        <w:trPr>
          <w:cantSplit/>
        </w:trPr>
        <w:tc>
          <w:tcPr>
            <w:tcW w:type="dxa" w:w="3091"/>
            <w:vAlign w:val="center"/>
            <w:tcMar>
              <w:top w:w="65" w:type="dxa"/>
              <w:bottom w:w="65" w:type="dxa"/>
              <w:left w:w="90" w:type="dxa"/>
              <w:right w:w="90" w:type="dxa"/>
            </w:tcMar>
          </w:tcPr>
          <w:p>
            <w:pPr>
              <w:spacing w:after="0" w:line="247" w:lineRule="auto"/>
              <w:jc w:val="left"/>
            </w:pPr>
            <w:r>
              <w:rPr>
                <w:rFonts w:ascii="Times New Roman" w:hAnsi="Times New Roman"/>
                <w:sz w:val="19"/>
              </w:rPr>
              <w:t>MLP</w:t>
            </w:r>
          </w:p>
        </w:tc>
        <w:tc>
          <w:tcPr>
            <w:tcW w:type="dxa" w:w="1438"/>
            <w:vAlign w:val="center"/>
            <w:tcMar>
              <w:top w:w="65" w:type="dxa"/>
              <w:bottom w:w="65" w:type="dxa"/>
              <w:left w:w="90" w:type="dxa"/>
              <w:right w:w="90" w:type="dxa"/>
            </w:tcMar>
          </w:tcPr>
          <w:p>
            <w:pPr>
              <w:spacing w:after="0" w:line="247" w:lineRule="auto"/>
              <w:jc w:val="left"/>
            </w:pPr>
            <w:r>
              <w:rPr>
                <w:rFonts w:ascii="Times New Roman" w:hAnsi="Times New Roman"/>
                <w:sz w:val="19"/>
              </w:rPr>
              <w:t>+26,15%</w:t>
            </w:r>
          </w:p>
        </w:tc>
        <w:tc>
          <w:tcPr>
            <w:tcW w:type="dxa" w:w="1581"/>
            <w:vAlign w:val="center"/>
            <w:tcMar>
              <w:top w:w="65" w:type="dxa"/>
              <w:bottom w:w="65" w:type="dxa"/>
              <w:left w:w="90" w:type="dxa"/>
              <w:right w:w="90" w:type="dxa"/>
            </w:tcMar>
          </w:tcPr>
          <w:p>
            <w:pPr>
              <w:spacing w:after="0" w:line="247" w:lineRule="auto"/>
              <w:jc w:val="left"/>
            </w:pPr>
            <w:r>
              <w:rPr>
                <w:rFonts w:ascii="Times New Roman" w:hAnsi="Times New Roman"/>
                <w:sz w:val="19"/>
              </w:rPr>
              <w:t>−14,09%</w:t>
            </w:r>
          </w:p>
        </w:tc>
        <w:tc>
          <w:tcPr>
            <w:tcW w:type="dxa" w:w="3522"/>
            <w:vAlign w:val="center"/>
            <w:tcMar>
              <w:top w:w="65" w:type="dxa"/>
              <w:bottom w:w="65" w:type="dxa"/>
              <w:left w:w="90" w:type="dxa"/>
              <w:right w:w="90" w:type="dxa"/>
            </w:tcMar>
          </w:tcPr>
          <w:p>
            <w:pPr>
              <w:spacing w:after="0" w:line="247" w:lineRule="auto"/>
              <w:jc w:val="left"/>
            </w:pPr>
            <w:r>
              <w:rPr>
                <w:rFonts w:ascii="Times New Roman" w:hAnsi="Times New Roman"/>
                <w:sz w:val="19"/>
              </w:rPr>
              <w:t>130 MW por hora; 115 horas de rampa</w:t>
            </w:r>
          </w:p>
        </w:tc>
      </w:tr>
      <w:tr>
        <w:trPr>
          <w:cantSplit/>
        </w:trPr>
        <w:tc>
          <w:tcPr>
            <w:tcW w:type="dxa" w:w="3091"/>
            <w:vAlign w:val="center"/>
            <w:tcMar>
              <w:top w:w="65" w:type="dxa"/>
              <w:bottom w:w="65" w:type="dxa"/>
              <w:left w:w="90" w:type="dxa"/>
              <w:right w:w="90" w:type="dxa"/>
            </w:tcMar>
          </w:tcPr>
          <w:p>
            <w:pPr>
              <w:spacing w:after="0" w:line="247" w:lineRule="auto"/>
              <w:jc w:val="left"/>
            </w:pPr>
            <w:r>
              <w:rPr>
                <w:rFonts w:ascii="Times New Roman" w:hAnsi="Times New Roman"/>
                <w:sz w:val="19"/>
              </w:rPr>
              <w:t>XGBoost com busca aleatória</w:t>
            </w:r>
          </w:p>
        </w:tc>
        <w:tc>
          <w:tcPr>
            <w:tcW w:type="dxa" w:w="1438"/>
            <w:vAlign w:val="center"/>
            <w:tcMar>
              <w:top w:w="65" w:type="dxa"/>
              <w:bottom w:w="65" w:type="dxa"/>
              <w:left w:w="90" w:type="dxa"/>
              <w:right w:w="90" w:type="dxa"/>
            </w:tcMar>
          </w:tcPr>
          <w:p>
            <w:pPr>
              <w:spacing w:after="0" w:line="247" w:lineRule="auto"/>
              <w:jc w:val="left"/>
            </w:pPr>
            <w:r>
              <w:rPr>
                <w:rFonts w:ascii="Times New Roman" w:hAnsi="Times New Roman"/>
                <w:sz w:val="19"/>
              </w:rPr>
              <w:t>−4,33%</w:t>
            </w:r>
          </w:p>
        </w:tc>
        <w:tc>
          <w:tcPr>
            <w:tcW w:type="dxa" w:w="1581"/>
            <w:vAlign w:val="center"/>
            <w:tcMar>
              <w:top w:w="65" w:type="dxa"/>
              <w:bottom w:w="65" w:type="dxa"/>
              <w:left w:w="90" w:type="dxa"/>
              <w:right w:w="90" w:type="dxa"/>
            </w:tcMar>
          </w:tcPr>
          <w:p>
            <w:pPr>
              <w:spacing w:after="0" w:line="247" w:lineRule="auto"/>
              <w:jc w:val="left"/>
            </w:pPr>
            <w:r>
              <w:rPr>
                <w:rFonts w:ascii="Times New Roman" w:hAnsi="Times New Roman"/>
                <w:sz w:val="19"/>
              </w:rPr>
              <w:t>+4,88%</w:t>
            </w:r>
          </w:p>
        </w:tc>
        <w:tc>
          <w:tcPr>
            <w:tcW w:type="dxa" w:w="3522"/>
            <w:vAlign w:val="center"/>
            <w:tcMar>
              <w:top w:w="65" w:type="dxa"/>
              <w:bottom w:w="65" w:type="dxa"/>
              <w:left w:w="90" w:type="dxa"/>
              <w:right w:w="90" w:type="dxa"/>
            </w:tcMar>
          </w:tcPr>
          <w:p>
            <w:pPr>
              <w:spacing w:after="0" w:line="247" w:lineRule="auto"/>
              <w:jc w:val="left"/>
            </w:pPr>
            <w:r>
              <w:rPr>
                <w:rFonts w:ascii="Times New Roman" w:hAnsi="Times New Roman"/>
                <w:sz w:val="19"/>
              </w:rPr>
              <w:t>130 MW por hora</w:t>
            </w:r>
          </w:p>
        </w:tc>
      </w:tr>
    </w:tbl>
    <w:p>
      <w:pPr>
        <w:pStyle w:val="ArticleNote"/>
      </w:pPr>
      <w:r>
        <w:t>Valores positivos indicam redução do MAE. Na MLP, B reduziu o MAE global em 8,39% frente a A; C apresentou MAE 1,68% superior ao de B. Na PCA, quatro componentes explicaram 87,99% da variância e cinco, 99,65%.</w:t>
      </w:r>
    </w:p>
    <w:p>
      <w:pPr>
        <w:pStyle w:val="Caption"/>
      </w:pPr>
      <w:r>
        <w:t>Tabela C3 Erro médio por extensão da janela histórica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3"/>
        <w:gridCol w:w="1596"/>
        <w:gridCol w:w="1596"/>
        <w:gridCol w:w="1596"/>
        <w:gridCol w:w="1596"/>
        <w:gridCol w:w="1596"/>
      </w:tblGrid>
      <w:tr>
        <w:trPr>
          <w:cantSplit/>
          <w:tblHeader/>
        </w:trPr>
        <w:tc>
          <w:tcPr>
            <w:tcW w:type="dxa" w:w="1653"/>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Janela</w:t>
            </w:r>
          </w:p>
        </w:tc>
        <w:tc>
          <w:tcPr>
            <w:tcW w:type="dxa" w:w="1596"/>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1 ano</w:t>
            </w:r>
          </w:p>
        </w:tc>
        <w:tc>
          <w:tcPr>
            <w:tcW w:type="dxa" w:w="1596"/>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2 anos</w:t>
            </w:r>
          </w:p>
        </w:tc>
        <w:tc>
          <w:tcPr>
            <w:tcW w:type="dxa" w:w="1596"/>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3 anos</w:t>
            </w:r>
          </w:p>
        </w:tc>
        <w:tc>
          <w:tcPr>
            <w:tcW w:type="dxa" w:w="1596"/>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5 anos</w:t>
            </w:r>
          </w:p>
        </w:tc>
        <w:tc>
          <w:tcPr>
            <w:tcW w:type="dxa" w:w="1596"/>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10 anos</w:t>
            </w:r>
          </w:p>
        </w:tc>
      </w:tr>
      <w:tr>
        <w:trPr>
          <w:cantSplit/>
        </w:trPr>
        <w:tc>
          <w:tcPr>
            <w:tcW w:type="dxa" w:w="1653"/>
            <w:vAlign w:val="center"/>
            <w:tcMar>
              <w:top w:w="65" w:type="dxa"/>
              <w:bottom w:w="65" w:type="dxa"/>
              <w:left w:w="90" w:type="dxa"/>
              <w:right w:w="90" w:type="dxa"/>
            </w:tcMar>
          </w:tcPr>
          <w:p>
            <w:pPr>
              <w:spacing w:after="0" w:line="247" w:lineRule="auto"/>
              <w:jc w:val="left"/>
            </w:pPr>
            <w:r>
              <w:rPr>
                <w:rFonts w:ascii="Times New Roman" w:hAnsi="Times New Roman"/>
                <w:sz w:val="19"/>
              </w:rPr>
              <w:t>MAE médio</w:t>
            </w:r>
          </w:p>
        </w:tc>
        <w:tc>
          <w:tcPr>
            <w:tcW w:type="dxa" w:w="1596"/>
            <w:vAlign w:val="center"/>
            <w:tcMar>
              <w:top w:w="65" w:type="dxa"/>
              <w:bottom w:w="65" w:type="dxa"/>
              <w:left w:w="90" w:type="dxa"/>
              <w:right w:w="90" w:type="dxa"/>
            </w:tcMar>
          </w:tcPr>
          <w:p>
            <w:pPr>
              <w:spacing w:after="0" w:line="247" w:lineRule="auto"/>
              <w:jc w:val="left"/>
            </w:pPr>
            <w:r>
              <w:rPr>
                <w:rFonts w:ascii="Times New Roman" w:hAnsi="Times New Roman"/>
                <w:sz w:val="19"/>
              </w:rPr>
              <w:t>40,7577</w:t>
            </w:r>
          </w:p>
        </w:tc>
        <w:tc>
          <w:tcPr>
            <w:tcW w:type="dxa" w:w="1596"/>
            <w:vAlign w:val="center"/>
            <w:tcMar>
              <w:top w:w="65" w:type="dxa"/>
              <w:bottom w:w="65" w:type="dxa"/>
              <w:left w:w="90" w:type="dxa"/>
              <w:right w:w="90" w:type="dxa"/>
            </w:tcMar>
          </w:tcPr>
          <w:p>
            <w:pPr>
              <w:spacing w:after="0" w:line="247" w:lineRule="auto"/>
              <w:jc w:val="left"/>
            </w:pPr>
            <w:r>
              <w:rPr>
                <w:rFonts w:ascii="Times New Roman" w:hAnsi="Times New Roman"/>
                <w:sz w:val="19"/>
              </w:rPr>
              <w:t>42,6632</w:t>
            </w:r>
          </w:p>
        </w:tc>
        <w:tc>
          <w:tcPr>
            <w:tcW w:type="dxa" w:w="1596"/>
            <w:vAlign w:val="center"/>
            <w:tcMar>
              <w:top w:w="65" w:type="dxa"/>
              <w:bottom w:w="65" w:type="dxa"/>
              <w:left w:w="90" w:type="dxa"/>
              <w:right w:w="90" w:type="dxa"/>
            </w:tcMar>
          </w:tcPr>
          <w:p>
            <w:pPr>
              <w:spacing w:after="0" w:line="247" w:lineRule="auto"/>
              <w:jc w:val="left"/>
            </w:pPr>
            <w:r>
              <w:rPr>
                <w:rFonts w:ascii="Times New Roman" w:hAnsi="Times New Roman"/>
                <w:sz w:val="19"/>
              </w:rPr>
              <w:t>38,2044</w:t>
            </w:r>
          </w:p>
        </w:tc>
        <w:tc>
          <w:tcPr>
            <w:tcW w:type="dxa" w:w="1596"/>
            <w:vAlign w:val="center"/>
            <w:tcMar>
              <w:top w:w="65" w:type="dxa"/>
              <w:bottom w:w="65" w:type="dxa"/>
              <w:left w:w="90" w:type="dxa"/>
              <w:right w:w="90" w:type="dxa"/>
            </w:tcMar>
          </w:tcPr>
          <w:p>
            <w:pPr>
              <w:spacing w:after="0" w:line="247" w:lineRule="auto"/>
              <w:jc w:val="left"/>
            </w:pPr>
            <w:r>
              <w:rPr>
                <w:rFonts w:ascii="Times New Roman" w:hAnsi="Times New Roman"/>
                <w:sz w:val="19"/>
              </w:rPr>
              <w:t>39,2453</w:t>
            </w:r>
          </w:p>
        </w:tc>
        <w:tc>
          <w:tcPr>
            <w:tcW w:type="dxa" w:w="1596"/>
            <w:vAlign w:val="center"/>
            <w:tcMar>
              <w:top w:w="65" w:type="dxa"/>
              <w:bottom w:w="65" w:type="dxa"/>
              <w:left w:w="90" w:type="dxa"/>
              <w:right w:w="90" w:type="dxa"/>
            </w:tcMar>
          </w:tcPr>
          <w:p>
            <w:pPr>
              <w:spacing w:after="0" w:line="247" w:lineRule="auto"/>
              <w:jc w:val="left"/>
            </w:pPr>
            <w:r>
              <w:rPr>
                <w:rFonts w:ascii="Times New Roman" w:hAnsi="Times New Roman"/>
                <w:sz w:val="19"/>
              </w:rPr>
              <w:t>36,8568</w:t>
            </w:r>
          </w:p>
        </w:tc>
      </w:tr>
    </w:tbl>
    <w:p>
      <w:pPr>
        <w:pStyle w:val="ArticleNote"/>
      </w:pPr>
      <w:r>
        <w:t>Médias entre os cinco anos-alvo dos 25 backtests. A janela de 10 anos apresentou menor erro em 2021 e 2025; a de um ano, em 2022, 2023 e 2024. Essa ordenação é retrospectiva.</w:t>
      </w:r>
    </w:p>
    <w:p>
      <w:pPr>
        <w:pStyle w:val="Caption"/>
      </w:pPr>
      <w:r>
        <w:t>Tabela C4 Transferência exclusivamente histórica para o ano completo de 2025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1"/>
        <w:gridCol w:w="1610"/>
        <w:gridCol w:w="1610"/>
        <w:gridCol w:w="1610"/>
        <w:gridCol w:w="1610"/>
        <w:gridCol w:w="1610"/>
      </w:tblGrid>
      <w:tr>
        <w:trPr>
          <w:cantSplit/>
          <w:tblHeader/>
        </w:trPr>
        <w:tc>
          <w:tcPr>
            <w:tcW w:type="dxa" w:w="1581"/>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Horas ON</w:t>
            </w:r>
          </w:p>
        </w:tc>
        <w:tc>
          <w:tcPr>
            <w:tcW w:type="dxa" w:w="1610"/>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MAE</w:t>
            </w:r>
          </w:p>
        </w:tc>
        <w:tc>
          <w:tcPr>
            <w:tcW w:type="dxa" w:w="1610"/>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RMSE</w:t>
            </w:r>
          </w:p>
        </w:tc>
        <w:tc>
          <w:tcPr>
            <w:tcW w:type="dxa" w:w="1610"/>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R²</w:t>
            </w:r>
          </w:p>
        </w:tc>
        <w:tc>
          <w:tcPr>
            <w:tcW w:type="dxa" w:w="1610"/>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NMAE</w:t>
            </w:r>
          </w:p>
        </w:tc>
        <w:tc>
          <w:tcPr>
            <w:tcW w:type="dxa" w:w="1610"/>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Viés</w:t>
            </w:r>
          </w:p>
        </w:tc>
      </w:tr>
      <w:tr>
        <w:trPr>
          <w:cantSplit/>
        </w:trPr>
        <w:tc>
          <w:tcPr>
            <w:tcW w:type="dxa" w:w="1581"/>
            <w:vAlign w:val="center"/>
            <w:tcMar>
              <w:top w:w="65" w:type="dxa"/>
              <w:bottom w:w="65" w:type="dxa"/>
              <w:left w:w="90" w:type="dxa"/>
              <w:right w:w="90" w:type="dxa"/>
            </w:tcMar>
          </w:tcPr>
          <w:p>
            <w:pPr>
              <w:spacing w:after="0" w:line="247" w:lineRule="auto"/>
              <w:jc w:val="left"/>
            </w:pPr>
            <w:r>
              <w:rPr>
                <w:rFonts w:ascii="Times New Roman" w:hAnsi="Times New Roman"/>
                <w:sz w:val="19"/>
              </w:rPr>
              <w:t>6.249</w:t>
            </w:r>
          </w:p>
        </w:tc>
        <w:tc>
          <w:tcPr>
            <w:tcW w:type="dxa" w:w="1610"/>
            <w:vAlign w:val="center"/>
            <w:tcMar>
              <w:top w:w="65" w:type="dxa"/>
              <w:bottom w:w="65" w:type="dxa"/>
              <w:left w:w="90" w:type="dxa"/>
              <w:right w:w="90" w:type="dxa"/>
            </w:tcMar>
          </w:tcPr>
          <w:p>
            <w:pPr>
              <w:spacing w:after="0" w:line="247" w:lineRule="auto"/>
              <w:jc w:val="left"/>
            </w:pPr>
            <w:r>
              <w:rPr>
                <w:rFonts w:ascii="Times New Roman" w:hAnsi="Times New Roman"/>
                <w:sz w:val="19"/>
              </w:rPr>
              <w:t>50,2740</w:t>
            </w:r>
          </w:p>
        </w:tc>
        <w:tc>
          <w:tcPr>
            <w:tcW w:type="dxa" w:w="1610"/>
            <w:vAlign w:val="center"/>
            <w:tcMar>
              <w:top w:w="65" w:type="dxa"/>
              <w:bottom w:w="65" w:type="dxa"/>
              <w:left w:w="90" w:type="dxa"/>
              <w:right w:w="90" w:type="dxa"/>
            </w:tcMar>
          </w:tcPr>
          <w:p>
            <w:pPr>
              <w:spacing w:after="0" w:line="247" w:lineRule="auto"/>
              <w:jc w:val="left"/>
            </w:pPr>
            <w:r>
              <w:rPr>
                <w:rFonts w:ascii="Times New Roman" w:hAnsi="Times New Roman"/>
                <w:sz w:val="19"/>
              </w:rPr>
              <w:t>68,4650</w:t>
            </w:r>
          </w:p>
        </w:tc>
        <w:tc>
          <w:tcPr>
            <w:tcW w:type="dxa" w:w="1610"/>
            <w:vAlign w:val="center"/>
            <w:tcMar>
              <w:top w:w="65" w:type="dxa"/>
              <w:bottom w:w="65" w:type="dxa"/>
              <w:left w:w="90" w:type="dxa"/>
              <w:right w:w="90" w:type="dxa"/>
            </w:tcMar>
          </w:tcPr>
          <w:p>
            <w:pPr>
              <w:spacing w:after="0" w:line="247" w:lineRule="auto"/>
              <w:jc w:val="left"/>
            </w:pPr>
            <w:r>
              <w:rPr>
                <w:rFonts w:ascii="Times New Roman" w:hAnsi="Times New Roman"/>
                <w:sz w:val="19"/>
              </w:rPr>
              <w:t>0,8894</w:t>
            </w:r>
          </w:p>
        </w:tc>
        <w:tc>
          <w:tcPr>
            <w:tcW w:type="dxa" w:w="1610"/>
            <w:vAlign w:val="center"/>
            <w:tcMar>
              <w:top w:w="65" w:type="dxa"/>
              <w:bottom w:w="65" w:type="dxa"/>
              <w:left w:w="90" w:type="dxa"/>
              <w:right w:w="90" w:type="dxa"/>
            </w:tcMar>
          </w:tcPr>
          <w:p>
            <w:pPr>
              <w:spacing w:after="0" w:line="247" w:lineRule="auto"/>
              <w:jc w:val="left"/>
            </w:pPr>
            <w:r>
              <w:rPr>
                <w:rFonts w:ascii="Times New Roman" w:hAnsi="Times New Roman"/>
                <w:sz w:val="19"/>
              </w:rPr>
              <w:t>8,65%</w:t>
            </w:r>
          </w:p>
        </w:tc>
        <w:tc>
          <w:tcPr>
            <w:tcW w:type="dxa" w:w="1610"/>
            <w:vAlign w:val="center"/>
            <w:tcMar>
              <w:top w:w="65" w:type="dxa"/>
              <w:bottom w:w="65" w:type="dxa"/>
              <w:left w:w="90" w:type="dxa"/>
              <w:right w:w="90" w:type="dxa"/>
            </w:tcMar>
          </w:tcPr>
          <w:p>
            <w:pPr>
              <w:spacing w:after="0" w:line="247" w:lineRule="auto"/>
              <w:jc w:val="left"/>
            </w:pPr>
            <w:r>
              <w:rPr>
                <w:rFonts w:ascii="Times New Roman" w:hAnsi="Times New Roman"/>
                <w:sz w:val="19"/>
              </w:rPr>
              <w:t>−33,9686</w:t>
            </w:r>
          </w:p>
        </w:tc>
      </w:tr>
    </w:tbl>
    <w:p>
      <w:pPr>
        <w:pStyle w:val="ArticleNote"/>
      </w:pPr>
      <w:r>
        <w:t>Treino em 2011 a 2022 e teste em todo o ano de 2025. Na comparação incremental, o teste abrange novembro e dezembro.</w:t>
      </w:r>
    </w:p>
    <w:p>
      <w:pPr>
        <w:pStyle w:val="Caption"/>
      </w:pPr>
      <w:r>
        <w:t>Tabela C5 Medidas complementares das comparações pareadas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0"/>
        <w:gridCol w:w="2588"/>
        <w:gridCol w:w="3594"/>
      </w:tblGrid>
      <w:tr>
        <w:trPr>
          <w:cantSplit/>
          <w:tblHeader/>
        </w:trPr>
        <w:tc>
          <w:tcPr>
            <w:tcW w:type="dxa" w:w="3450"/>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Comparação ou contexto</w:t>
            </w:r>
          </w:p>
        </w:tc>
        <w:tc>
          <w:tcPr>
            <w:tcW w:type="dxa" w:w="2588"/>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Horas com menor erro absoluto</w:t>
            </w:r>
          </w:p>
        </w:tc>
        <w:tc>
          <w:tcPr>
            <w:tcW w:type="dxa" w:w="3594"/>
            <w:vAlign w:val="center"/>
            <w:tcMar>
              <w:top w:w="65" w:type="dxa"/>
              <w:bottom w:w="65" w:type="dxa"/>
              <w:left w:w="90" w:type="dxa"/>
              <w:right w:w="90" w:type="dxa"/>
            </w:tcMar>
            <w:shd w:fill="E8EDF2"/>
          </w:tcPr>
          <w:p>
            <w:pPr>
              <w:spacing w:after="0" w:line="247" w:lineRule="auto"/>
              <w:jc w:val="left"/>
            </w:pPr>
            <w:r>
              <w:rPr>
                <w:rFonts w:ascii="Times New Roman" w:hAnsi="Times New Roman"/>
                <w:b/>
                <w:sz w:val="19"/>
              </w:rPr>
              <w:t>Medidas complementares</w:t>
            </w:r>
          </w:p>
        </w:tc>
      </w:tr>
      <w:tr>
        <w:trPr>
          <w:cantSplit/>
        </w:trPr>
        <w:tc>
          <w:tcPr>
            <w:tcW w:type="dxa" w:w="3450"/>
            <w:vAlign w:val="center"/>
            <w:tcMar>
              <w:top w:w="65" w:type="dxa"/>
              <w:bottom w:w="65" w:type="dxa"/>
              <w:left w:w="90" w:type="dxa"/>
              <w:right w:w="90" w:type="dxa"/>
            </w:tcMar>
          </w:tcPr>
          <w:p>
            <w:pPr>
              <w:spacing w:after="0" w:line="247" w:lineRule="auto"/>
              <w:jc w:val="left"/>
            </w:pPr>
            <w:r>
              <w:rPr>
                <w:rFonts w:ascii="Times New Roman" w:hAnsi="Times New Roman"/>
                <w:sz w:val="19"/>
              </w:rPr>
              <w:t>Histórico ampliado versus dados recentes</w:t>
            </w:r>
          </w:p>
        </w:tc>
        <w:tc>
          <w:tcPr>
            <w:tcW w:type="dxa" w:w="2588"/>
            <w:vAlign w:val="center"/>
            <w:tcMar>
              <w:top w:w="65" w:type="dxa"/>
              <w:bottom w:w="65" w:type="dxa"/>
              <w:left w:w="90" w:type="dxa"/>
              <w:right w:w="90" w:type="dxa"/>
            </w:tcMar>
          </w:tcPr>
          <w:p>
            <w:pPr>
              <w:spacing w:after="0" w:line="247" w:lineRule="auto"/>
              <w:jc w:val="left"/>
            </w:pPr>
            <w:r>
              <w:rPr>
                <w:rFonts w:ascii="Times New Roman" w:hAnsi="Times New Roman"/>
                <w:sz w:val="19"/>
              </w:rPr>
              <w:t>65,30%</w:t>
            </w:r>
          </w:p>
        </w:tc>
        <w:tc>
          <w:tcPr>
            <w:tcW w:type="dxa" w:w="3594"/>
            <w:vAlign w:val="center"/>
            <w:tcMar>
              <w:top w:w="65" w:type="dxa"/>
              <w:bottom w:w="65" w:type="dxa"/>
              <w:left w:w="90" w:type="dxa"/>
              <w:right w:w="90" w:type="dxa"/>
            </w:tcMar>
          </w:tcPr>
          <w:p>
            <w:pPr>
              <w:spacing w:after="0" w:line="247" w:lineRule="auto"/>
              <w:jc w:val="left"/>
            </w:pPr>
            <w:r>
              <w:rPr>
                <w:rFonts w:ascii="Times New Roman" w:hAnsi="Times New Roman"/>
                <w:sz w:val="19"/>
              </w:rPr>
              <w:t>Redução do RMSE: 12,09%.</w:t>
            </w:r>
          </w:p>
        </w:tc>
      </w:tr>
      <w:tr>
        <w:trPr>
          <w:cantSplit/>
        </w:trPr>
        <w:tc>
          <w:tcPr>
            <w:tcW w:type="dxa" w:w="3450"/>
            <w:vAlign w:val="center"/>
            <w:tcMar>
              <w:top w:w="65" w:type="dxa"/>
              <w:bottom w:w="65" w:type="dxa"/>
              <w:left w:w="90" w:type="dxa"/>
              <w:right w:w="90" w:type="dxa"/>
            </w:tcMar>
          </w:tcPr>
          <w:p>
            <w:pPr>
              <w:spacing w:after="0" w:line="247" w:lineRule="auto"/>
              <w:jc w:val="left"/>
            </w:pPr>
            <w:r>
              <w:rPr>
                <w:rFonts w:ascii="Times New Roman" w:hAnsi="Times New Roman"/>
                <w:sz w:val="19"/>
              </w:rPr>
              <w:t>Final B versus A, todas as horas</w:t>
            </w:r>
          </w:p>
        </w:tc>
        <w:tc>
          <w:tcPr>
            <w:tcW w:type="dxa" w:w="2588"/>
            <w:vAlign w:val="center"/>
            <w:tcMar>
              <w:top w:w="65" w:type="dxa"/>
              <w:bottom w:w="65" w:type="dxa"/>
              <w:left w:w="90" w:type="dxa"/>
              <w:right w:w="90" w:type="dxa"/>
            </w:tcMar>
          </w:tcPr>
          <w:p>
            <w:pPr>
              <w:spacing w:after="0" w:line="247" w:lineRule="auto"/>
              <w:jc w:val="left"/>
            </w:pPr>
            <w:r>
              <w:rPr>
                <w:rFonts w:ascii="Times New Roman" w:hAnsi="Times New Roman"/>
                <w:sz w:val="19"/>
              </w:rPr>
              <w:t>583 de 1.144 (50,96%)</w:t>
            </w:r>
          </w:p>
        </w:tc>
        <w:tc>
          <w:tcPr>
            <w:tcW w:type="dxa" w:w="3594"/>
            <w:vAlign w:val="center"/>
            <w:tcMar>
              <w:top w:w="65" w:type="dxa"/>
              <w:bottom w:w="65" w:type="dxa"/>
              <w:left w:w="90" w:type="dxa"/>
              <w:right w:w="90" w:type="dxa"/>
            </w:tcMar>
          </w:tcPr>
          <w:p>
            <w:pPr>
              <w:spacing w:after="0" w:line="247" w:lineRule="auto"/>
              <w:jc w:val="left"/>
            </w:pPr>
            <w:r>
              <w:rPr>
                <w:rFonts w:ascii="Times New Roman" w:hAnsi="Times New Roman"/>
                <w:sz w:val="19"/>
              </w:rPr>
              <w:t>Redução pareada: mediana 0,2814 e média −1,0206. RMSE 6,03% maior; magnitude do viés 75,35% menor.</w:t>
            </w:r>
          </w:p>
        </w:tc>
      </w:tr>
      <w:tr>
        <w:trPr>
          <w:cantSplit/>
        </w:trPr>
        <w:tc>
          <w:tcPr>
            <w:tcW w:type="dxa" w:w="3450"/>
            <w:vAlign w:val="center"/>
            <w:tcMar>
              <w:top w:w="65" w:type="dxa"/>
              <w:bottom w:w="65" w:type="dxa"/>
              <w:left w:w="90" w:type="dxa"/>
              <w:right w:w="90" w:type="dxa"/>
            </w:tcMar>
          </w:tcPr>
          <w:p>
            <w:pPr>
              <w:spacing w:after="0" w:line="247" w:lineRule="auto"/>
              <w:jc w:val="left"/>
            </w:pPr>
            <w:r>
              <w:rPr>
                <w:rFonts w:ascii="Times New Roman" w:hAnsi="Times New Roman"/>
                <w:sz w:val="19"/>
              </w:rPr>
              <w:t>Final B versus A, rampas</w:t>
            </w:r>
          </w:p>
        </w:tc>
        <w:tc>
          <w:tcPr>
            <w:tcW w:type="dxa" w:w="2588"/>
            <w:vAlign w:val="center"/>
            <w:tcMar>
              <w:top w:w="65" w:type="dxa"/>
              <w:bottom w:w="65" w:type="dxa"/>
              <w:left w:w="90" w:type="dxa"/>
              <w:right w:w="90" w:type="dxa"/>
            </w:tcMar>
          </w:tcPr>
          <w:p>
            <w:pPr>
              <w:spacing w:after="0" w:line="247" w:lineRule="auto"/>
              <w:jc w:val="left"/>
            </w:pPr>
            <w:r>
              <w:rPr>
                <w:rFonts w:ascii="Times New Roman" w:hAnsi="Times New Roman"/>
                <w:sz w:val="19"/>
              </w:rPr>
              <w:t>159 de 258 (61,63%)</w:t>
            </w:r>
          </w:p>
        </w:tc>
        <w:tc>
          <w:tcPr>
            <w:tcW w:type="dxa" w:w="3594"/>
            <w:vAlign w:val="center"/>
            <w:tcMar>
              <w:top w:w="65" w:type="dxa"/>
              <w:bottom w:w="65" w:type="dxa"/>
              <w:left w:w="90" w:type="dxa"/>
              <w:right w:w="90" w:type="dxa"/>
            </w:tcMar>
          </w:tcPr>
          <w:p>
            <w:pPr>
              <w:spacing w:after="0" w:line="247" w:lineRule="auto"/>
              <w:jc w:val="left"/>
            </w:pPr>
            <w:r>
              <w:rPr>
                <w:rFonts w:ascii="Times New Roman" w:hAnsi="Times New Roman"/>
                <w:sz w:val="19"/>
              </w:rPr>
              <w:t>Redução do RMSE: 23,43%.</w:t>
            </w:r>
          </w:p>
        </w:tc>
      </w:tr>
      <w:tr>
        <w:trPr>
          <w:cantSplit/>
        </w:trPr>
        <w:tc>
          <w:tcPr>
            <w:tcW w:type="dxa" w:w="3450"/>
            <w:vAlign w:val="center"/>
            <w:tcMar>
              <w:top w:w="65" w:type="dxa"/>
              <w:bottom w:w="65" w:type="dxa"/>
              <w:left w:w="90" w:type="dxa"/>
              <w:right w:w="90" w:type="dxa"/>
            </w:tcMar>
          </w:tcPr>
          <w:p>
            <w:pPr>
              <w:spacing w:after="0" w:line="247" w:lineRule="auto"/>
              <w:jc w:val="left"/>
            </w:pPr>
            <w:r>
              <w:rPr>
                <w:rFonts w:ascii="Times New Roman" w:hAnsi="Times New Roman"/>
                <w:sz w:val="19"/>
              </w:rPr>
              <w:t>Final B versus A, partidas</w:t>
            </w:r>
          </w:p>
        </w:tc>
        <w:tc>
          <w:tcPr>
            <w:tcW w:type="dxa" w:w="2588"/>
            <w:vAlign w:val="center"/>
            <w:tcMar>
              <w:top w:w="65" w:type="dxa"/>
              <w:bottom w:w="65" w:type="dxa"/>
              <w:left w:w="90" w:type="dxa"/>
              <w:right w:w="90" w:type="dxa"/>
            </w:tcMar>
          </w:tcPr>
          <w:p>
            <w:pPr>
              <w:spacing w:after="0" w:line="247" w:lineRule="auto"/>
              <w:jc w:val="left"/>
            </w:pPr>
            <w:r>
              <w:rPr>
                <w:rFonts w:ascii="Times New Roman" w:hAnsi="Times New Roman"/>
                <w:sz w:val="19"/>
              </w:rPr>
              <w:t>13 de 30</w:t>
            </w:r>
          </w:p>
        </w:tc>
        <w:tc>
          <w:tcPr>
            <w:tcW w:type="dxa" w:w="3594"/>
            <w:vAlign w:val="center"/>
            <w:tcMar>
              <w:top w:w="65" w:type="dxa"/>
              <w:bottom w:w="65" w:type="dxa"/>
              <w:left w:w="90" w:type="dxa"/>
              <w:right w:w="90" w:type="dxa"/>
            </w:tcMar>
          </w:tcPr>
          <w:p>
            <w:pPr>
              <w:spacing w:after="0" w:line="247" w:lineRule="auto"/>
              <w:jc w:val="left"/>
            </w:pPr>
            <w:r>
              <w:rPr>
                <w:rFonts w:ascii="Times New Roman" w:hAnsi="Times New Roman"/>
                <w:sz w:val="19"/>
              </w:rPr>
              <w:t>MAE na Tabela 7.</w:t>
            </w:r>
          </w:p>
        </w:tc>
      </w:tr>
    </w:tbl>
    <w:p>
      <w:pPr>
        <w:pStyle w:val="Heading1"/>
        <w:pageBreakBefore/>
      </w:pPr>
      <w:r>
        <w:t>Apêndice D Ablação controlada e sensibilidade temporal</w:t>
      </w:r>
    </w:p>
    <w:p>
      <w:pPr>
        <w:pStyle w:val="Heading2"/>
      </w:pPr>
      <w:r>
        <w:t>D1 Ablação com previsões recebidas</w:t>
      </w:r>
    </w:p>
    <w:p>
      <w:pPr/>
      <w:r>
        <w:t>O Notebook 03A.05A preservou as amostras e a configuração do B final, com 721 árvores e semente 42. Cada redução recebeu novo ajuste, mantendo os demais parâmetros. As previsões salvas em Parquet foram usadas para os cálculos, evitando diferenças de arredondamento do CSV. A Tabela D1 inclui A apenas como controle externo à ablação; A utiliza 498 árvores selecionadas em sua etapa original. Portanto, a ablação isola parcialmente a representação dentro de B, sem igualar a complexidade de A e B.</w:t>
      </w:r>
    </w:p>
    <w:p>
      <w:pPr>
        <w:pStyle w:val="Caption"/>
      </w:pPr>
      <w:r>
        <w:t>Tabela D1 MAE da ablação por contexto</w:t>
      </w:r>
    </w:p>
    <w:tbl>
      <w:tblPr>
        <w:tblW w:type="dxa" w:w="9184"/>
        <w:jc w:val="center"/>
        <w:tblLayout w:type="fixed"/>
        <w:tblLook w:firstColumn="1" w:firstRow="1" w:lastColumn="0" w:lastRow="0" w:noHBand="0" w:noVBand="1" w:val="04A0"/>
      </w:tblPr>
      <w:tblGrid>
        <w:gridCol w:w="3402"/>
        <w:gridCol w:w="1446"/>
        <w:gridCol w:w="1446"/>
        <w:gridCol w:w="1446"/>
        <w:gridCol w:w="1446"/>
      </w:tblGrid>
      <w:tr>
        <w:trPr>
          <w:cantSplit/>
          <w:tblHeader/>
        </w:trPr>
        <w:tc>
          <w:tcPr>
            <w:tcW w:type="dxa" w:w="3402"/>
            <w:vAlign w:val="center"/>
            <w:shd w:fill="E7E6E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left"/>
            </w:pPr>
            <w:r>
              <w:rPr>
                <w:b/>
                <w:color w:val="000000"/>
                <w:sz w:val="18"/>
              </w:rPr>
              <w:t>Modelo</w:t>
            </w:r>
          </w:p>
        </w:tc>
        <w:tc>
          <w:tcPr>
            <w:tcW w:type="dxa" w:w="1446"/>
            <w:vAlign w:val="center"/>
            <w:shd w:fill="E7E6E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color w:val="000000"/>
                <w:sz w:val="18"/>
              </w:rPr>
              <w:t>Global</w:t>
              <w:br/>
              <w:t>n = 1.144</w:t>
            </w:r>
          </w:p>
        </w:tc>
        <w:tc>
          <w:tcPr>
            <w:tcW w:type="dxa" w:w="1446"/>
            <w:vAlign w:val="center"/>
            <w:shd w:fill="E7E6E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color w:val="000000"/>
                <w:sz w:val="18"/>
              </w:rPr>
              <w:t>Partidas</w:t>
              <w:br/>
              <w:t>n = 30</w:t>
            </w:r>
          </w:p>
        </w:tc>
        <w:tc>
          <w:tcPr>
            <w:tcW w:type="dxa" w:w="1446"/>
            <w:vAlign w:val="center"/>
            <w:shd w:fill="E7E6E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color w:val="000000"/>
                <w:sz w:val="18"/>
              </w:rPr>
              <w:t>Rampas</w:t>
              <w:br/>
              <w:t>n = 258</w:t>
            </w:r>
          </w:p>
        </w:tc>
        <w:tc>
          <w:tcPr>
            <w:tcW w:type="dxa" w:w="1446"/>
            <w:vAlign w:val="center"/>
            <w:shd w:fill="E7E6E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color w:val="000000"/>
                <w:sz w:val="18"/>
              </w:rPr>
              <w:t>Demais</w:t>
              <w:br/>
              <w:t>n = 857</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left"/>
            </w:pPr>
            <w:r>
              <w:rPr>
                <w:b w:val="0"/>
                <w:color w:val="000000"/>
                <w:sz w:val="18"/>
              </w:rPr>
              <w:t>A carga atual</w:t>
            </w:r>
          </w:p>
        </w:tc>
        <w:tc>
          <w:tcPr>
            <w:tcW w:type="dxa" w:w="144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20,15</w:t>
            </w:r>
          </w:p>
        </w:tc>
        <w:tc>
          <w:tcPr>
            <w:tcW w:type="dxa" w:w="144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11,73</w:t>
            </w:r>
          </w:p>
        </w:tc>
        <w:tc>
          <w:tcPr>
            <w:tcW w:type="dxa" w:w="144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24,06</w:t>
            </w:r>
          </w:p>
        </w:tc>
        <w:tc>
          <w:tcPr>
            <w:tcW w:type="dxa" w:w="144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19,25</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left"/>
            </w:pPr>
            <w:r>
              <w:rPr>
                <w:b w:val="0"/>
                <w:color w:val="000000"/>
                <w:sz w:val="18"/>
              </w:rPr>
              <w:t>B completo</w:t>
            </w:r>
          </w:p>
        </w:tc>
        <w:tc>
          <w:tcPr>
            <w:tcW w:type="dxa" w:w="144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21,17</w:t>
            </w:r>
          </w:p>
        </w:tc>
        <w:tc>
          <w:tcPr>
            <w:tcW w:type="dxa" w:w="144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10,45</w:t>
            </w:r>
          </w:p>
        </w:tc>
        <w:tc>
          <w:tcPr>
            <w:tcW w:type="dxa" w:w="144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18,55</w:t>
            </w:r>
          </w:p>
        </w:tc>
        <w:tc>
          <w:tcPr>
            <w:tcW w:type="dxa" w:w="144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22,34</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left"/>
            </w:pPr>
            <w:r>
              <w:rPr>
                <w:b w:val="0"/>
                <w:color w:val="000000"/>
                <w:sz w:val="18"/>
              </w:rPr>
              <w:t>B sem média de 3 h</w:t>
            </w:r>
          </w:p>
        </w:tc>
        <w:tc>
          <w:tcPr>
            <w:tcW w:type="dxa" w:w="144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20,69</w:t>
            </w:r>
          </w:p>
        </w:tc>
        <w:tc>
          <w:tcPr>
            <w:tcW w:type="dxa" w:w="144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10,24</w:t>
            </w:r>
          </w:p>
        </w:tc>
        <w:tc>
          <w:tcPr>
            <w:tcW w:type="dxa" w:w="144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19,28</w:t>
            </w:r>
          </w:p>
        </w:tc>
        <w:tc>
          <w:tcPr>
            <w:tcW w:type="dxa" w:w="144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21,49</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left"/>
            </w:pPr>
            <w:r>
              <w:rPr>
                <w:b w:val="0"/>
                <w:color w:val="000000"/>
                <w:sz w:val="18"/>
              </w:rPr>
              <w:t>B sem delta</w:t>
            </w:r>
          </w:p>
        </w:tc>
        <w:tc>
          <w:tcPr>
            <w:tcW w:type="dxa" w:w="144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21,26</w:t>
            </w:r>
          </w:p>
        </w:tc>
        <w:tc>
          <w:tcPr>
            <w:tcW w:type="dxa" w:w="144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10,35</w:t>
            </w:r>
          </w:p>
        </w:tc>
        <w:tc>
          <w:tcPr>
            <w:tcW w:type="dxa" w:w="144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18,90</w:t>
            </w:r>
          </w:p>
        </w:tc>
        <w:tc>
          <w:tcPr>
            <w:tcW w:type="dxa" w:w="144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22,35</w:t>
            </w:r>
          </w:p>
        </w:tc>
      </w:tr>
      <w:tr>
        <w:trPr>
          <w:cantSplit/>
        </w:trPr>
        <w:tc>
          <w:tcPr>
            <w:tcW w:type="dxa" w:w="340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left"/>
            </w:pPr>
            <w:r>
              <w:rPr>
                <w:b w:val="0"/>
                <w:color w:val="000000"/>
                <w:sz w:val="18"/>
              </w:rPr>
              <w:t>B sem delta e módulo</w:t>
            </w:r>
          </w:p>
        </w:tc>
        <w:tc>
          <w:tcPr>
            <w:tcW w:type="dxa" w:w="144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21,10</w:t>
            </w:r>
          </w:p>
        </w:tc>
        <w:tc>
          <w:tcPr>
            <w:tcW w:type="dxa" w:w="144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9,90</w:t>
            </w:r>
          </w:p>
        </w:tc>
        <w:tc>
          <w:tcPr>
            <w:tcW w:type="dxa" w:w="144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17,26</w:t>
            </w:r>
          </w:p>
        </w:tc>
        <w:tc>
          <w:tcPr>
            <w:tcW w:type="dxa" w:w="144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22,63</w:t>
            </w:r>
          </w:p>
        </w:tc>
      </w:tr>
    </w:tbl>
    <w:p>
      <w:pPr/>
      <w:r>
        <w:t>Unidade: short tons por registro horário. As primeiras seis horas de partida e as rampas de |ΔP| ≥ 56 MW compartilham uma observação; os subgrupos não formam uma partição por soma direta. As variantes não foram escolhidas como novos modelos finais. Fonte: previsões recebidas de 03A.05A, conferidas em 29 out. 2026.</w:t>
      </w:r>
    </w:p>
    <w:p>
      <w:pPr/>
      <w:r>
        <w:t>Retirar a média de três horas produz o menor MAE global entre as variantes de B (20,69), ainda superior ao de A (20,15). A retirada conjunta de delta e módulo apresenta o menor MAE nas rampas (17,26). Esses resultados medem o comportamento observado sob a configuração fixada; não demonstram que variáveis correlacionadas sejam sempre dispensáveis, nem que a variante com menor erro neste teste generalize melhor.</w:t>
      </w:r>
    </w:p>
    <w:p>
      <w:pPr>
        <w:pStyle w:val="Heading2"/>
      </w:pPr>
      <w:r>
        <w:t>D2 Reamostragem de perdas em calendário</w:t>
      </w:r>
    </w:p>
    <w:p>
      <w:pPr/>
      <w:r>
        <w:t>O Notebook 03A.05B alinha os horários, a resposta e as previsões de A, B e das três reduções de B. Calcula sete pares: B completo contra A, as três reduções contra B completo e as três contra A. Em cada par, d é o erro absoluto da referência menos o da candidata; d positivo favorece a candidata. A unidade temporal é o calendário horário completo de 1º de novembro a 31 de dezembro de 2025, com 1.464 posições e 1.144 observações elegíveis. As demais posições permanecem sem perda observada, sem substituição por zero na autocorrelação.</w:t>
      </w:r>
    </w:p>
    <w:p>
      <w:pPr/>
      <w:r>
        <w:t>A reamostragem usa blocos não sobrepostos de 1, 3 e 7 dias, ancorados no início do período, inclusive blocos sem horas elegíveis e o último bloco parcial. São 61, 21 e nove blocos, respectivamente. Para cada comprimento, 10.000 sorteios com reposição, semente 42, são compartilhados entre pares e contextos. Reamostram-se somas das perdas e contagens, não médias de blocos com pesos iguais. Réplicas sem observações de um contexto são descartadas apenas para esse contexto e contabilizadas. Nenhum ajuste é refeito, nenhum teste DM/HAC é executado e a sobreposição de uma hora recebe somente descrição.</w:t>
      </w:r>
    </w:p>
    <w:p>
      <w:pPr>
        <w:pStyle w:val="Caption"/>
      </w:pPr>
      <w:r>
        <w:t>Tabela D2 Sensibilidade da diferença de MAE entre A e B completo</w:t>
      </w:r>
    </w:p>
    <w:tbl>
      <w:tblPr>
        <w:tblW w:type="dxa" w:w="9184"/>
        <w:jc w:val="center"/>
        <w:tblLayout w:type="fixed"/>
        <w:tblLook w:firstColumn="1" w:firstRow="1" w:lastColumn="0" w:lastRow="0" w:noHBand="0" w:noVBand="1" w:val="04A0"/>
      </w:tblPr>
      <w:tblGrid>
        <w:gridCol w:w="1984"/>
        <w:gridCol w:w="1247"/>
        <w:gridCol w:w="1531"/>
        <w:gridCol w:w="1304"/>
        <w:gridCol w:w="3118"/>
      </w:tblGrid>
      <w:tr>
        <w:trPr>
          <w:cantSplit/>
          <w:tblHeader/>
        </w:trPr>
        <w:tc>
          <w:tcPr>
            <w:tcW w:type="dxa" w:w="1984"/>
            <w:vAlign w:val="center"/>
            <w:shd w:fill="E7E6E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left"/>
            </w:pPr>
            <w:r>
              <w:rPr>
                <w:b/>
                <w:color w:val="000000"/>
                <w:sz w:val="18"/>
              </w:rPr>
              <w:t>Contexto</w:t>
            </w:r>
          </w:p>
        </w:tc>
        <w:tc>
          <w:tcPr>
            <w:tcW w:type="dxa" w:w="1247"/>
            <w:vAlign w:val="center"/>
            <w:shd w:fill="E7E6E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color w:val="000000"/>
                <w:sz w:val="18"/>
              </w:rPr>
              <w:t>Bloco</w:t>
              <w:br/>
              <w:t>dias</w:t>
            </w:r>
          </w:p>
        </w:tc>
        <w:tc>
          <w:tcPr>
            <w:tcW w:type="dxa" w:w="1531"/>
            <w:vAlign w:val="center"/>
            <w:shd w:fill="E7E6E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color w:val="000000"/>
                <w:sz w:val="18"/>
              </w:rPr>
              <w:t>Blocos</w:t>
              <w:br/>
              <w:t>com horas</w:t>
            </w:r>
          </w:p>
        </w:tc>
        <w:tc>
          <w:tcPr>
            <w:tcW w:type="dxa" w:w="1304"/>
            <w:vAlign w:val="center"/>
            <w:shd w:fill="E7E6E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color w:val="000000"/>
                <w:sz w:val="18"/>
              </w:rPr>
              <w:t>d médio</w:t>
            </w:r>
          </w:p>
        </w:tc>
        <w:tc>
          <w:tcPr>
            <w:tcW w:type="dxa" w:w="3118"/>
            <w:vAlign w:val="center"/>
            <w:shd w:fill="E7E6E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color w:val="000000"/>
                <w:sz w:val="18"/>
              </w:rPr>
              <w:t>Percentis</w:t>
              <w:br/>
              <w:t>2,5 e 97,5</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left"/>
            </w:pPr>
            <w:r>
              <w:rPr>
                <w:b w:val="0"/>
                <w:color w:val="000000"/>
                <w:sz w:val="18"/>
              </w:rPr>
              <w:t>Global</w:t>
            </w:r>
          </w:p>
        </w:tc>
        <w:tc>
          <w:tcPr>
            <w:tcW w:type="dxa" w:w="124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1</w:t>
            </w:r>
          </w:p>
        </w:tc>
        <w:tc>
          <w:tcPr>
            <w:tcW w:type="dxa" w:w="153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53</w:t>
            </w:r>
          </w:p>
        </w:tc>
        <w:tc>
          <w:tcPr>
            <w:tcW w:type="dxa" w:w="1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-1,02</w:t>
            </w:r>
          </w:p>
        </w:tc>
        <w:tc>
          <w:tcPr>
            <w:tcW w:type="dxa" w:w="311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[-3,048; 0,849]</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left"/>
            </w:pPr>
            <w:r>
              <w:rPr>
                <w:b w:val="0"/>
                <w:color w:val="000000"/>
                <w:sz w:val="18"/>
              </w:rPr>
              <w:t>Global</w:t>
            </w:r>
          </w:p>
        </w:tc>
        <w:tc>
          <w:tcPr>
            <w:tcW w:type="dxa" w:w="124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3</w:t>
            </w:r>
          </w:p>
        </w:tc>
        <w:tc>
          <w:tcPr>
            <w:tcW w:type="dxa" w:w="153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19</w:t>
            </w:r>
          </w:p>
        </w:tc>
        <w:tc>
          <w:tcPr>
            <w:tcW w:type="dxa" w:w="1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-1,02</w:t>
            </w:r>
          </w:p>
        </w:tc>
        <w:tc>
          <w:tcPr>
            <w:tcW w:type="dxa" w:w="311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[-3,858; 1,412]</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left"/>
            </w:pPr>
            <w:r>
              <w:rPr>
                <w:b w:val="0"/>
                <w:color w:val="000000"/>
                <w:sz w:val="18"/>
              </w:rPr>
              <w:t>Global</w:t>
            </w:r>
          </w:p>
        </w:tc>
        <w:tc>
          <w:tcPr>
            <w:tcW w:type="dxa" w:w="124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7</w:t>
            </w:r>
          </w:p>
        </w:tc>
        <w:tc>
          <w:tcPr>
            <w:tcW w:type="dxa" w:w="153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9</w:t>
            </w:r>
          </w:p>
        </w:tc>
        <w:tc>
          <w:tcPr>
            <w:tcW w:type="dxa" w:w="1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-1,02</w:t>
            </w:r>
          </w:p>
        </w:tc>
        <w:tc>
          <w:tcPr>
            <w:tcW w:type="dxa" w:w="311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[-4,003; 2,011]</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left"/>
            </w:pPr>
            <w:r>
              <w:rPr>
                <w:b w:val="0"/>
                <w:color w:val="000000"/>
                <w:sz w:val="18"/>
              </w:rPr>
              <w:t>Partidas</w:t>
            </w:r>
          </w:p>
        </w:tc>
        <w:tc>
          <w:tcPr>
            <w:tcW w:type="dxa" w:w="124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1</w:t>
            </w:r>
          </w:p>
        </w:tc>
        <w:tc>
          <w:tcPr>
            <w:tcW w:type="dxa" w:w="153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7</w:t>
            </w:r>
          </w:p>
        </w:tc>
        <w:tc>
          <w:tcPr>
            <w:tcW w:type="dxa" w:w="1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1,28</w:t>
            </w:r>
          </w:p>
        </w:tc>
        <w:tc>
          <w:tcPr>
            <w:tcW w:type="dxa" w:w="311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[-1,585; 4,221]</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left"/>
            </w:pPr>
            <w:r>
              <w:rPr>
                <w:b w:val="0"/>
                <w:color w:val="000000"/>
                <w:sz w:val="18"/>
              </w:rPr>
              <w:t>Partidas</w:t>
            </w:r>
          </w:p>
        </w:tc>
        <w:tc>
          <w:tcPr>
            <w:tcW w:type="dxa" w:w="124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3</w:t>
            </w:r>
          </w:p>
        </w:tc>
        <w:tc>
          <w:tcPr>
            <w:tcW w:type="dxa" w:w="153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5</w:t>
            </w:r>
          </w:p>
        </w:tc>
        <w:tc>
          <w:tcPr>
            <w:tcW w:type="dxa" w:w="1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1,28</w:t>
            </w:r>
          </w:p>
        </w:tc>
        <w:tc>
          <w:tcPr>
            <w:tcW w:type="dxa" w:w="311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[-0,037; 2,826]</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left"/>
            </w:pPr>
            <w:r>
              <w:rPr>
                <w:b w:val="0"/>
                <w:color w:val="000000"/>
                <w:sz w:val="18"/>
              </w:rPr>
              <w:t>Partidas</w:t>
            </w:r>
          </w:p>
        </w:tc>
        <w:tc>
          <w:tcPr>
            <w:tcW w:type="dxa" w:w="124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7</w:t>
            </w:r>
          </w:p>
        </w:tc>
        <w:tc>
          <w:tcPr>
            <w:tcW w:type="dxa" w:w="153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5</w:t>
            </w:r>
          </w:p>
        </w:tc>
        <w:tc>
          <w:tcPr>
            <w:tcW w:type="dxa" w:w="1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1,28</w:t>
            </w:r>
          </w:p>
        </w:tc>
        <w:tc>
          <w:tcPr>
            <w:tcW w:type="dxa" w:w="311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[0,005; 2,691]</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left"/>
            </w:pPr>
            <w:r>
              <w:rPr>
                <w:b w:val="0"/>
                <w:color w:val="000000"/>
                <w:sz w:val="18"/>
              </w:rPr>
              <w:t>Rampas</w:t>
            </w:r>
          </w:p>
        </w:tc>
        <w:tc>
          <w:tcPr>
            <w:tcW w:type="dxa" w:w="124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1</w:t>
            </w:r>
          </w:p>
        </w:tc>
        <w:tc>
          <w:tcPr>
            <w:tcW w:type="dxa" w:w="153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47</w:t>
            </w:r>
          </w:p>
        </w:tc>
        <w:tc>
          <w:tcPr>
            <w:tcW w:type="dxa" w:w="1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5,51</w:t>
            </w:r>
          </w:p>
        </w:tc>
        <w:tc>
          <w:tcPr>
            <w:tcW w:type="dxa" w:w="311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[3,110; 8,079]</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left"/>
            </w:pPr>
            <w:r>
              <w:rPr>
                <w:b w:val="0"/>
                <w:color w:val="000000"/>
                <w:sz w:val="18"/>
              </w:rPr>
              <w:t>Rampas</w:t>
            </w:r>
          </w:p>
        </w:tc>
        <w:tc>
          <w:tcPr>
            <w:tcW w:type="dxa" w:w="124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3</w:t>
            </w:r>
          </w:p>
        </w:tc>
        <w:tc>
          <w:tcPr>
            <w:tcW w:type="dxa" w:w="153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19</w:t>
            </w:r>
          </w:p>
        </w:tc>
        <w:tc>
          <w:tcPr>
            <w:tcW w:type="dxa" w:w="1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5,51</w:t>
            </w:r>
          </w:p>
        </w:tc>
        <w:tc>
          <w:tcPr>
            <w:tcW w:type="dxa" w:w="311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[2,901; 8,313]</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left"/>
            </w:pPr>
            <w:r>
              <w:rPr>
                <w:b w:val="0"/>
                <w:color w:val="000000"/>
                <w:sz w:val="18"/>
              </w:rPr>
              <w:t>Rampas</w:t>
            </w:r>
          </w:p>
        </w:tc>
        <w:tc>
          <w:tcPr>
            <w:tcW w:type="dxa" w:w="124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7</w:t>
            </w:r>
          </w:p>
        </w:tc>
        <w:tc>
          <w:tcPr>
            <w:tcW w:type="dxa" w:w="153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9</w:t>
            </w:r>
          </w:p>
        </w:tc>
        <w:tc>
          <w:tcPr>
            <w:tcW w:type="dxa" w:w="1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5,51</w:t>
            </w:r>
          </w:p>
        </w:tc>
        <w:tc>
          <w:tcPr>
            <w:tcW w:type="dxa" w:w="311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[2,307; 9,099]</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left"/>
            </w:pPr>
            <w:r>
              <w:rPr>
                <w:b w:val="0"/>
                <w:color w:val="000000"/>
                <w:sz w:val="18"/>
              </w:rPr>
              <w:t>Demais</w:t>
            </w:r>
          </w:p>
        </w:tc>
        <w:tc>
          <w:tcPr>
            <w:tcW w:type="dxa" w:w="124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1</w:t>
            </w:r>
          </w:p>
        </w:tc>
        <w:tc>
          <w:tcPr>
            <w:tcW w:type="dxa" w:w="153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50</w:t>
            </w:r>
          </w:p>
        </w:tc>
        <w:tc>
          <w:tcPr>
            <w:tcW w:type="dxa" w:w="1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-3,09</w:t>
            </w:r>
          </w:p>
        </w:tc>
        <w:tc>
          <w:tcPr>
            <w:tcW w:type="dxa" w:w="311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[-5,604; -0,674]</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left"/>
            </w:pPr>
            <w:r>
              <w:rPr>
                <w:b w:val="0"/>
                <w:color w:val="000000"/>
                <w:sz w:val="18"/>
              </w:rPr>
              <w:t>Demais</w:t>
            </w:r>
          </w:p>
        </w:tc>
        <w:tc>
          <w:tcPr>
            <w:tcW w:type="dxa" w:w="124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3</w:t>
            </w:r>
          </w:p>
        </w:tc>
        <w:tc>
          <w:tcPr>
            <w:tcW w:type="dxa" w:w="153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19</w:t>
            </w:r>
          </w:p>
        </w:tc>
        <w:tc>
          <w:tcPr>
            <w:tcW w:type="dxa" w:w="1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-3,09</w:t>
            </w:r>
          </w:p>
        </w:tc>
        <w:tc>
          <w:tcPr>
            <w:tcW w:type="dxa" w:w="311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[-6,547; 0,101]</w:t>
            </w:r>
          </w:p>
        </w:tc>
      </w:tr>
      <w:tr>
        <w:trPr>
          <w:cantSplit/>
        </w:trPr>
        <w:tc>
          <w:tcPr>
            <w:tcW w:type="dxa" w:w="19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left"/>
            </w:pPr>
            <w:r>
              <w:rPr>
                <w:b w:val="0"/>
                <w:color w:val="000000"/>
                <w:sz w:val="18"/>
              </w:rPr>
              <w:t>Demais</w:t>
            </w:r>
          </w:p>
        </w:tc>
        <w:tc>
          <w:tcPr>
            <w:tcW w:type="dxa" w:w="124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7</w:t>
            </w:r>
          </w:p>
        </w:tc>
        <w:tc>
          <w:tcPr>
            <w:tcW w:type="dxa" w:w="153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9</w:t>
            </w:r>
          </w:p>
        </w:tc>
        <w:tc>
          <w:tcPr>
            <w:tcW w:type="dxa" w:w="130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-3,09</w:t>
            </w:r>
          </w:p>
        </w:tc>
        <w:tc>
          <w:tcPr>
            <w:tcW w:type="dxa" w:w="311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[-6,828; 0,943]</w:t>
            </w:r>
          </w:p>
        </w:tc>
      </w:tr>
    </w:tbl>
    <w:p>
      <w:pPr/>
      <w:r>
        <w:t>Valores em short tons por registro horário; d = erro absoluto A − B. Limites exploratórios condicionais aos modelos, sem cobertura de 95% demonstrada. Nas partidas, 5, 39 e 7 das 10.000 réplicas ficaram sem observações, para blocos de 1, 3 e 7 dias. A variação do sinal do limite inferior nas partidas ocorre com pequena amostra e poucos blocos e não justifica declarar superioridade. Fonte: complemento 03A.05B.</w:t>
      </w:r>
    </w:p>
    <w:p>
      <w:pPr/>
      <w:r>
        <w:t>A correlação das diferenças de perda de A e B, calculada por pares disponíveis na grade de calendário, foi 0,441 em uma hora (1.138 pares) e 0,124 em 24 horas (1.019 pares). Esses diagnósticos justificam evitar independência entre linhas, mas não demonstram estacionariedade. A vantagem de B nas rampas apresenta limites positivos nos três desenhos, enquanto a diferença global inclui zero em todos. Com apenas dois meses e nove blocos no desenho semanal, os limites descrevem sensibilidade, sem assegurar inferência confirmatória ou corrigir a seleção retrospectiva.</w:t>
      </w:r>
    </w:p>
    <w:p>
      <w:pPr>
        <w:pStyle w:val="Caption"/>
        <w:keepNext/>
      </w:pPr>
      <w:r>
        <w:t>Figura D1 Sensibilidade da diferença de MAE global e nas rampas ao comprimento dos blocos</w:t>
      </w:r>
    </w:p>
    <w:p>
      <w:pPr>
        <w:keepNext/>
        <w:spacing w:before="0" w:after="80"/>
        <w:ind w:firstLine="0"/>
        <w:jc w:val="center"/>
      </w:pPr>
      <w:r>
        <w:drawing>
          <wp:inline xmlns:a="http://schemas.openxmlformats.org/drawingml/2006/main" xmlns:pic="http://schemas.openxmlformats.org/drawingml/2006/picture">
            <wp:extent cx="6108192" cy="2431965"/>
            <wp:docPr id="2" name="Picture 2" descr="Dois painéis com a diferença de MAE A menos B: no conjunto global os três limites de reamostragem incluem zero; nas rampas os três permanecem positivos. Comprimentos de bloco de um, três e sete dias."/>
            <wp:cNvGraphicFramePr>
              <a:graphicFrameLocks noChangeAspect="1"/>
            </wp:cNvGraphicFramePr>
            <a:graphic>
              <a:graphicData uri="http://schemas.openxmlformats.org/drawingml/2006/picture">
                <pic:pic>
                  <pic:nvPicPr>
                    <pic:cNvPr id="0" name="03A05B_sensibilidade_blocos_global_rampas.png"/>
                    <pic:cNvPicPr/>
                  </pic:nvPicPr>
                  <pic:blipFill>
                    <a:blip r:embed="rId71"/>
                    <a:stretch>
                      <a:fillRect/>
                    </a:stretch>
                  </pic:blipFill>
                  <pic:spPr>
                    <a:xfrm>
                      <a:off x="0" y="0"/>
                      <a:ext cx="6108192" cy="2431965"/>
                    </a:xfrm>
                    <a:prstGeom prst="rect"/>
                  </pic:spPr>
                </pic:pic>
              </a:graphicData>
            </a:graphic>
          </wp:inline>
        </w:drawing>
      </w:r>
    </w:p>
    <w:p>
      <w:pPr>
        <w:pStyle w:val="ArticleNote"/>
        <w:keepLines/>
      </w:pPr>
      <w:r>
        <w:t>Fonte: resultados preservados do complemento 03A.05B. Pontos representam a diferença média de erro absoluto A − B, e barras, os percentis 2,5 e 97,5 da reamostragem por blocos de 1, 3 e 7 dias. Diferenças positivas favorecem B. Os limites são exploratórios, condicionais aos modelos salvos, sem cobertura nominal demonstrada e sem interpretação como intervalos de previsão.</w:t>
      </w:r>
    </w:p>
    <w:p>
      <w:pPr>
        <w:pStyle w:val="Caption"/>
      </w:pPr>
      <w:r>
        <w:t>Tabela D3 Sensibilidade das reduções de B contra B completo</w:t>
      </w:r>
    </w:p>
    <w:tbl>
      <w:tblPr>
        <w:tblW w:type="dxa" w:w="9468"/>
        <w:jc w:val="center"/>
        <w:tblLayout w:type="fixed"/>
        <w:tblLook w:firstColumn="1" w:firstRow="1" w:lastColumn="0" w:lastRow="0" w:noHBand="0" w:noVBand="1" w:val="04A0"/>
      </w:tblPr>
      <w:tblGrid>
        <w:gridCol w:w="2891"/>
        <w:gridCol w:w="1134"/>
        <w:gridCol w:w="1814"/>
        <w:gridCol w:w="1814"/>
        <w:gridCol w:w="1814"/>
      </w:tblGrid>
      <w:tr>
        <w:trPr>
          <w:cantSplit/>
          <w:tblHeader/>
        </w:trPr>
        <w:tc>
          <w:tcPr>
            <w:tcW w:type="dxa" w:w="2891"/>
            <w:vAlign w:val="center"/>
            <w:shd w:fill="E7E6E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left"/>
            </w:pPr>
            <w:r>
              <w:rPr>
                <w:b/>
                <w:color w:val="000000"/>
                <w:sz w:val="18"/>
              </w:rPr>
              <w:t>Variante e contexto</w:t>
            </w:r>
          </w:p>
        </w:tc>
        <w:tc>
          <w:tcPr>
            <w:tcW w:type="dxa" w:w="1134"/>
            <w:vAlign w:val="center"/>
            <w:shd w:fill="E7E6E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color w:val="000000"/>
                <w:sz w:val="18"/>
              </w:rPr>
              <w:t>d médio</w:t>
            </w:r>
          </w:p>
        </w:tc>
        <w:tc>
          <w:tcPr>
            <w:tcW w:type="dxa" w:w="1814"/>
            <w:vAlign w:val="center"/>
            <w:shd w:fill="E7E6E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color w:val="000000"/>
                <w:sz w:val="18"/>
              </w:rPr>
              <w:t>1 dia</w:t>
            </w:r>
          </w:p>
        </w:tc>
        <w:tc>
          <w:tcPr>
            <w:tcW w:type="dxa" w:w="1814"/>
            <w:vAlign w:val="center"/>
            <w:shd w:fill="E7E6E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color w:val="000000"/>
                <w:sz w:val="18"/>
              </w:rPr>
              <w:t>3 dias</w:t>
            </w:r>
          </w:p>
        </w:tc>
        <w:tc>
          <w:tcPr>
            <w:tcW w:type="dxa" w:w="1814"/>
            <w:vAlign w:val="center"/>
            <w:shd w:fill="E7E6E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color w:val="000000"/>
                <w:sz w:val="18"/>
              </w:rPr>
              <w:t>7 dias</w:t>
            </w:r>
          </w:p>
        </w:tc>
      </w:tr>
      <w:tr>
        <w:trPr>
          <w:cantSplit/>
        </w:trPr>
        <w:tc>
          <w:tcPr>
            <w:tcW w:type="dxa" w:w="289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left"/>
            </w:pPr>
            <w:r>
              <w:rPr>
                <w:b w:val="0"/>
                <w:color w:val="000000"/>
                <w:sz w:val="18"/>
              </w:rPr>
              <w:t>Sem média de 3 h</w:t>
              <w:br/>
              <w:t>global</w:t>
            </w:r>
          </w:p>
        </w:tc>
        <w:tc>
          <w:tcPr>
            <w:tcW w:type="dxa" w:w="113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0,48</w:t>
            </w:r>
          </w:p>
        </w:tc>
        <w:tc>
          <w:tcPr>
            <w:tcW w:type="dxa" w:w="181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[-0,19; 1,17]</w:t>
            </w:r>
          </w:p>
        </w:tc>
        <w:tc>
          <w:tcPr>
            <w:tcW w:type="dxa" w:w="181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[-0,30; 1,36]</w:t>
            </w:r>
          </w:p>
        </w:tc>
        <w:tc>
          <w:tcPr>
            <w:tcW w:type="dxa" w:w="181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[-0,40; 1,37]</w:t>
            </w:r>
          </w:p>
        </w:tc>
      </w:tr>
      <w:tr>
        <w:trPr>
          <w:cantSplit/>
        </w:trPr>
        <w:tc>
          <w:tcPr>
            <w:tcW w:type="dxa" w:w="289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left"/>
            </w:pPr>
            <w:r>
              <w:rPr>
                <w:b w:val="0"/>
                <w:color w:val="000000"/>
                <w:sz w:val="18"/>
              </w:rPr>
              <w:t>Sem média de 3 h</w:t>
              <w:br/>
              <w:t>rampas</w:t>
            </w:r>
          </w:p>
        </w:tc>
        <w:tc>
          <w:tcPr>
            <w:tcW w:type="dxa" w:w="113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-0,73</w:t>
            </w:r>
          </w:p>
        </w:tc>
        <w:tc>
          <w:tcPr>
            <w:tcW w:type="dxa" w:w="181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[-1,72; 0,27]</w:t>
            </w:r>
          </w:p>
        </w:tc>
        <w:tc>
          <w:tcPr>
            <w:tcW w:type="dxa" w:w="181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[-1,94; 0,48]</w:t>
            </w:r>
          </w:p>
        </w:tc>
        <w:tc>
          <w:tcPr>
            <w:tcW w:type="dxa" w:w="181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[-1,67; 0,36]</w:t>
            </w:r>
          </w:p>
        </w:tc>
      </w:tr>
      <w:tr>
        <w:trPr>
          <w:cantSplit/>
        </w:trPr>
        <w:tc>
          <w:tcPr>
            <w:tcW w:type="dxa" w:w="289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left"/>
            </w:pPr>
            <w:r>
              <w:rPr>
                <w:b w:val="0"/>
                <w:color w:val="000000"/>
                <w:sz w:val="18"/>
              </w:rPr>
              <w:t>Sem delta</w:t>
              <w:br/>
              <w:t>global</w:t>
            </w:r>
          </w:p>
        </w:tc>
        <w:tc>
          <w:tcPr>
            <w:tcW w:type="dxa" w:w="113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-0,09</w:t>
            </w:r>
          </w:p>
        </w:tc>
        <w:tc>
          <w:tcPr>
            <w:tcW w:type="dxa" w:w="181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[-0,48; 0,28]</w:t>
            </w:r>
          </w:p>
        </w:tc>
        <w:tc>
          <w:tcPr>
            <w:tcW w:type="dxa" w:w="181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[-0,58; 0,34]</w:t>
            </w:r>
          </w:p>
        </w:tc>
        <w:tc>
          <w:tcPr>
            <w:tcW w:type="dxa" w:w="181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[-0,57; 0,34]</w:t>
            </w:r>
          </w:p>
        </w:tc>
      </w:tr>
      <w:tr>
        <w:trPr>
          <w:cantSplit/>
        </w:trPr>
        <w:tc>
          <w:tcPr>
            <w:tcW w:type="dxa" w:w="289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left"/>
            </w:pPr>
            <w:r>
              <w:rPr>
                <w:b w:val="0"/>
                <w:color w:val="000000"/>
                <w:sz w:val="18"/>
              </w:rPr>
              <w:t>Sem delta</w:t>
              <w:br/>
              <w:t>rampas</w:t>
            </w:r>
          </w:p>
        </w:tc>
        <w:tc>
          <w:tcPr>
            <w:tcW w:type="dxa" w:w="113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-0,35</w:t>
            </w:r>
          </w:p>
        </w:tc>
        <w:tc>
          <w:tcPr>
            <w:tcW w:type="dxa" w:w="181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[-1,39; 0,67]</w:t>
            </w:r>
          </w:p>
        </w:tc>
        <w:tc>
          <w:tcPr>
            <w:tcW w:type="dxa" w:w="181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[-1,65; 0,94]</w:t>
            </w:r>
          </w:p>
        </w:tc>
        <w:tc>
          <w:tcPr>
            <w:tcW w:type="dxa" w:w="181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[-1,57; 0,86]</w:t>
            </w:r>
          </w:p>
        </w:tc>
      </w:tr>
      <w:tr>
        <w:trPr>
          <w:cantSplit/>
        </w:trPr>
        <w:tc>
          <w:tcPr>
            <w:tcW w:type="dxa" w:w="289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left"/>
            </w:pPr>
            <w:r>
              <w:rPr>
                <w:b w:val="0"/>
                <w:color w:val="000000"/>
                <w:sz w:val="18"/>
              </w:rPr>
              <w:t>Sem delta e módulo</w:t>
              <w:br/>
              <w:t>global</w:t>
            </w:r>
          </w:p>
        </w:tc>
        <w:tc>
          <w:tcPr>
            <w:tcW w:type="dxa" w:w="113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0,07</w:t>
            </w:r>
          </w:p>
        </w:tc>
        <w:tc>
          <w:tcPr>
            <w:tcW w:type="dxa" w:w="181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[-0,29; 0,44]</w:t>
            </w:r>
          </w:p>
        </w:tc>
        <w:tc>
          <w:tcPr>
            <w:tcW w:type="dxa" w:w="181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[-0,40; 0,50]</w:t>
            </w:r>
          </w:p>
        </w:tc>
        <w:tc>
          <w:tcPr>
            <w:tcW w:type="dxa" w:w="181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[-0,39; 0,51]</w:t>
            </w:r>
          </w:p>
        </w:tc>
      </w:tr>
      <w:tr>
        <w:trPr>
          <w:cantSplit/>
        </w:trPr>
        <w:tc>
          <w:tcPr>
            <w:tcW w:type="dxa" w:w="289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left"/>
            </w:pPr>
            <w:r>
              <w:rPr>
                <w:b w:val="0"/>
                <w:color w:val="000000"/>
                <w:sz w:val="18"/>
              </w:rPr>
              <w:t>Sem delta e módulo</w:t>
              <w:br/>
              <w:t>rampas</w:t>
            </w:r>
          </w:p>
        </w:tc>
        <w:tc>
          <w:tcPr>
            <w:tcW w:type="dxa" w:w="113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1,29</w:t>
            </w:r>
          </w:p>
        </w:tc>
        <w:tc>
          <w:tcPr>
            <w:tcW w:type="dxa" w:w="181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[0,12; 2,42]</w:t>
            </w:r>
          </w:p>
        </w:tc>
        <w:tc>
          <w:tcPr>
            <w:tcW w:type="dxa" w:w="181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[-0,11; 2,66]</w:t>
            </w:r>
          </w:p>
        </w:tc>
        <w:tc>
          <w:tcPr>
            <w:tcW w:type="dxa" w:w="181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before="0" w:after="60" w:line="252" w:lineRule="auto"/>
              <w:jc w:val="center"/>
            </w:pPr>
            <w:r>
              <w:rPr>
                <w:b w:val="0"/>
                <w:color w:val="000000"/>
                <w:sz w:val="18"/>
              </w:rPr>
              <w:t>[-0,16; 2,83]</w:t>
            </w:r>
          </w:p>
        </w:tc>
      </w:tr>
    </w:tbl>
    <w:p>
      <w:pPr/>
      <w:r>
        <w:t>d = erro absoluto B completo − variante. Intervalos apresentados como sensibilidade exploratória. Todos os limites globais incluem zero. Para a retirada conjunta de delta e módulo nas rampas, o limite inferior é positivo com blocos diários e negativo com blocos de três e sete dias. Não se seleciona o comprimento mais favorável. Os sete pares e todos os contextos, inclusive partidas, estão no CSV completo.</w:t>
      </w:r>
    </w:p>
    <w:p>
      <w:pPr>
        <w:pStyle w:val="Heading2"/>
      </w:pPr>
      <w:r>
        <w:t>D3 Orçamento e estabilidade entre sementes</w:t>
      </w:r>
    </w:p>
    <w:p>
      <w:pPr/>
      <w:r>
        <w:t>A auditoria separa quantidade de configurações, quantidade de ajustes e custo computacional. Os três ajustes finais de MLP, os 18 do XGBoost de referência e os 302 da busca pareada pertencem a procedimentos distintos; o tempo acumulado arredondado do log de busca não fornece duração comparável por modelo. O arquivo auditoria_orcamento_original.csv documenta as contagens e sua origem. A comparação original entre famílias, portanto, não é um experimento com orçamento igualado.</w:t>
      </w:r>
    </w:p>
    <w:p>
      <w:pPr/>
      <w:r>
        <w:t>O complemento 03A.05C foi executado integralmente no Colab, com 20 ajustes concluídos e sem erros salvos. As sementes 42, 43, 44, 45 e 46 foram aplicadas a cada combinação de família e cenário. As amostras comuns contêm 88.475, 211 e 1.144 observações para treino, validação e teste. O treinamento usa o histórico de 2011 a 2022 e janeiro a setembro de 2025, preservando a elegibilidade de A e B. Outubro serve somente à seleção da interrupção; não há reajuste que o incorpore em nenhuma família. A comparação final original, por sua vez, reajusta seus XGBoosts com 88.686 observações. Os resultados destes dois protocolos permanecem separados.</w:t>
      </w:r>
    </w:p>
    <w:p>
      <w:r>
        <w:t>A MLP utiliza camadas ocultas de 64 e 32 unidades ReLU, saída linear, Adam com taxa 0,001, lote de 64, limite de 500 épocas e interrupção após 30 épocas sem melhora de MSE de validação, com min_delta = 10⁻⁶ e restauração dos melhores pesos. Não há embaralhamento. Os escalonadores MinMax das entradas e do alvo são ajustados exclusivamente no treino. A e B têm 2.241 e 2.625 parâmetros. O XGBoost usa até 3.000 árvores, taxa 0,03, profundidade 4, min_child_weight = 5, subsample = 0,8, colsample_bytree = 0,8, reg_alpha = 0, reg_lambda = 1, tree_method = hist e parada após 50 rodadas sem melhora do RMSE de validação. Cada ajuste utiliza CPU com dois threads. MSE e RMSE preservam a ordenação dos erros para um alvo fixo, embora as escalas e regras de tolerância dos algoritmos sejam distintas.</w:t>
      </w:r>
    </w:p>
    <w:p>
      <w:pPr>
        <w:pStyle w:val="Caption"/>
      </w:pPr>
      <w:r>
        <w:t>Tabela D4 Validação e teste do protocolo comum com cinco sementes</w:t>
      </w:r>
    </w:p>
    <w:tbl>
      <w:tblPr>
        <w:tblW w:type="dxa" w:w="9468"/>
        <w:jc w:val="center"/>
        <w:tblLayout w:type="fixed"/>
        <w:tblLook w:firstColumn="1" w:firstRow="1" w:lastColumn="0" w:lastRow="0" w:noHBand="0" w:noVBand="1" w:val="04A0"/>
      </w:tblPr>
      <w:tblGrid>
        <w:gridCol w:w="2098"/>
        <w:gridCol w:w="2154"/>
        <w:gridCol w:w="2154"/>
        <w:gridCol w:w="1361"/>
        <w:gridCol w:w="1417"/>
      </w:tblGrid>
      <w:tr>
        <w:trPr>
          <w:cantSplit/>
          <w:tblHeader/>
          <w:cantSplit/>
        </w:trPr>
        <w:tc>
          <w:tcPr>
            <w:tcW w:type="dxa" w:w="2098"/>
            <w:vAlign w:val="center"/>
            <w:shd w:fill="E7E6E6"/>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52" w:lineRule="auto"/>
              <w:jc w:val="left"/>
            </w:pPr>
            <w:r>
              <w:rPr>
                <w:b/>
                <w:sz w:val="18"/>
              </w:rPr>
              <w:t>Família e cenário</w:t>
            </w:r>
          </w:p>
        </w:tc>
        <w:tc>
          <w:tcPr>
            <w:tcW w:type="dxa" w:w="2154"/>
            <w:vAlign w:val="center"/>
            <w:shd w:fill="E7E6E6"/>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52" w:lineRule="auto"/>
              <w:jc w:val="center"/>
            </w:pPr>
            <w:r>
              <w:rPr>
                <w:b/>
                <w:sz w:val="18"/>
              </w:rPr>
              <w:t>MAE validação</w:t>
              <w:br/>
              <w:t>média ± DP</w:t>
            </w:r>
          </w:p>
        </w:tc>
        <w:tc>
          <w:tcPr>
            <w:tcW w:type="dxa" w:w="2154"/>
            <w:vAlign w:val="center"/>
            <w:shd w:fill="E7E6E6"/>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52" w:lineRule="auto"/>
              <w:jc w:val="center"/>
            </w:pPr>
            <w:r>
              <w:rPr>
                <w:b/>
                <w:sz w:val="18"/>
              </w:rPr>
              <w:t>MAE teste</w:t>
              <w:br/>
              <w:t>média ± DP</w:t>
            </w:r>
          </w:p>
        </w:tc>
        <w:tc>
          <w:tcPr>
            <w:tcW w:type="dxa" w:w="1361"/>
            <w:vAlign w:val="center"/>
            <w:shd w:fill="E7E6E6"/>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52" w:lineRule="auto"/>
              <w:jc w:val="center"/>
            </w:pPr>
            <w:r>
              <w:rPr>
                <w:b/>
                <w:sz w:val="18"/>
              </w:rPr>
              <w:t>RMSE teste</w:t>
              <w:br/>
              <w:t>médio</w:t>
            </w:r>
          </w:p>
        </w:tc>
        <w:tc>
          <w:tcPr>
            <w:tcW w:type="dxa" w:w="1417"/>
            <w:vAlign w:val="center"/>
            <w:shd w:fill="E7E6E6"/>
            <w:tcBorders>
              <w:top w:val="single" w:sz="4" w:color="D9D9D9"/>
              <w:left w:val="single" w:sz="4" w:color="D9D9D9"/>
              <w:bottom w:val="single" w:sz="4" w:color="D9D9D9"/>
              <w:right w:val="single" w:sz="4" w:color="D9D9D9"/>
            </w:tcBorders>
            <w:tcMar>
              <w:top w:w="75" w:type="dxa"/>
              <w:left w:w="75" w:type="dxa"/>
              <w:bottom w:w="75" w:type="dxa"/>
              <w:right w:w="75" w:type="dxa"/>
            </w:tcMar>
            <w:tcBorders>
              <w:top w:val="single" w:sz="4" w:color="D9D9D9"/>
              <w:left w:val="single" w:sz="4" w:color="D9D9D9"/>
              <w:bottom w:val="single" w:sz="4" w:color="D9D9D9"/>
              <w:right w:val="single" w:sz="4" w:color="D9D9D9"/>
            </w:tcBorders>
          </w:tcPr>
          <w:p>
            <w:pPr>
              <w:spacing w:after="60" w:line="252" w:lineRule="auto"/>
              <w:jc w:val="center"/>
            </w:pPr>
            <w:r>
              <w:rPr>
                <w:b/>
                <w:sz w:val="18"/>
              </w:rPr>
              <w:t>Ajuste médio</w:t>
              <w:br/>
              <w:t>segundos</w:t>
            </w:r>
          </w:p>
        </w:tc>
      </w:tr>
      <w:tr>
        <w:trPr>
          <w:cantSplit/>
        </w:trPr>
        <w:tc>
          <w:tcPr>
            <w:tcW w:type="dxa" w:w="2098"/>
            <w:tcBorders>
              <w:top w:val="single" w:sz="4" w:color="D9D9D9"/>
              <w:left w:val="single" w:sz="4" w:color="D9D9D9"/>
              <w:bottom w:val="single" w:sz="4" w:color="D9D9D9"/>
              <w:right w:val="single" w:sz="4" w:color="D9D9D9"/>
            </w:tcBorders>
          </w:tcPr>
          <w:p>
            <w:pPr>
              <w:spacing w:after="60" w:line="252" w:lineRule="auto"/>
              <w:jc w:val="left"/>
            </w:pPr>
            <w:r>
              <w:rPr>
                <w:b w:val="0"/>
                <w:sz w:val="18"/>
              </w:rPr>
              <w:t>MLP A</w:t>
            </w:r>
          </w:p>
        </w:tc>
        <w:tc>
          <w:tcPr>
            <w:tcW w:type="dxa" w:w="2154"/>
            <w:tcBorders>
              <w:top w:val="single" w:sz="4" w:color="D9D9D9"/>
              <w:left w:val="single" w:sz="4" w:color="D9D9D9"/>
              <w:bottom w:val="single" w:sz="4" w:color="D9D9D9"/>
              <w:right w:val="single" w:sz="4" w:color="D9D9D9"/>
            </w:tcBorders>
          </w:tcPr>
          <w:p>
            <w:pPr>
              <w:spacing w:after="60" w:line="252" w:lineRule="auto"/>
              <w:jc w:val="center"/>
            </w:pPr>
            <w:r>
              <w:rPr>
                <w:b w:val="0"/>
                <w:sz w:val="18"/>
              </w:rPr>
              <w:t>34,08 ± 0,37</w:t>
            </w:r>
          </w:p>
        </w:tc>
        <w:tc>
          <w:tcPr>
            <w:tcW w:type="dxa" w:w="2154"/>
            <w:tcBorders>
              <w:top w:val="single" w:sz="4" w:color="D9D9D9"/>
              <w:left w:val="single" w:sz="4" w:color="D9D9D9"/>
              <w:bottom w:val="single" w:sz="4" w:color="D9D9D9"/>
              <w:right w:val="single" w:sz="4" w:color="D9D9D9"/>
            </w:tcBorders>
          </w:tcPr>
          <w:p>
            <w:pPr>
              <w:spacing w:after="60" w:line="252" w:lineRule="auto"/>
              <w:jc w:val="center"/>
            </w:pPr>
            <w:r>
              <w:rPr>
                <w:b w:val="0"/>
                <w:sz w:val="18"/>
              </w:rPr>
              <w:t>57,28 ± 1,25</w:t>
            </w:r>
          </w:p>
        </w:tc>
        <w:tc>
          <w:tcPr>
            <w:tcW w:type="dxa" w:w="1361"/>
            <w:tcBorders>
              <w:top w:val="single" w:sz="4" w:color="D9D9D9"/>
              <w:left w:val="single" w:sz="4" w:color="D9D9D9"/>
              <w:bottom w:val="single" w:sz="4" w:color="D9D9D9"/>
              <w:right w:val="single" w:sz="4" w:color="D9D9D9"/>
            </w:tcBorders>
          </w:tcPr>
          <w:p>
            <w:pPr>
              <w:spacing w:after="60" w:line="252" w:lineRule="auto"/>
              <w:jc w:val="center"/>
            </w:pPr>
            <w:r>
              <w:rPr>
                <w:b w:val="0"/>
                <w:sz w:val="18"/>
              </w:rPr>
              <w:t>60,51</w:t>
            </w:r>
          </w:p>
        </w:tc>
        <w:tc>
          <w:tcPr>
            <w:tcW w:type="dxa" w:w="1417"/>
            <w:tcBorders>
              <w:top w:val="single" w:sz="4" w:color="D9D9D9"/>
              <w:left w:val="single" w:sz="4" w:color="D9D9D9"/>
              <w:bottom w:val="single" w:sz="4" w:color="D9D9D9"/>
              <w:right w:val="single" w:sz="4" w:color="D9D9D9"/>
            </w:tcBorders>
          </w:tcPr>
          <w:p>
            <w:pPr>
              <w:spacing w:after="60" w:line="252" w:lineRule="auto"/>
              <w:jc w:val="center"/>
            </w:pPr>
            <w:r>
              <w:rPr>
                <w:b w:val="0"/>
                <w:sz w:val="18"/>
              </w:rPr>
              <w:t>111,04</w:t>
            </w:r>
          </w:p>
        </w:tc>
      </w:tr>
      <w:tr>
        <w:trPr>
          <w:cantSplit/>
        </w:trPr>
        <w:tc>
          <w:tcPr>
            <w:tcW w:type="dxa" w:w="2098"/>
            <w:tcBorders>
              <w:top w:val="single" w:sz="4" w:color="D9D9D9"/>
              <w:left w:val="single" w:sz="4" w:color="D9D9D9"/>
              <w:bottom w:val="single" w:sz="4" w:color="D9D9D9"/>
              <w:right w:val="single" w:sz="4" w:color="D9D9D9"/>
            </w:tcBorders>
          </w:tcPr>
          <w:p>
            <w:pPr>
              <w:spacing w:after="60" w:line="252" w:lineRule="auto"/>
              <w:jc w:val="left"/>
            </w:pPr>
            <w:r>
              <w:rPr>
                <w:b w:val="0"/>
                <w:sz w:val="18"/>
              </w:rPr>
              <w:t>MLP B</w:t>
            </w:r>
          </w:p>
        </w:tc>
        <w:tc>
          <w:tcPr>
            <w:tcW w:type="dxa" w:w="2154"/>
            <w:tcBorders>
              <w:top w:val="single" w:sz="4" w:color="D9D9D9"/>
              <w:left w:val="single" w:sz="4" w:color="D9D9D9"/>
              <w:bottom w:val="single" w:sz="4" w:color="D9D9D9"/>
              <w:right w:val="single" w:sz="4" w:color="D9D9D9"/>
            </w:tcBorders>
          </w:tcPr>
          <w:p>
            <w:pPr>
              <w:spacing w:after="60" w:line="252" w:lineRule="auto"/>
              <w:jc w:val="center"/>
            </w:pPr>
            <w:r>
              <w:rPr>
                <w:b w:val="0"/>
                <w:sz w:val="18"/>
              </w:rPr>
              <w:t>33,49 ± 0,52</w:t>
            </w:r>
          </w:p>
        </w:tc>
        <w:tc>
          <w:tcPr>
            <w:tcW w:type="dxa" w:w="2154"/>
            <w:tcBorders>
              <w:top w:val="single" w:sz="4" w:color="D9D9D9"/>
              <w:left w:val="single" w:sz="4" w:color="D9D9D9"/>
              <w:bottom w:val="single" w:sz="4" w:color="D9D9D9"/>
              <w:right w:val="single" w:sz="4" w:color="D9D9D9"/>
            </w:tcBorders>
          </w:tcPr>
          <w:p>
            <w:pPr>
              <w:spacing w:after="60" w:line="252" w:lineRule="auto"/>
              <w:jc w:val="center"/>
            </w:pPr>
            <w:r>
              <w:rPr>
                <w:b w:val="0"/>
                <w:sz w:val="18"/>
              </w:rPr>
              <w:t>56,38 ± 1,82</w:t>
            </w:r>
          </w:p>
        </w:tc>
        <w:tc>
          <w:tcPr>
            <w:tcW w:type="dxa" w:w="1361"/>
            <w:tcBorders>
              <w:top w:val="single" w:sz="4" w:color="D9D9D9"/>
              <w:left w:val="single" w:sz="4" w:color="D9D9D9"/>
              <w:bottom w:val="single" w:sz="4" w:color="D9D9D9"/>
              <w:right w:val="single" w:sz="4" w:color="D9D9D9"/>
            </w:tcBorders>
          </w:tcPr>
          <w:p>
            <w:pPr>
              <w:spacing w:after="60" w:line="252" w:lineRule="auto"/>
              <w:jc w:val="center"/>
            </w:pPr>
            <w:r>
              <w:rPr>
                <w:b w:val="0"/>
                <w:sz w:val="18"/>
              </w:rPr>
              <w:t>60,38</w:t>
            </w:r>
          </w:p>
        </w:tc>
        <w:tc>
          <w:tcPr>
            <w:tcW w:type="dxa" w:w="1417"/>
            <w:tcBorders>
              <w:top w:val="single" w:sz="4" w:color="D9D9D9"/>
              <w:left w:val="single" w:sz="4" w:color="D9D9D9"/>
              <w:bottom w:val="single" w:sz="4" w:color="D9D9D9"/>
              <w:right w:val="single" w:sz="4" w:color="D9D9D9"/>
            </w:tcBorders>
          </w:tcPr>
          <w:p>
            <w:pPr>
              <w:spacing w:after="60" w:line="252" w:lineRule="auto"/>
              <w:jc w:val="center"/>
            </w:pPr>
            <w:r>
              <w:rPr>
                <w:b w:val="0"/>
                <w:sz w:val="18"/>
              </w:rPr>
              <w:t>143,66</w:t>
            </w:r>
          </w:p>
        </w:tc>
      </w:tr>
      <w:tr>
        <w:trPr>
          <w:cantSplit/>
        </w:trPr>
        <w:tc>
          <w:tcPr>
            <w:tcW w:type="dxa" w:w="2098"/>
            <w:tcBorders>
              <w:top w:val="single" w:sz="4" w:color="D9D9D9"/>
              <w:left w:val="single" w:sz="4" w:color="D9D9D9"/>
              <w:bottom w:val="single" w:sz="4" w:color="D9D9D9"/>
              <w:right w:val="single" w:sz="4" w:color="D9D9D9"/>
            </w:tcBorders>
          </w:tcPr>
          <w:p>
            <w:pPr>
              <w:spacing w:after="60" w:line="252" w:lineRule="auto"/>
              <w:jc w:val="left"/>
            </w:pPr>
            <w:r>
              <w:rPr>
                <w:b w:val="0"/>
                <w:sz w:val="18"/>
              </w:rPr>
              <w:t>XGBoost A</w:t>
            </w:r>
          </w:p>
        </w:tc>
        <w:tc>
          <w:tcPr>
            <w:tcW w:type="dxa" w:w="2154"/>
            <w:tcBorders>
              <w:top w:val="single" w:sz="4" w:color="D9D9D9"/>
              <w:left w:val="single" w:sz="4" w:color="D9D9D9"/>
              <w:bottom w:val="single" w:sz="4" w:color="D9D9D9"/>
              <w:right w:val="single" w:sz="4" w:color="D9D9D9"/>
            </w:tcBorders>
          </w:tcPr>
          <w:p>
            <w:pPr>
              <w:spacing w:after="60" w:line="252" w:lineRule="auto"/>
              <w:jc w:val="center"/>
            </w:pPr>
            <w:r>
              <w:rPr>
                <w:b w:val="0"/>
                <w:sz w:val="18"/>
              </w:rPr>
              <w:t>59,92 ± 0,02</w:t>
            </w:r>
          </w:p>
        </w:tc>
        <w:tc>
          <w:tcPr>
            <w:tcW w:type="dxa" w:w="2154"/>
            <w:tcBorders>
              <w:top w:val="single" w:sz="4" w:color="D9D9D9"/>
              <w:left w:val="single" w:sz="4" w:color="D9D9D9"/>
              <w:bottom w:val="single" w:sz="4" w:color="D9D9D9"/>
              <w:right w:val="single" w:sz="4" w:color="D9D9D9"/>
            </w:tcBorders>
          </w:tcPr>
          <w:p>
            <w:pPr>
              <w:spacing w:after="60" w:line="252" w:lineRule="auto"/>
              <w:jc w:val="center"/>
            </w:pPr>
            <w:r>
              <w:rPr>
                <w:b w:val="0"/>
                <w:sz w:val="18"/>
              </w:rPr>
              <w:t>20,45 ± 0,02</w:t>
            </w:r>
          </w:p>
        </w:tc>
        <w:tc>
          <w:tcPr>
            <w:tcW w:type="dxa" w:w="1361"/>
            <w:tcBorders>
              <w:top w:val="single" w:sz="4" w:color="D9D9D9"/>
              <w:left w:val="single" w:sz="4" w:color="D9D9D9"/>
              <w:bottom w:val="single" w:sz="4" w:color="D9D9D9"/>
              <w:right w:val="single" w:sz="4" w:color="D9D9D9"/>
            </w:tcBorders>
          </w:tcPr>
          <w:p>
            <w:pPr>
              <w:spacing w:after="60" w:line="252" w:lineRule="auto"/>
              <w:jc w:val="center"/>
            </w:pPr>
            <w:r>
              <w:rPr>
                <w:b w:val="0"/>
                <w:sz w:val="18"/>
              </w:rPr>
              <w:t>25,27</w:t>
            </w:r>
          </w:p>
        </w:tc>
        <w:tc>
          <w:tcPr>
            <w:tcW w:type="dxa" w:w="1417"/>
            <w:tcBorders>
              <w:top w:val="single" w:sz="4" w:color="D9D9D9"/>
              <w:left w:val="single" w:sz="4" w:color="D9D9D9"/>
              <w:bottom w:val="single" w:sz="4" w:color="D9D9D9"/>
              <w:right w:val="single" w:sz="4" w:color="D9D9D9"/>
            </w:tcBorders>
          </w:tcPr>
          <w:p>
            <w:pPr>
              <w:spacing w:after="60" w:line="252" w:lineRule="auto"/>
              <w:jc w:val="center"/>
            </w:pPr>
            <w:r>
              <w:rPr>
                <w:b w:val="0"/>
                <w:sz w:val="18"/>
              </w:rPr>
              <w:t>2,53</w:t>
            </w:r>
          </w:p>
        </w:tc>
      </w:tr>
      <w:tr>
        <w:trPr>
          <w:cantSplit/>
        </w:trPr>
        <w:tc>
          <w:tcPr>
            <w:tcW w:type="dxa" w:w="2098"/>
            <w:tcBorders>
              <w:top w:val="single" w:sz="4" w:color="D9D9D9"/>
              <w:left w:val="single" w:sz="4" w:color="D9D9D9"/>
              <w:bottom w:val="single" w:sz="4" w:color="D9D9D9"/>
              <w:right w:val="single" w:sz="4" w:color="D9D9D9"/>
            </w:tcBorders>
          </w:tcPr>
          <w:p>
            <w:pPr>
              <w:spacing w:after="60" w:line="252" w:lineRule="auto"/>
              <w:jc w:val="left"/>
            </w:pPr>
            <w:r>
              <w:rPr>
                <w:b w:val="0"/>
                <w:sz w:val="18"/>
              </w:rPr>
              <w:t>XGBoost B</w:t>
            </w:r>
          </w:p>
        </w:tc>
        <w:tc>
          <w:tcPr>
            <w:tcW w:type="dxa" w:w="2154"/>
            <w:tcBorders>
              <w:top w:val="single" w:sz="4" w:color="D9D9D9"/>
              <w:left w:val="single" w:sz="4" w:color="D9D9D9"/>
              <w:bottom w:val="single" w:sz="4" w:color="D9D9D9"/>
              <w:right w:val="single" w:sz="4" w:color="D9D9D9"/>
            </w:tcBorders>
          </w:tcPr>
          <w:p>
            <w:pPr>
              <w:spacing w:after="60" w:line="252" w:lineRule="auto"/>
              <w:jc w:val="center"/>
            </w:pPr>
            <w:r>
              <w:rPr>
                <w:b w:val="0"/>
                <w:sz w:val="18"/>
              </w:rPr>
              <w:t>53,54 ± 0,25</w:t>
            </w:r>
          </w:p>
        </w:tc>
        <w:tc>
          <w:tcPr>
            <w:tcW w:type="dxa" w:w="2154"/>
            <w:tcBorders>
              <w:top w:val="single" w:sz="4" w:color="D9D9D9"/>
              <w:left w:val="single" w:sz="4" w:color="D9D9D9"/>
              <w:bottom w:val="single" w:sz="4" w:color="D9D9D9"/>
              <w:right w:val="single" w:sz="4" w:color="D9D9D9"/>
            </w:tcBorders>
          </w:tcPr>
          <w:p>
            <w:pPr>
              <w:spacing w:after="60" w:line="252" w:lineRule="auto"/>
              <w:jc w:val="center"/>
            </w:pPr>
            <w:r>
              <w:rPr>
                <w:b w:val="0"/>
                <w:sz w:val="18"/>
              </w:rPr>
              <w:t>21,22 ± 0,62</w:t>
            </w:r>
          </w:p>
        </w:tc>
        <w:tc>
          <w:tcPr>
            <w:tcW w:type="dxa" w:w="1361"/>
            <w:tcBorders>
              <w:top w:val="single" w:sz="4" w:color="D9D9D9"/>
              <w:left w:val="single" w:sz="4" w:color="D9D9D9"/>
              <w:bottom w:val="single" w:sz="4" w:color="D9D9D9"/>
              <w:right w:val="single" w:sz="4" w:color="D9D9D9"/>
            </w:tcBorders>
          </w:tcPr>
          <w:p>
            <w:pPr>
              <w:spacing w:after="60" w:line="252" w:lineRule="auto"/>
              <w:jc w:val="center"/>
            </w:pPr>
            <w:r>
              <w:rPr>
                <w:b w:val="0"/>
                <w:sz w:val="18"/>
              </w:rPr>
              <w:t>26,62</w:t>
            </w:r>
          </w:p>
        </w:tc>
        <w:tc>
          <w:tcPr>
            <w:tcW w:type="dxa" w:w="1417"/>
            <w:tcBorders>
              <w:top w:val="single" w:sz="4" w:color="D9D9D9"/>
              <w:left w:val="single" w:sz="4" w:color="D9D9D9"/>
              <w:bottom w:val="single" w:sz="4" w:color="D9D9D9"/>
              <w:right w:val="single" w:sz="4" w:color="D9D9D9"/>
            </w:tcBorders>
          </w:tcPr>
          <w:p>
            <w:pPr>
              <w:spacing w:after="60" w:line="252" w:lineRule="auto"/>
              <w:jc w:val="center"/>
            </w:pPr>
            <w:r>
              <w:rPr>
                <w:b w:val="0"/>
                <w:sz w:val="18"/>
              </w:rPr>
              <w:t>6,59</w:t>
            </w:r>
          </w:p>
        </w:tc>
      </w:tr>
    </w:tbl>
    <w:p>
      <w:r>
        <w:t>MAE e RMSE em short tons de CO₂ por registro horário. DP é o desvio padrão amostral entre cinco sementes, sem interpretação como intervalo de confiança. O RMSE apresentado é a média dos RMSEs de cada ajuste. O tempo exclui pré-processamento e predição e não corresponde a benchmark repetido de hardware. Fonte: resumo_sementes.csv e metricas_e_tempos.csv do pacote final 03A.05C.</w:t>
      </w:r>
    </w:p>
    <w:p>
      <w:r>
        <w:t>A diferença MAE MLP − XGBoost foi positiva em todos os dez pares de mesma semente e cenário. Na validação, a MLP apresentou menor MAE em todos esses pares, mostrando inversão da ordenação entre outubro e novembro–dezembro. Nas médias de teste, B reduz o MAE da MLP em 1,57% e eleva o do XGBoost em 3,77%; os sinais por semente variam. As melhores épocas da MLP variam de 1 a 24 em A e de 19 a 30 em B; em A, duas sementes restauram a primeira época. O número selecionado de árvores varia de 356 a 498 em A e de 560 a 1.080 em B. Esses registros mostram a influência da validação na complexidade selecionada, sem autorizar nova escolha pelo teste.</w:t>
      </w:r>
    </w:p>
    <w:p>
      <w:pPr>
        <w:pStyle w:val="Caption"/>
        <w:keepNext/>
      </w:pPr>
      <w:r>
        <w:t>Figura D2 MAE de validação e teste por família cenário e semente</w:t>
      </w:r>
    </w:p>
    <w:p>
      <w:pPr>
        <w:keepNext/>
        <w:spacing w:before="0" w:after="80"/>
        <w:ind w:firstLine="0"/>
        <w:jc w:val="center"/>
      </w:pPr>
      <w:r>
        <w:drawing>
          <wp:inline xmlns:a="http://schemas.openxmlformats.org/drawingml/2006/main" xmlns:pic="http://schemas.openxmlformats.org/drawingml/2006/picture">
            <wp:extent cx="6108192" cy="2685498"/>
            <wp:docPr id="3" name="Picture 3" descr="Painéis de validação e teste na mesma escala de MAE. MLP apresenta menor erro na validação de outubro, e XGBoost no teste de novembro e dezembro. Cada cenário mostra cinco sementes e a média, com linhas ligando A e B de mesma semente."/>
            <wp:cNvGraphicFramePr>
              <a:graphicFrameLocks noChangeAspect="1"/>
            </wp:cNvGraphicFramePr>
            <a:graphic>
              <a:graphicData uri="http://schemas.openxmlformats.org/drawingml/2006/picture">
                <pic:pic>
                  <pic:nvPicPr>
                    <pic:cNvPr id="0" name="03A05C_validacao_teste_sementes.png"/>
                    <pic:cNvPicPr/>
                  </pic:nvPicPr>
                  <pic:blipFill>
                    <a:blip r:embed="rId72"/>
                    <a:stretch>
                      <a:fillRect/>
                    </a:stretch>
                  </pic:blipFill>
                  <pic:spPr>
                    <a:xfrm>
                      <a:off x="0" y="0"/>
                      <a:ext cx="6108192" cy="2685498"/>
                    </a:xfrm>
                    <a:prstGeom prst="rect"/>
                  </pic:spPr>
                </pic:pic>
              </a:graphicData>
            </a:graphic>
          </wp:inline>
        </w:drawing>
      </w:r>
    </w:p>
    <w:p>
      <w:pPr>
        <w:pStyle w:val="ArticleNote"/>
        <w:keepLines/>
      </w:pPr>
      <w:r>
        <w:t>Fonte: resultados preservados do complemento 03A.05C. Os painéis usam a mesma escala de MAE; pontos representam as cinco sementes e losangos, suas médias. As linhas finas ligam A e B na mesma família e semente. A validação contém 211 horas de outubro; o teste, 1.144 horas de novembro e dezembro de 2025. As sementes repetem o treinamento nas mesmas partições, sem representar amostras temporais independentes.</w:t>
      </w:r>
    </w:p>
    <w:p>
      <w:r>
        <w:t>Os dez ajustes de MLP acumularam 1.273,49 segundos de treinamento; os dez de XGBoost, 45,59 segundos, no ambiente registrado. A execução utilizou Linux x86_64 no Colab, Python 3.13.18, TensorFlow 2.21.0, Keras 3.13.2, XGBoost 3.4.1, scikit-learn 1.6.1, NumPy 2.1.3, pandas 2.2.3 e PyArrow 23.0.1. Os tempos descrevem esta execução e não igualam esforço computacional entre famílias. As cinco sementes não corrigem a consulta repetida ao mesmo teste, nem avaliam unidades ou períodos novos. O experimento sustenta estabilidade condicional da ordenação entre famílias no teste observado; não demonstra superioridade universal ou desempenho futuro.</w:t>
      </w:r>
    </w:p>
    <w:sectPr w:rsidR="00FC693F" w:rsidRPr="0006063C" w:rsidSect="00034616">
      <w:headerReference w:type="default" r:id="rId9"/>
      <w:footerReference w:type="default" r:id="rId10"/>
      <w:pgSz w:w="12240" w:h="15840"/>
      <w:pgMar w:top="1304" w:right="1304" w:bottom="1304" w:left="1304"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Modelagem de emissões de CO₂</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before="0" w:after="120" w:line="269" w:lineRule="auto"/>
      <w:jc w:val="both"/>
    </w:pPr>
    <w:rPr>
      <w:rFonts w:ascii="Times New Roman" w:hAnsi="Times New Roman" w:eastAsia="Times New Roman" w:cs="Times New Roman"/>
      <w:b w:val="0"/>
      <w:color w:val="000000"/>
      <w:sz w:val="23"/>
      <w:lang w:val="pt-BR"/>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jc w:val="center"/>
    </w:pPr>
    <w:rPr>
      <w:rFonts w:ascii="Times New Roman" w:hAnsi="Times New Roman" w:eastAsia="Times New Roman" w:cs="Times New Roman"/>
      <w:b w:val="0"/>
      <w:color w:val="000000"/>
      <w:sz w:val="18"/>
      <w:lang w:val="pt-B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jc w:val="center"/>
    </w:pPr>
    <w:rPr>
      <w:rFonts w:ascii="Times New Roman" w:hAnsi="Times New Roman" w:eastAsia="Times New Roman" w:cs="Times New Roman"/>
      <w:b w:val="0"/>
      <w:color w:val="000000"/>
      <w:sz w:val="18"/>
      <w:lang w:val="pt-BR"/>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00" w:line="269" w:lineRule="auto"/>
      <w:jc w:val="left"/>
      <w:outlineLvl w:val="0"/>
    </w:pPr>
    <w:rPr>
      <w:rFonts w:ascii="Times New Roman" w:hAnsi="Times New Roman" w:eastAsia="Times New Roman" w:cs="Times New Roman"/>
      <w:b/>
      <w:bCs/>
      <w:color w:val="000000"/>
      <w:sz w:val="28"/>
      <w:szCs w:val="28"/>
      <w:lang w:val="pt-BR"/>
    </w:rPr>
  </w:style>
  <w:style w:type="paragraph" w:styleId="Heading2">
    <w:name w:val="heading 2"/>
    <w:basedOn w:val="Normal"/>
    <w:next w:val="Normal"/>
    <w:link w:val="Heading2Char"/>
    <w:uiPriority w:val="9"/>
    <w:unhideWhenUsed/>
    <w:qFormat/>
    <w:rsid w:val="00FC693F"/>
    <w:pPr>
      <w:keepNext/>
      <w:keepLines/>
      <w:widowControl/>
      <w:spacing w:before="180" w:after="100" w:line="269" w:lineRule="auto"/>
      <w:jc w:val="left"/>
      <w:outlineLvl w:val="1"/>
    </w:pPr>
    <w:rPr>
      <w:rFonts w:ascii="Times New Roman" w:hAnsi="Times New Roman" w:eastAsia="Times New Roman" w:cs="Times New Roman"/>
      <w:b/>
      <w:bCs/>
      <w:color w:val="000000"/>
      <w:sz w:val="24"/>
      <w:szCs w:val="26"/>
      <w:lang w:val="pt-B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160" w:line="252" w:lineRule="auto" w:before="0"/>
      <w:contextualSpacing/>
      <w:jc w:val="center"/>
    </w:pPr>
    <w:rPr>
      <w:rFonts w:ascii="Times New Roman" w:hAnsi="Times New Roman" w:eastAsia="Times New Roman" w:cs="Times New Roman"/>
      <w:b/>
      <w:color w:val="000000"/>
      <w:spacing w:val="5"/>
      <w:kern w:val="28"/>
      <w:sz w:val="34"/>
      <w:szCs w:val="52"/>
      <w:lang w:val="pt-B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keepLines/>
      <w:widowControl/>
      <w:spacing w:line="252" w:lineRule="auto" w:before="120" w:after="80"/>
      <w:jc w:val="left"/>
    </w:pPr>
    <w:rPr>
      <w:rFonts w:ascii="Times New Roman" w:hAnsi="Times New Roman" w:eastAsia="Times New Roman" w:cs="Times New Roman"/>
      <w:b w:val="0"/>
      <w:bCs/>
      <w:color w:val="000000"/>
      <w:sz w:val="20"/>
      <w:szCs w:val="18"/>
      <w:lang w:val="pt-B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Note">
    <w:name w:val="Article Note"/>
    <w:pPr>
      <w:keepNext w:val="0"/>
      <w:widowControl/>
      <w:spacing w:before="0" w:after="140" w:line="252" w:lineRule="auto"/>
      <w:jc w:val="left"/>
    </w:pPr>
    <w:rPr>
      <w:rFonts w:ascii="Times New Roman" w:hAnsi="Times New Roman" w:eastAsia="Times New Roman" w:cs="Times New Roman"/>
      <w:b w:val="0"/>
      <w:color w:val="000000"/>
      <w:sz w:val="19"/>
      <w:lang w:val="pt-BR"/>
    </w:rPr>
  </w:style>
  <w:style w:type="paragraph" w:customStyle="1" w:styleId="ArticleReference">
    <w:name w:val="Article Reference"/>
    <w:pPr>
      <w:keepNext w:val="0"/>
      <w:keepLines/>
      <w:widowControl/>
      <w:spacing w:before="0" w:after="210" w:line="240" w:lineRule="auto"/>
      <w:ind w:left="0" w:firstLine="0"/>
      <w:jc w:val="left"/>
    </w:pPr>
    <w:rPr>
      <w:rFonts w:ascii="Times New Roman" w:hAnsi="Times New Roman" w:eastAsia="Times New Roman" w:cs="Times New Roman"/>
      <w:b w:val="0"/>
      <w:color w:val="000000"/>
      <w:sz w:val="21"/>
      <w:lang w:val="pt-BR"/>
    </w:rPr>
  </w:style>
  <w:style w:type="paragraph" w:customStyle="1" w:styleId="SupplementText">
    <w:name w:val="Supplement Text"/>
    <w:basedOn w:val="Normal"/>
    <w:pPr>
      <w:widowControl/>
      <w:spacing w:line="254" w:lineRule="auto" w:after="80"/>
    </w:pPr>
    <w:rPr>
      <w:rFonts w:ascii="Times New Roman" w:hAnsi="Times New Roman"/>
      <w:color w:val="000000"/>
      <w:sz w:val="21"/>
    </w:rPr>
  </w:style>
  <w:style w:type="paragraph" w:customStyle="1" w:styleId="SupplementNote">
    <w:name w:val="Supplement Note"/>
    <w:basedOn w:val="Normal"/>
    <w:pPr>
      <w:widowControl/>
      <w:spacing w:line="254" w:lineRule="auto" w:after="80"/>
    </w:pPr>
    <w:rPr>
      <w:rFonts w:ascii="Times New Roman" w:hAnsi="Times New Roman"/>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oi.org/10.1016/j.energy.2020.119026" TargetMode="External"/><Relationship Id="rId13" Type="http://schemas.openxmlformats.org/officeDocument/2006/relationships/hyperlink" Target="https://www.sciencedirect.com/science/article/pii/S0360544220321332" TargetMode="External"/><Relationship Id="rId14" Type="http://schemas.openxmlformats.org/officeDocument/2006/relationships/hyperlink" Target="https://jmlr.org/papers/v13/bergstra12a.html" TargetMode="External"/><Relationship Id="rId15" Type="http://schemas.openxmlformats.org/officeDocument/2006/relationships/hyperlink" Target="https://jmlr.org/papers/v11/cawley10a.html" TargetMode="External"/><Relationship Id="rId16" Type="http://schemas.openxmlformats.org/officeDocument/2006/relationships/hyperlink" Target="https://doi.org/10.1007/s10994-020-05910-7" TargetMode="External"/><Relationship Id="rId17" Type="http://schemas.openxmlformats.org/officeDocument/2006/relationships/hyperlink" Target="https://link.springer.com/article/10.1007/s10994-020-05910-7" TargetMode="External"/><Relationship Id="rId18" Type="http://schemas.openxmlformats.org/officeDocument/2006/relationships/hyperlink" Target="https://doi.org/10.1145/2939672.2939785" TargetMode="External"/><Relationship Id="rId19" Type="http://schemas.openxmlformats.org/officeDocument/2006/relationships/hyperlink" Target="https://www.kdd.org/kdd2016/papers/files/rfp0697-chenAemb.pdf" TargetMode="External"/><Relationship Id="rId20" Type="http://schemas.openxmlformats.org/officeDocument/2006/relationships/hyperlink" Target="https://github.com/prcgui/co2-cems-thermal-modeling" TargetMode="External"/><Relationship Id="rId21" Type="http://schemas.openxmlformats.org/officeDocument/2006/relationships/hyperlink" Target="https://doi.org/10.1214/aos/1013203451" TargetMode="External"/><Relationship Id="rId22" Type="http://schemas.openxmlformats.org/officeDocument/2006/relationships/hyperlink" Target="https://projecteuclid.org/journals/annals-of-statistics/volume-29/issue-5/Greedy-function-approximation-A-gradient-boosting-machine/10.1214/aos/1013203451.full" TargetMode="External"/><Relationship Id="rId23" Type="http://schemas.openxmlformats.org/officeDocument/2006/relationships/hyperlink" Target="https://doi.org/10.1145/2523813" TargetMode="External"/><Relationship Id="rId24" Type="http://schemas.openxmlformats.org/officeDocument/2006/relationships/hyperlink" Target="https://dl.acm.org/doi/10.1145/2523813" TargetMode="External"/><Relationship Id="rId25" Type="http://schemas.openxmlformats.org/officeDocument/2006/relationships/hyperlink" Target="https://proceedings.mlr.press/v15/glorot11a.html" TargetMode="External"/><Relationship Id="rId26" Type="http://schemas.openxmlformats.org/officeDocument/2006/relationships/hyperlink" Target="https://doi.org/10.1039/D3VA00191A" TargetMode="External"/><Relationship Id="rId27" Type="http://schemas.openxmlformats.org/officeDocument/2006/relationships/hyperlink" Target="https://pubs.rsc.org/en/content/articlehtml/2023/va/d3va00191a" TargetMode="External"/><Relationship Id="rId28" Type="http://schemas.openxmlformats.org/officeDocument/2006/relationships/hyperlink" Target="https://doi.org/10.1016/j.ijforecast.2006.03.001" TargetMode="External"/><Relationship Id="rId29" Type="http://schemas.openxmlformats.org/officeDocument/2006/relationships/hyperlink" Target="https://robjhyndman.com/publications/another-look-at-measures-of-forecast-accuracy/" TargetMode="External"/><Relationship Id="rId30" Type="http://schemas.openxmlformats.org/officeDocument/2006/relationships/hyperlink" Target="https://doi.org/10.1098/rsta.2015.0202" TargetMode="External"/><Relationship Id="rId31" Type="http://schemas.openxmlformats.org/officeDocument/2006/relationships/hyperlink" Target="https://pmc.ncbi.nlm.nih.gov/articles/PMC4792409/" TargetMode="External"/><Relationship Id="rId32" Type="http://schemas.openxmlformats.org/officeDocument/2006/relationships/hyperlink" Target="https://arxiv.org/abs/1412.6980" TargetMode="External"/><Relationship Id="rId33" Type="http://schemas.openxmlformats.org/officeDocument/2006/relationships/hyperlink" Target="https://doi.org/10.3390/fuels6010001" TargetMode="External"/><Relationship Id="rId34" Type="http://schemas.openxmlformats.org/officeDocument/2006/relationships/hyperlink" Target="https://www.mdpi.com/2673-3994/6/1/1" TargetMode="External"/><Relationship Id="rId35" Type="http://schemas.openxmlformats.org/officeDocument/2006/relationships/hyperlink" Target="https://doi.org/10.3390/en18071715" TargetMode="External"/><Relationship Id="rId36" Type="http://schemas.openxmlformats.org/officeDocument/2006/relationships/hyperlink" Target="https://www.mdpi.com/1996-1073/18/7/1715" TargetMode="External"/><Relationship Id="rId37" Type="http://schemas.openxmlformats.org/officeDocument/2006/relationships/hyperlink" Target="https://doi.org/10.18434/M32189" TargetMode="External"/><Relationship Id="rId38" Type="http://schemas.openxmlformats.org/officeDocument/2006/relationships/hyperlink" Target="https://www.itl.nist.gov/div898/handbook/" TargetMode="External"/><Relationship Id="rId39" Type="http://schemas.openxmlformats.org/officeDocument/2006/relationships/hyperlink" Target="https://doi.org/10.1038/323533a0" TargetMode="External"/><Relationship Id="rId40" Type="http://schemas.openxmlformats.org/officeDocument/2006/relationships/hyperlink" Target="https://www.cs.toronto.edu/~hinton/absps/naturebp.pdf" TargetMode="External"/><Relationship Id="rId41" Type="http://schemas.openxmlformats.org/officeDocument/2006/relationships/hyperlink" Target="https://scikit-learn.org/1.8/user_guide.html" TargetMode="External"/><Relationship Id="rId42" Type="http://schemas.openxmlformats.org/officeDocument/2006/relationships/hyperlink" Target="https://doi.org/10.3390/en17246449" TargetMode="External"/><Relationship Id="rId43" Type="http://schemas.openxmlformats.org/officeDocument/2006/relationships/hyperlink" Target="https://www.mdpi.com/1996-1073/17/24/6449" TargetMode="External"/><Relationship Id="rId44" Type="http://schemas.openxmlformats.org/officeDocument/2006/relationships/hyperlink" Target="https://www.epa.gov/system/files/documents/2022-07/CAMD%27s%20Power%20Sector%20Emissions%20Data%20Guide%20-%2007182022.pdf" TargetMode="External"/><Relationship Id="rId45" Type="http://schemas.openxmlformats.org/officeDocument/2006/relationships/hyperlink" Target="https://www.epa.gov/system/files/documents/2024-12/ecmps_monitoring_plan_reporting_instructions-12202024.pdf" TargetMode="External"/><Relationship Id="rId46" Type="http://schemas.openxmlformats.org/officeDocument/2006/relationships/hyperlink" Target="https://doi.org/10.3390/en16041646" TargetMode="External"/><Relationship Id="rId47" Type="http://schemas.openxmlformats.org/officeDocument/2006/relationships/hyperlink" Target="https://www.mdpi.com/1996-1073/16/4/1646" TargetMode="External"/><Relationship Id="rId48" Type="http://schemas.openxmlformats.org/officeDocument/2006/relationships/hyperlink" Target="https://github.com/prcgui/co2-cems-thermal-modeling/tree/029a68ef63aa7aee0d15db504b25c9f1da85d5be" TargetMode="External"/><Relationship Id="rId49" Type="http://schemas.openxmlformats.org/officeDocument/2006/relationships/hyperlink" Target="https://github.com/prcgui/co2-cems-thermal-modeling/tree/ed9d409fbf7805e0bbc9fe1fa1ac944cc1e4c8f4" TargetMode="External"/><Relationship Id="rId50" Type="http://schemas.openxmlformats.org/officeDocument/2006/relationships/hyperlink" Target="https://github.com/prcgui/co2-cems-thermal-modeling/tree/f18f4a2167508cd5e61725adfebea3ecbe7a907c" TargetMode="External"/><Relationship Id="rId51" Type="http://schemas.openxmlformats.org/officeDocument/2006/relationships/hyperlink" Target="https://campd.epa.gov/" TargetMode="External"/><Relationship Id="rId52" Type="http://schemas.openxmlformats.org/officeDocument/2006/relationships/hyperlink" Target="https://github.com/prcgui/co2-cems-thermal-modeling/blob/9c0a1af0ec13d1953899bdc3d2621a50d719103d/notebooks/01_selecao_unidade_estudo.ipynb" TargetMode="External"/><Relationship Id="rId53" Type="http://schemas.openxmlformats.org/officeDocument/2006/relationships/hyperlink" Target="https://github.com/prcgui/co2-cems-thermal-modeling/blob/9c0a1af0ec13d1953899bdc3d2621a50d719103d/notebooks/02_tratamento_dados.ipynb" TargetMode="External"/><Relationship Id="rId54" Type="http://schemas.openxmlformats.org/officeDocument/2006/relationships/hyperlink" Target="https://github.com/prcgui/co2-cems-thermal-modeling/blob/9c0a1af0ec13d1953899bdc3d2621a50d719103d/notebooks/03A_modelagem_preditiva_co2.ipynb" TargetMode="External"/><Relationship Id="rId55" Type="http://schemas.openxmlformats.org/officeDocument/2006/relationships/hyperlink" Target="https://github.com/prcgui/co2-cems-thermal-modeling/blob/9c0a1af0ec13d1953899bdc3d2621a50d719103d/notebooks/03A.01_modelagem_preditiva_co2.ipynb" TargetMode="External"/><Relationship Id="rId56" Type="http://schemas.openxmlformats.org/officeDocument/2006/relationships/hyperlink" Target="https://github.com/prcgui/co2-cems-thermal-modeling/blob/9c0a1af0ec13d1953899bdc3d2621a50d719103d/notebooks/03A.02_comparacao_modelos_gradient_boosting.ipynb" TargetMode="External"/><Relationship Id="rId57" Type="http://schemas.openxmlformats.org/officeDocument/2006/relationships/hyperlink" Target="https://github.com/prcgui/co2-cems-thermal-modeling/blob/9c0a1af0ec13d1953899bdc3d2621a50d719103d/notebooks/03A.03_otimizacao_pareada_xgboost.ipynb" TargetMode="External"/><Relationship Id="rId58" Type="http://schemas.openxmlformats.org/officeDocument/2006/relationships/hyperlink" Target="https://github.com/prcgui/co2-cems-thermal-modeling/blob/9c0a1af0ec13d1953899bdc3d2621a50d719103d/notebooks/03A.04_volume_dados_generalizacao_temporal_iatan.ipynb" TargetMode="External"/><Relationship Id="rId59" Type="http://schemas.openxmlformats.org/officeDocument/2006/relationships/hyperlink" Target="https://github.com/prcgui/co2-cems-thermal-modeling/blob/9c0a1af0ec13d1953899bdc3d2621a50d719103d/notebooks/03A.05_trajetoria_operacional_historico_ampliado.ipynb" TargetMode="External"/><Relationship Id="rId60" Type="http://schemas.openxmlformats.org/officeDocument/2006/relationships/hyperlink" Target="https://github.com/prcgui/co2-cems-thermal-modeling/tree/9c0a1af0ec13d1953899bdc3d2621a50d719103d/outputs/reports" TargetMode="External"/><Relationship Id="rId61" Type="http://schemas.openxmlformats.org/officeDocument/2006/relationships/hyperlink" Target="https://github.com/prcgui/co2-cems-thermal-modeling/tree/9c0a1af0ec13d1953899bdc3d2621a50d719103d/outputs/tables" TargetMode="External"/><Relationship Id="rId62" Type="http://schemas.openxmlformats.org/officeDocument/2006/relationships/hyperlink" Target="https://github.com/prcgui/co2-cems-thermal-modeling/tree/9c0a1af0ec13d1953899bdc3d2621a50d719103d/reproducibility/baselines" TargetMode="External"/><Relationship Id="rId63" Type="http://schemas.openxmlformats.org/officeDocument/2006/relationships/hyperlink" Target="https://github.com/prcgui/co2-cems-thermal-modeling/blob/9c0a1af0ec13d1953899bdc3d2621a50d719103d/reproducibility/README.md" TargetMode="External"/><Relationship Id="rId64" Type="http://schemas.openxmlformats.org/officeDocument/2006/relationships/hyperlink" Target="https://github.com/prcgui/co2-cems-thermal-modeling/blob/9c0a1af0ec13d1953899bdc3d2621a50d719103d/reproducibility/monitoring/README.md" TargetMode="External"/><Relationship Id="rId65" Type="http://schemas.openxmlformats.org/officeDocument/2006/relationships/hyperlink" Target="https://drive.google.com/file/d/1-gZ6PxCq2niYLdbd7br_dYJ_LroD0sCc/view?usp=drivesdk" TargetMode="External"/><Relationship Id="rId66" Type="http://schemas.openxmlformats.org/officeDocument/2006/relationships/hyperlink" Target="https://www.itl.nist.gov/div898/handbook/eda/section3/boxplot.htm" TargetMode="External"/><Relationship Id="rId67" Type="http://schemas.openxmlformats.org/officeDocument/2006/relationships/hyperlink" Target="https://www.itl.nist.gov/div898/handbook/eda/section3/eda35h.htm" TargetMode="External"/><Relationship Id="rId68" Type="http://schemas.openxmlformats.org/officeDocument/2006/relationships/hyperlink" Target="https://scikit-learn.org/1.8/modules/generated/sklearn.preprocessing.MinMaxScaler.html" TargetMode="External"/><Relationship Id="rId69" Type="http://schemas.openxmlformats.org/officeDocument/2006/relationships/hyperlink" Target="https://scikit-learn.org/1.8/modules/model_evaluation.html#regression-metrics" TargetMode="External"/><Relationship Id="rId70" Type="http://schemas.openxmlformats.org/officeDocument/2006/relationships/hyperlink" Target="https://www.epa.gov/power-sector/power-sector-data" TargetMode="External"/><Relationship Id="rId71" Type="http://schemas.openxmlformats.org/officeDocument/2006/relationships/image" Target="media/image2.png"/><Relationship Id="rId7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Trajetória operacional e histórico de treinamento na estimação de emissões horárias de CO₂ em uma unidade termelétrica a carvão</dc:title>
  <dc:subject>Versão revisada com incorporação das referências fornecidas em 29/10/2026</dc:subject>
  <dc:creator>Guilherme Pereira Rodrigues da Costa · Felipe Calmon · Thiago Menezes</dc:creator>
  <cp:keywords>CO2; modelagem matemática; aprendizado de máquina; CEMS</cp:keywords>
  <dc:description>Revisão de concisão, coesão, organização metodológica e acesso aos materiais em 24 de outubro de 2026.</dc:description>
  <cp:lastModifiedBy/>
  <cp:revision>1</cp:revision>
  <dcterms:created xsi:type="dcterms:W3CDTF">2013-12-23T23:15:00Z</dcterms:created>
  <dcterms:modified xsi:type="dcterms:W3CDTF">2013-12-23T23:15:00Z</dcterms:modified>
  <cp:category/>
</cp:coreProperties>
</file>