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4D6B"/>
          <w:sz w:val="44"/>
          <w:szCs w:val="44"/>
        </w:rPr>
        <w:t xml:space="preserve">EchoSight</w:t>
      </w:r>
    </w:p>
    <w:p>
      <w:pPr>
        <w:spacing w:after="40"/>
      </w:pPr>
      <w:r>
        <w:rPr>
          <w:i/>
          <w:iCs/>
          <w:color w:val="595959"/>
          <w:sz w:val="24"/>
          <w:szCs w:val="24"/>
        </w:rPr>
        <w:t xml:space="preserve">See Beyond. Hear the Path.</w:t>
      </w:r>
    </w:p>
    <w:p>
      <w:pPr>
        <w:spacing w:after="320"/>
      </w:pPr>
      <w:r>
        <w:rPr>
          <w:b/>
          <w:bCs/>
          <w:sz w:val="28"/>
          <w:szCs w:val="28"/>
        </w:rPr>
        <w:t xml:space="preserve">Document 1 — Revenue &amp;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24"/>
              <w:bottom w:val="single" w:color="8A4B08" w:sz="4"/>
              <w:right w:val="single" w:color="8A4B08" w:sz="4"/>
            </w:tcBorders>
            <w:shd w:fill="FBE9D7" w:val="clear"/>
            <w:tcMar>
              <w:top w:type="dxa" w:w="160"/>
              <w:left w:type="dxa" w:w="220"/>
              <w:bottom w:type="dxa" w:w="160"/>
              <w:right w:type="dxa" w:w="220"/>
            </w:tcMar>
          </w:tcPr>
          <w:p>
            <w:pPr>
              <w:spacing w:after="80"/>
            </w:pPr>
            <w:r>
              <w:rPr>
                <w:b/>
                <w:bCs/>
                <w:color w:val="8A4B08"/>
                <w:sz w:val="21"/>
                <w:szCs w:val="21"/>
              </w:rPr>
              <w:t xml:space="preserve">How to read this document</w:t>
            </w:r>
          </w:p>
          <w:p>
            <w:pPr>
              <w:spacing w:after="0"/>
            </w:pPr>
            <w:r>
              <w:rPr>
                <w:b w:val="false"/>
                <w:bCs w:val="false"/>
                <w:color w:val="8A4B08"/>
                <w:sz w:val="21"/>
                <w:szCs w:val="21"/>
              </w:rPr>
              <w:t xml:space="preserve">Every number below is built from a stated assumption — usage rate, conversion rate, and per-call inference cost — none of which are measured yet. We mark each one explicitly rather than presenting them as validated data. The single most important output of this document is not a revenue number; it is the honest conclusion that consumer subscriptions alone do not reach gross-margin breakeven at 1,000 MAU, and what that implies for go-to-market sequencing.</w:t>
            </w:r>
          </w:p>
        </w:tc>
      </w:tr>
    </w:tbl>
    <w:p>
      <w:pPr>
        <w:spacing w:after="200"/>
      </w:pPr>
    </w:p>
    <w:p>
      <w:pPr>
        <w:pStyle w:val="Heading1"/>
      </w:pPr>
      <w:r>
        <w:t xml:space="preserve">1. Business Model</w:t>
      </w:r>
    </w:p>
    <w:p>
      <w:pPr>
        <w:spacing w:after="160"/>
      </w:pPr>
      <w:r>
        <w:t xml:space="preserve">EchoSight runs a freemium consumer subscription layered under an institutional licensing business. The two are not redundant — they serve different buyers solving different problems, and as the unit economics in Section 4 show, the institutional layer is not a nice-to-have upsell. At early scale, it is structurally required for the business to approach breakeven.</w:t>
      </w:r>
    </w:p>
    <w:p>
      <w:pPr>
        <w:pStyle w:val="Heading2"/>
      </w:pPr>
      <w:r>
        <w:t xml:space="preserve">Why freemium, not a free product or a hard paywall</w:t>
      </w:r>
    </w:p>
    <w:p>
      <w:pPr>
        <w:pStyle w:val="ListParagraph"/>
        <w:numPr>
          <w:ilvl w:val="0"/>
          <w:numId w:val="2"/>
        </w:numPr>
        <w:spacing w:after="80"/>
      </w:pPr>
      <w:r>
        <w:t xml:space="preserve">A hard paywall is wrong for this category. The core users — people with significant visual impairment — are disproportionately likely to be unemployed or underemployed relative to the general population, and many rely on family support, NGO assistance, or government disability pensions rather than discretionary income. Gatekeeping basic accessibility behind a paywall from day one would contradict the stated mission and would also fail commercially, because the people most willing to evangelize the product in disability communities are often the ones least able to pay upfront.</w:t>
      </w:r>
    </w:p>
    <w:p>
      <w:pPr>
        <w:pStyle w:val="ListParagraph"/>
        <w:numPr>
          <w:ilvl w:val="0"/>
          <w:numId w:val="2"/>
        </w:numPr>
        <w:spacing w:after="80"/>
      </w:pPr>
      <w:r>
        <w:t xml:space="preserve">A fully free product with no monetization path is not a company — it's a grant-funded project, and grant funding for assistive tech is real but small, slow, and not how you build something that compounds. We need a model where heavy/power users (and the institutions serving many of them at once) fund the infrastructure that lighter, free users also benefit from.</w:t>
      </w:r>
    </w:p>
    <w:p>
      <w:pPr>
        <w:pStyle w:val="ListParagraph"/>
        <w:numPr>
          <w:ilvl w:val="0"/>
          <w:numId w:val="2"/>
        </w:numPr>
        <w:spacing w:after="80"/>
      </w:pPr>
      <w:r>
        <w:t xml:space="preserve">Freemium with a deliberately low premium price point threads this: core safety and independence features (Navigation Assistant, Emergency SOS, basic Scene Understanding, Read Text) stay free and usable without limits that would compromise safety. Premium unlocks higher usage ceilings, faster fallback routing, and convenience features — not safety-critical ones. We do not want a pricing model where a free user hits a wall mid-navigation because they ran out of calls; that's a design failure, not a monetization win.</w:t>
      </w:r>
    </w:p>
    <w:p>
      <w:pPr>
        <w:pStyle w:val="Heading2"/>
      </w:pPr>
      <w:r>
        <w:t xml:space="preserve">Why this model specifically fits accessibility (not just 'why freemium works')</w:t>
      </w:r>
    </w:p>
    <w:p>
      <w:pPr>
        <w:pStyle w:val="ListParagraph"/>
        <w:numPr>
          <w:ilvl w:val="0"/>
          <w:numId w:val="2"/>
        </w:numPr>
        <w:spacing w:after="80"/>
      </w:pPr>
      <w:r>
        <w:t xml:space="preserve">Usage is bursty and need-driven, not engagement-driven. Unlike a social or productivity app, the goal isn't to maximize time-in-app — more usage often means the user is in an unfamiliar or higher-friction situation. This means engagement-based monetization (ads, attention) is both ethically wrong and commercially weak here. Subscription for capability, not attention, is the only model that aligns incentives correctly.</w:t>
      </w:r>
    </w:p>
    <w:p>
      <w:pPr>
        <w:pStyle w:val="ListParagraph"/>
        <w:numPr>
          <w:ilvl w:val="0"/>
          <w:numId w:val="2"/>
        </w:numPr>
        <w:spacing w:after="80"/>
      </w:pPr>
      <w:r>
        <w:t xml:space="preserve">The buyer is frequently not the end user. Schools, NGOs, and families often make or influence the purchasing decision for assistive technology. This is why institutional channels (Section 3) carry disproportionate revenue weight relative to MAU — a single school deal can outweigh dozens of individual subscriptions, and the sales motion is fundamentally different (procurement cycle, not app-store conversion funnel).</w:t>
      </w:r>
    </w:p>
    <w:p>
      <w:pPr>
        <w:pStyle w:val="ListParagraph"/>
        <w:numPr>
          <w:ilvl w:val="0"/>
          <w:numId w:val="2"/>
        </w:numPr>
        <w:spacing w:after="80"/>
      </w:pPr>
      <w:r>
        <w:t xml:space="preserve">Trust and reliability matter more than feature breadth to this audience. A visually impaired user evaluating a navigation tool is making a safety decision, not a convenience decision. This argues for a pricing model that doesn't gate safety features, because a user who feels nickel-and-dimed on something they depend on physically will churn immediately and tell their community why.</w:t>
      </w:r>
    </w:p>
    <w:p>
      <w:pPr>
        <w:pStyle w:val="Heading1"/>
      </w:pPr>
      <w:r>
        <w:t xml:space="preserve">2. Freemium Strategy &amp; Premium Pricing</w:t>
      </w:r>
    </w:p>
    <w:p>
      <w:pPr>
        <w:pStyle w:val="Heading2"/>
      </w:pPr>
      <w:r>
        <w:t xml:space="preserve">Free tier — what's included and why</w:t>
      </w:r>
    </w:p>
    <w:p>
      <w:pPr>
        <w:pStyle w:val="ListParagraph"/>
        <w:numPr>
          <w:ilvl w:val="0"/>
          <w:numId w:val="2"/>
        </w:numPr>
        <w:spacing w:after="80"/>
      </w:pPr>
      <w:r>
        <w:t xml:space="preserve">Unlimited Read Text (OCR via Google ML Kit) — this runs entirely on-device with zero marginal API cost to us, so there's no economic reason to limit it, and limiting it would be actively harmful to someone trying to read a prescription label or a bus sign.</w:t>
      </w:r>
    </w:p>
    <w:p>
      <w:pPr>
        <w:pStyle w:val="ListParagraph"/>
        <w:numPr>
          <w:ilvl w:val="0"/>
          <w:numId w:val="2"/>
        </w:numPr>
        <w:spacing w:after="80"/>
      </w:pPr>
      <w:r>
        <w:t xml:space="preserve">Navigation Assistant and Scene Understanding — capped at a stated assumption of 8 AI calls/day. This is a soft cap intended to cover ordinary daily use (a couple of outings) for an occasional or light user, while creating natural upgrade pressure for someone using the app as a primary daily tool.</w:t>
      </w:r>
    </w:p>
    <w:p>
      <w:pPr>
        <w:pStyle w:val="ListParagraph"/>
        <w:numPr>
          <w:ilvl w:val="0"/>
          <w:numId w:val="2"/>
        </w:numPr>
        <w:spacing w:after="80"/>
      </w:pPr>
      <w:r>
        <w:t xml:space="preserve">Currency Recognition — available but rate-limited similarly to Scene Understanding, since it shares the same vision-inference pipeline cost.</w:t>
      </w:r>
    </w:p>
    <w:p>
      <w:pPr>
        <w:pStyle w:val="ListParagraph"/>
        <w:numPr>
          <w:ilvl w:val="0"/>
          <w:numId w:val="2"/>
        </w:numPr>
        <w:spacing w:after="80"/>
      </w:pPr>
      <w:r>
        <w:t xml:space="preserve">Emergency SOS — always free, always unlimited, no exceptions. This is non-negotiable on ethical grounds and is also a trust-building feature: it signals the company will not hold safety hostage to revenue.</w:t>
      </w:r>
    </w:p>
    <w:p>
      <w:pPr>
        <w:pStyle w:val="Heading2"/>
      </w:pPr>
      <w:r>
        <w:t xml:space="preserve">Premium tier — ₹149/month (~US$1.80)</w:t>
      </w:r>
    </w:p>
    <w:p>
      <w:pPr>
        <w:spacing w:after="160"/>
      </w:pPr>
      <w:r>
        <w:rPr>
          <w:i w:val="false"/>
          <w:iCs w:val="false"/>
        </w:rPr>
        <w:t xml:space="preserve">Pricing rationale: We anchor at ₹149/month rather than ₹99 or ₹199, the two ends of the range under consideration. ₹99 likely undervalues an AI-driven feature set relative to what users already pay for comparable single-purpose utility subscriptions in India, while ₹199 starts to approach the psychological threshold of a full OTT subscription, which is a poor comparison point for an accessibility tool aimed at a population with constrained discretionary income. ₹149 sits below that anchor.</w:t>
      </w:r>
    </w:p>
    <w:p>
      <w:pPr>
        <w:pStyle w:val="ListParagraph"/>
        <w:numPr>
          <w:ilvl w:val="0"/>
          <w:numId w:val="2"/>
        </w:numPr>
        <w:spacing w:after="80"/>
      </w:pPr>
      <w:r>
        <w:t xml:space="preserve">Higher daily usage ceiling (soft fair-use limit around 40 calls/day rather than a hard cutoff) — covers genuine daily-reliance use.</w:t>
      </w:r>
    </w:p>
    <w:p>
      <w:pPr>
        <w:pStyle w:val="ListParagraph"/>
        <w:numPr>
          <w:ilvl w:val="0"/>
          <w:numId w:val="2"/>
        </w:numPr>
        <w:spacing w:after="80"/>
      </w:pPr>
      <w:r>
        <w:t xml:space="preserve">Priority routing — premium requests are weighted toward the fastest available tier in the fallback chain (see Document 2), reducing perceived latency.</w:t>
      </w:r>
    </w:p>
    <w:p>
      <w:pPr>
        <w:pStyle w:val="ListParagraph"/>
        <w:numPr>
          <w:ilvl w:val="0"/>
          <w:numId w:val="2"/>
        </w:numPr>
        <w:spacing w:after="80"/>
      </w:pPr>
      <w:r>
        <w:t xml:space="preserve">Offline-cached scene descriptions for frequently visited locations (roadmap item — see Document 3), which is a premium differentiator that doesn't yet exist but is technically reasonable to commit to.</w:t>
      </w:r>
    </w:p>
    <w:p>
      <w:pPr>
        <w:pStyle w:val="ListParagraph"/>
        <w:numPr>
          <w:ilvl w:val="0"/>
          <w:numId w:val="2"/>
        </w:numPr>
        <w:spacing w:after="80"/>
      </w:pPr>
      <w:r>
        <w:t xml:space="preserve">Family/caregiver companion view — a lightweight read-only dashboard so a family member can see recent SOS activity or general usage trends. This is a real premium driver, because often the actual bill-payer is a family member, not the visually impaired user themselves — which is an important and realistic detail about who the paying customer actually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6B" w:sz="4"/>
              <w:left w:val="single" w:color="1B4D6B" w:sz="24"/>
              <w:bottom w:val="single" w:color="1B4D6B" w:sz="4"/>
              <w:right w:val="single" w:color="1B4D6B" w:sz="4"/>
            </w:tcBorders>
            <w:shd w:fill="E8F1F5" w:val="clear"/>
            <w:tcMar>
              <w:top w:type="dxa" w:w="160"/>
              <w:left w:type="dxa" w:w="220"/>
              <w:bottom w:type="dxa" w:w="160"/>
              <w:right w:type="dxa" w:w="220"/>
            </w:tcMar>
          </w:tcPr>
          <w:p>
            <w:pPr>
              <w:spacing w:after="80"/>
            </w:pPr>
            <w:r>
              <w:rPr>
                <w:b/>
                <w:bCs/>
                <w:color w:val="1B4D6B"/>
                <w:sz w:val="21"/>
                <w:szCs w:val="21"/>
              </w:rPr>
              <w:t xml:space="preserve">Assumption flag — conversion rate</w:t>
            </w:r>
          </w:p>
          <w:p>
            <w:pPr>
              <w:spacing w:after="0"/>
            </w:pPr>
            <w:r>
              <w:rPr>
                <w:b w:val="false"/>
                <w:bCs w:val="false"/>
                <w:color w:val="1B4D6B"/>
                <w:sz w:val="21"/>
                <w:szCs w:val="21"/>
              </w:rPr>
              <w:t xml:space="preserve">We use 2.5% as the base-case free-to-premium conversion rate for the 1,000 MAU scenario, with 1% and 5% shown as bounds. This is not measured data. Reasoning: accessibility tools tend to have higher intent-to-pay than generic consumer freemium apps (the free tier isn't a discretionary substitute — it's a needs-based tool), which argues against the very conservative 1% consumer-app norm. But the target population's actual ability to pay, even at ₹149, is genuinely constrained, which argues against assuming mainstream SaaS-style 3–5% conversion. 2.5% is a reasoned middle point, not a measured one, and should be replaced with real pilot data at the earliest opportunity.</w:t>
            </w:r>
          </w:p>
        </w:tc>
      </w:tr>
    </w:tbl>
    <w:p>
      <w:pPr>
        <w:pStyle w:val="Heading1"/>
      </w:pPr>
      <w:r>
        <w:t xml:space="preserve">3. Institutional &amp; Partnership Pricing</w:t>
      </w:r>
    </w:p>
    <w:p>
      <w:pPr>
        <w:spacing w:after="160"/>
      </w:pPr>
      <w:r>
        <w:t xml:space="preserve">This is where we believe the durable, defensible revenue actually lives — not in consumer subscriptions. Each institutional channel below has a distinct buyer, sales cycle, and pricing logic. We have not closed any of these deals yet; the figures below are starting-point assumptions for a pricing conversation, not signed contracts.</w:t>
      </w:r>
    </w:p>
    <w:p>
      <w:pPr>
        <w:pStyle w:val="Heading2"/>
      </w:pPr>
      <w:r>
        <w:t xml:space="preserve">Schools for the visually impaired</w:t>
      </w:r>
    </w:p>
    <w:p>
      <w:pPr>
        <w:pStyle w:val="ListParagraph"/>
        <w:numPr>
          <w:ilvl w:val="0"/>
          <w:numId w:val="2"/>
        </w:numPr>
        <w:spacing w:after="80"/>
      </w:pPr>
      <w:r>
        <w:t xml:space="preserve">Buyer: school administration or a sponsoring trust/foundation, not individual students or families.</w:t>
      </w:r>
    </w:p>
    <w:p>
      <w:pPr>
        <w:pStyle w:val="ListParagraph"/>
        <w:numPr>
          <w:ilvl w:val="0"/>
          <w:numId w:val="2"/>
        </w:numPr>
        <w:spacing w:after="80"/>
      </w:pPr>
      <w:r>
        <w:t xml:space="preserve">Pricing model: per-seat annual or monthly license, sold in bulk (e.g., 50 student licenses), priced below the sum of 50 individual premium subscriptions to reflect bulk economics and procurement reality — assumed starting point: ₹15,000/month for a 50-seat school license (≈ ₹300/seat/month, roughly 2x individual premium price per seat, but representing guaranteed, predictable revenue and a single sales relationship instead of 50 separate ones).</w:t>
      </w:r>
    </w:p>
    <w:p>
      <w:pPr>
        <w:pStyle w:val="ListParagraph"/>
        <w:numPr>
          <w:ilvl w:val="0"/>
          <w:numId w:val="2"/>
        </w:numPr>
        <w:spacing w:after="80"/>
      </w:pPr>
      <w:r>
        <w:t xml:space="preserve">Why this is realistic and not inflated: schools for the visually impaired in India typically operate on limited budgets (often NGO-run or government-aided), so this pricing needs grant or CSR co-funding in most cases rather than being paid directly out of school operating budgets — which is exactly why the CSR and government channels below exist alongside this one, not as separate unrelated bets.</w:t>
      </w:r>
    </w:p>
    <w:p>
      <w:pPr>
        <w:pStyle w:val="Heading2"/>
      </w:pPr>
      <w:r>
        <w:t xml:space="preserve">NGOs</w:t>
      </w:r>
    </w:p>
    <w:p>
      <w:pPr>
        <w:pStyle w:val="ListParagraph"/>
        <w:numPr>
          <w:ilvl w:val="0"/>
          <w:numId w:val="2"/>
        </w:numPr>
        <w:spacing w:after="80"/>
      </w:pPr>
      <w:r>
        <w:t xml:space="preserve">Buyer: the NGO itself, typically purchasing on behalf of a beneficiary population it serves, often using earmarked program funding rather than general operating funds.</w:t>
      </w:r>
    </w:p>
    <w:p>
      <w:pPr>
        <w:pStyle w:val="ListParagraph"/>
        <w:numPr>
          <w:ilvl w:val="0"/>
          <w:numId w:val="2"/>
        </w:numPr>
        <w:spacing w:after="80"/>
      </w:pPr>
      <w:r>
        <w:t xml:space="preserve">Pricing model: cohort licensing (e.g., licenses for a beneficiary cohort of 100–500 people) at a negotiated rate below per-seat consumer pricing, often bundled with basic training/onboarding support delivered by the NGO's own field staff — this is a services-plus-software sale, not pure SaaS.</w:t>
      </w:r>
    </w:p>
    <w:p>
      <w:pPr>
        <w:pStyle w:val="Heading2"/>
      </w:pPr>
      <w:r>
        <w:t xml:space="preserve">Hospitals</w:t>
      </w:r>
    </w:p>
    <w:p>
      <w:pPr>
        <w:pStyle w:val="ListParagraph"/>
        <w:numPr>
          <w:ilvl w:val="0"/>
          <w:numId w:val="2"/>
        </w:numPr>
        <w:spacing w:after="80"/>
      </w:pPr>
      <w:r>
        <w:t xml:space="preserve">Buyer: hospital ophthalmology or rehabilitation departments, most plausibly at the point of diagnosis for degenerative or acquired vision loss, where a hospital wants to hand a newly diagnosed patient a concrete tool rather than just information.</w:t>
      </w:r>
    </w:p>
    <w:p>
      <w:pPr>
        <w:pStyle w:val="ListParagraph"/>
        <w:numPr>
          <w:ilvl w:val="0"/>
          <w:numId w:val="2"/>
        </w:numPr>
        <w:spacing w:after="80"/>
      </w:pPr>
      <w:r>
        <w:t xml:space="preserve">Pricing model: this is the least proven of the institutional channels and we should say so plainly — it likely requires a pilot/referral partnership before any licensing conversation makes sense, and revenue here should not be modeled with confidence in year one. We list it as a channel worth pursuing, not a near-term revenue line.</w:t>
      </w:r>
    </w:p>
    <w:p>
      <w:pPr>
        <w:pStyle w:val="Heading2"/>
      </w:pPr>
      <w:r>
        <w:t xml:space="preserve">CSR (Corporate Social Responsibility) partnerships</w:t>
      </w:r>
    </w:p>
    <w:p>
      <w:pPr>
        <w:pStyle w:val="ListParagraph"/>
        <w:numPr>
          <w:ilvl w:val="0"/>
          <w:numId w:val="2"/>
        </w:numPr>
        <w:spacing w:after="80"/>
      </w:pPr>
      <w:r>
        <w:t xml:space="preserve">Buyer: corporate CSR budgets, which in India are a statutory requirement for companies above a certain size (2% of net profit under the Companies Act), specifically earmarked and already flowing toward disability and education causes — this is not speculative; it is existing, allocated capital looking for credible recipients.</w:t>
      </w:r>
    </w:p>
    <w:p>
      <w:pPr>
        <w:pStyle w:val="ListParagraph"/>
        <w:numPr>
          <w:ilvl w:val="0"/>
          <w:numId w:val="2"/>
        </w:numPr>
        <w:spacing w:after="80"/>
      </w:pPr>
      <w:r>
        <w:t xml:space="preserve">Pricing model: CSR partnerships typically fund deployment to a named population (e.g., 'fund EchoSight for 500 students across 10 partner schools') rather than paying a per-seat SaaS fee — revenue here looks more like a grant/sponsorship with a fixed annual amount tied to a deployment commitment, not a recurring per-user subscription.</w:t>
      </w:r>
    </w:p>
    <w:p>
      <w:pPr>
        <w:pStyle w:val="Heading2"/>
      </w:pPr>
      <w:r>
        <w:t xml:space="preserve">Government partnerships</w:t>
      </w:r>
    </w:p>
    <w:p>
      <w:pPr>
        <w:pStyle w:val="ListParagraph"/>
        <w:numPr>
          <w:ilvl w:val="0"/>
          <w:numId w:val="2"/>
        </w:numPr>
        <w:spacing w:after="80"/>
      </w:pPr>
      <w:r>
        <w:t xml:space="preserve">Buyer: state-level disability welfare departments or schemes (e.g., assistive technology distribution programs).</w:t>
      </w:r>
    </w:p>
    <w:p>
      <w:pPr>
        <w:pStyle w:val="ListParagraph"/>
        <w:numPr>
          <w:ilvl w:val="0"/>
          <w:numId w:val="2"/>
        </w:numPr>
        <w:spacing w:after="80"/>
      </w:pPr>
      <w:r>
        <w:t xml:space="preserve">This is the longest sales cycle of any channel and the most realistic to flag as 12+ months out, requiring procurement processes, possibly empanelment, and is not something to model revenue from in an early scenario. We include it for completeness and long-term vision, not as a near-term assumption.</w:t>
      </w:r>
    </w:p>
    <w:p>
      <w:pPr>
        <w:pStyle w:val="Heading1"/>
      </w:pPr>
      <w:r>
        <w:t xml:space="preserve">4. Unit Economics — 1,000 MAU Scenario</w:t>
      </w:r>
    </w:p>
    <w:p>
      <w:pPr>
        <w:spacing w:after="160"/>
      </w:pPr>
      <w:r>
        <w:t xml:space="preserve">All figures below are built from stated assumptions, not measured usage data. We show the full calculation rather than just the conclusion, because the methodology is what should be defended — the specific numbers will change the moment we have real telemetry.</w:t>
      </w:r>
    </w:p>
    <w:p>
      <w:pPr>
        <w:pStyle w:val="Heading2"/>
      </w:pPr>
      <w:r>
        <w:t xml:space="preserve">4.1 User split and stated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Assumption</w:t>
            </w:r>
          </w:p>
        </w:tc>
        <w:tc>
          <w:tcPr>
            <w:tcW w:type="dxa" w:w="22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Basis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Monthly Active Users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1,000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Scenario given</w:t>
            </w:r>
          </w:p>
        </w:tc>
      </w:tr>
      <w:tr>
        <w:tc>
          <w:tcPr>
            <w:tcW w:type="dxa" w:w="3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Free-to-premium conversion (base case)</w:t>
            </w:r>
          </w:p>
        </w:tc>
        <w:tc>
          <w:tcPr>
            <w:tcW w:type="dxa" w:w="22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2.5% (25 users)</w:t>
            </w:r>
          </w:p>
        </w:tc>
        <w:tc>
          <w:tcPr>
            <w:tcW w:type="dxa" w:w="33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Reasoned estimate — see Section 2 callout</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Premium price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₹149/month (~$1.79)</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Midpoint of stated ₹99–199 range</w:t>
            </w:r>
          </w:p>
        </w:tc>
      </w:tr>
      <w:tr>
        <w:tc>
          <w:tcPr>
            <w:tcW w:type="dxa" w:w="3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AI calls/active user/day — free tier</w:t>
            </w:r>
          </w:p>
        </w:tc>
        <w:tc>
          <w:tcPr>
            <w:tcW w:type="dxa" w:w="22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8 (capped)</w:t>
            </w:r>
          </w:p>
        </w:tc>
        <w:tc>
          <w:tcPr>
            <w:tcW w:type="dxa" w:w="33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Stated assumption — soft usage cap</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AI calls/active user/day — premium</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20 (avg, soft ceiling 40)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Stated assumption, not measured</w:t>
            </w:r>
          </w:p>
        </w:tc>
      </w:tr>
      <w:tr>
        <w:tc>
          <w:tcPr>
            <w:tcW w:type="dxa" w:w="3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Inference routing — Groq share</w:t>
            </w:r>
          </w:p>
        </w:tc>
        <w:tc>
          <w:tcPr>
            <w:tcW w:type="dxa" w:w="22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85% of calls</w:t>
            </w:r>
          </w:p>
        </w:tc>
        <w:tc>
          <w:tcPr>
            <w:tcW w:type="dxa" w:w="33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Reflects Groq as primary, low-failure-rate path</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Inference routing — Featherless share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12% of calls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2nd fallback, used when Groq unavailable/low-confidence</w:t>
            </w:r>
          </w:p>
        </w:tc>
      </w:tr>
      <w:tr>
        <w:tc>
          <w:tcPr>
            <w:tcW w:type="dxa" w:w="3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Inference routing — Gemini share</w:t>
            </w:r>
          </w:p>
        </w:tc>
        <w:tc>
          <w:tcPr>
            <w:tcW w:type="dxa" w:w="22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3% of calls</w:t>
            </w:r>
          </w:p>
        </w:tc>
        <w:tc>
          <w:tcPr>
            <w:tcW w:type="dxa" w:w="33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Final fallback only, smallest volume by design</w:t>
            </w:r>
          </w:p>
        </w:tc>
      </w:tr>
    </w:tbl>
    <w:p>
      <w:pPr>
        <w:spacing w:after="200"/>
      </w:pPr>
    </w:p>
    <w:p>
      <w:pPr>
        <w:pStyle w:val="Heading2"/>
      </w:pPr>
      <w:r>
        <w:t xml:space="preserve">4.2 Monthly AI call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Segment</w:t>
            </w:r>
          </w:p>
        </w:tc>
        <w:tc>
          <w:tcPr>
            <w:tcW w:type="dxa" w:w="208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Users</w:t>
            </w:r>
          </w:p>
        </w:tc>
        <w:tc>
          <w:tcPr>
            <w:tcW w:type="dxa" w:w="208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Calls/day</w:t>
            </w:r>
          </w:p>
        </w:tc>
        <w:tc>
          <w:tcPr>
            <w:tcW w:type="dxa" w:w="208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Monthly calls</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Free</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975</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8</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234,000</w:t>
            </w:r>
          </w:p>
        </w:tc>
      </w:tr>
      <w:tr>
        <w:tc>
          <w:tcPr>
            <w:tcW w:type="dxa" w:w="312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Premium</w:t>
            </w:r>
          </w:p>
        </w:tc>
        <w:tc>
          <w:tcPr>
            <w:tcW w:type="dxa" w:w="208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25</w:t>
            </w:r>
          </w:p>
        </w:tc>
        <w:tc>
          <w:tcPr>
            <w:tcW w:type="dxa" w:w="208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20</w:t>
            </w:r>
          </w:p>
        </w:tc>
        <w:tc>
          <w:tcPr>
            <w:tcW w:type="dxa" w:w="208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15,000</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Total</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1,000</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249,000</w:t>
            </w:r>
          </w:p>
        </w:tc>
      </w:tr>
    </w:tbl>
    <w:p>
      <w:pPr>
        <w:spacing w:after="200"/>
      </w:pPr>
    </w:p>
    <w:p>
      <w:pPr>
        <w:pStyle w:val="Heading2"/>
      </w:pPr>
      <w:r>
        <w:t xml:space="preserve">4.3 Monthly AI inference cost</w:t>
      </w:r>
    </w:p>
    <w:p>
      <w:pPr>
        <w:spacing w:after="160"/>
      </w:pPr>
      <w:r>
        <w:t xml:space="preserve">Read Text (Google ML Kit OCR) runs on-device and carries zero marginal API cost — it is intentionally excluded from this table because it doesn't belong in a per-call cost model. Only Scene Understanding, Navigation Assistant, and Currency Recognition route through the Groq → Featherless → Gemini chain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2160"/>
        <w:gridCol w:w="1500"/>
      </w:tblGrid>
      <w:tr>
        <w:trPr>
          <w:tblHeader/>
        </w:trPr>
        <w:tc>
          <w:tcPr>
            <w:tcW w:type="dxa" w:w="18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Provider</w:t>
            </w:r>
          </w:p>
        </w:tc>
        <w:tc>
          <w:tcPr>
            <w:tcW w:type="dxa" w:w="22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Role</w:t>
            </w:r>
          </w:p>
        </w:tc>
        <w:tc>
          <w:tcPr>
            <w:tcW w:type="dxa" w:w="17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Calls/mo</w:t>
            </w:r>
          </w:p>
        </w:tc>
        <w:tc>
          <w:tcPr>
            <w:tcW w:type="dxa" w:w="216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Cost/call (assumed)</w:t>
            </w:r>
          </w:p>
        </w:tc>
        <w:tc>
          <w:tcPr>
            <w:tcW w:type="dxa" w:w="15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Monthly cost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Groq</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Primary inference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211,650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$0.0008</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$169.32</w:t>
            </w:r>
          </w:p>
        </w:tc>
      </w:tr>
      <w:tr>
        <w:tc>
          <w:tcPr>
            <w:tcW w:type="dxa" w:w="1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Featherless</w:t>
            </w:r>
          </w:p>
        </w:tc>
        <w:tc>
          <w:tcPr>
            <w:tcW w:type="dxa" w:w="22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2nd fallback</w:t>
            </w:r>
          </w:p>
        </w:tc>
        <w:tc>
          <w:tcPr>
            <w:tcW w:type="dxa" w:w="17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29,880</w:t>
            </w:r>
          </w:p>
        </w:tc>
        <w:tc>
          <w:tcPr>
            <w:tcW w:type="dxa" w:w="21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$0.0020</w:t>
            </w:r>
          </w:p>
        </w:tc>
        <w:tc>
          <w:tcPr>
            <w:tcW w:type="dxa" w:w="15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$59.76</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Gemini</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Final fallback</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7,470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$0.0040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$29.88</w:t>
            </w:r>
          </w:p>
        </w:tc>
      </w:tr>
      <w:tr>
        <w:tc>
          <w:tcPr>
            <w:tcW w:type="dxa" w:w="1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Total</w:t>
            </w:r>
          </w:p>
        </w:tc>
        <w:tc>
          <w:tcPr>
            <w:tcW w:type="dxa" w:w="22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
            </w:r>
          </w:p>
        </w:tc>
        <w:tc>
          <w:tcPr>
            <w:tcW w:type="dxa" w:w="17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249,000</w:t>
            </w:r>
          </w:p>
        </w:tc>
        <w:tc>
          <w:tcPr>
            <w:tcW w:type="dxa" w:w="21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
            </w:r>
          </w:p>
        </w:tc>
        <w:tc>
          <w:tcPr>
            <w:tcW w:type="dxa" w:w="15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$258.96</w:t>
            </w:r>
          </w:p>
        </w:tc>
      </w:tr>
    </w:tbl>
    <w:p>
      <w:pPr>
        <w:spacing w:after="160"/>
      </w:pPr>
      <w:r>
        <w:rPr>
          <w:i/>
          <w:iCs/>
          <w:color w:val="595959"/>
          <w:sz w:val="20"/>
          <w:szCs w:val="20"/>
        </w:rPr>
        <w:t xml:space="preserve">Per-call cost figures are stated assumptions based on publicly available provider pricing for comparable vision-capable models at the time of writing, not actual invoiced costs. These should be replaced with real billing data after the first weeks of pilot usage — actual cost could reasonably land 2–3x higher or lower depending on the specific model size used and average image resolution sent per call.</w:t>
      </w:r>
    </w:p>
    <w:p>
      <w:pPr>
        <w:pStyle w:val="Heading2"/>
      </w:pPr>
      <w:r>
        <w:t xml:space="preserve">4.4 Cloud infrastructure cost (non-AI)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Monthly cost (assumed)</w:t>
            </w:r>
          </w:p>
        </w:tc>
        <w:tc>
          <w:tcPr>
            <w:tcW w:type="dxa" w:w="18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Basis</w:t>
            </w:r>
          </w:p>
        </w:tc>
      </w:tr>
      <w:tr>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Backend hosting (managed Node + Postgres, small instance)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Comparable to e.g. Railway/Render mid-tier pricing</w:t>
            </w:r>
          </w:p>
        </w:tc>
      </w:tr>
      <w:tr>
        <w:tc>
          <w:tcPr>
            <w:tcW w:type="dxa" w:w="53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Redis cache (managed, small instance)</w:t>
            </w:r>
          </w:p>
        </w:tc>
        <w:tc>
          <w:tcPr>
            <w:tcW w:type="dxa" w:w="22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$12</w:t>
            </w:r>
          </w:p>
        </w:tc>
        <w:tc>
          <w:tcPr>
            <w:tcW w:type="dxa" w:w="1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Small managed Redis instance</w:t>
            </w:r>
          </w:p>
        </w:tc>
      </w:tr>
      <w:tr>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Object storage (transient image handling)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Most images aren't retained — see Document 2</w:t>
            </w:r>
          </w:p>
        </w:tc>
      </w:tr>
      <w:tr>
        <w:tc>
          <w:tcPr>
            <w:tcW w:type="dxa" w:w="53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SOS notification (SMS/push, low volume at this scale)</w:t>
            </w:r>
          </w:p>
        </w:tc>
        <w:tc>
          <w:tcPr>
            <w:tcW w:type="dxa" w:w="22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$10</w:t>
            </w:r>
          </w:p>
        </w:tc>
        <w:tc>
          <w:tcPr>
            <w:tcW w:type="dxa" w:w="1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Twilio-class pricing, low monthly volume</w:t>
            </w:r>
          </w:p>
        </w:tc>
      </w:tr>
      <w:tr>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Monitoring/error tracking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Entry-tier monitoring service</w:t>
            </w:r>
          </w:p>
        </w:tc>
      </w:tr>
      <w:tr>
        <w:tc>
          <w:tcPr>
            <w:tcW w:type="dxa" w:w="53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Total</w:t>
            </w:r>
          </w:p>
        </w:tc>
        <w:tc>
          <w:tcPr>
            <w:tcW w:type="dxa" w:w="22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$67</w:t>
            </w:r>
          </w:p>
        </w:tc>
        <w:tc>
          <w:tcPr>
            <w:tcW w:type="dxa" w:w="1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
            </w:r>
          </w:p>
        </w:tc>
      </w:tr>
    </w:tbl>
    <w:p>
      <w:pPr>
        <w:spacing w:after="200"/>
      </w:pPr>
    </w:p>
    <w:p>
      <w:pPr>
        <w:pStyle w:val="Heading2"/>
      </w:pPr>
      <w:r>
        <w:t xml:space="preserve">4.5 Revenue and gross margin —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Line item</w:t>
            </w:r>
          </w:p>
        </w:tc>
        <w:tc>
          <w:tcPr>
            <w:tcW w:type="dxa" w:w="30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Monthly value</w:t>
            </w:r>
          </w:p>
        </w:tc>
      </w:tr>
      <w:tr>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Premium subscription revenue (25 users x ₹149)</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₹3,725 (~$44.88)</w:t>
            </w:r>
          </w:p>
        </w:tc>
      </w:tr>
      <w:tr>
        <w:tc>
          <w:tcPr>
            <w:tcW w:type="dxa" w:w="63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AI inference cost</w:t>
            </w:r>
          </w:p>
        </w:tc>
        <w:tc>
          <w:tcPr>
            <w:tcW w:type="dxa" w:w="30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$258.96</w:t>
            </w:r>
          </w:p>
        </w:tc>
      </w:tr>
      <w:tr>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Cloud infrastructure cost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$67.00</w:t>
            </w:r>
          </w:p>
        </w:tc>
      </w:tr>
      <w:tr>
        <w:tc>
          <w:tcPr>
            <w:tcW w:type="dxa" w:w="636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Total cost</w:t>
            </w:r>
          </w:p>
        </w:tc>
        <w:tc>
          <w:tcPr>
            <w:tcW w:type="dxa" w:w="30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$325.96</w:t>
            </w:r>
          </w:p>
        </w:tc>
      </w:tr>
      <w:tr>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Gross margin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−$281.08 (negative)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24"/>
              <w:bottom w:val="single" w:color="8A4B08" w:sz="4"/>
              <w:right w:val="single" w:color="8A4B08" w:sz="4"/>
            </w:tcBorders>
            <w:shd w:fill="FBE9D7" w:val="clear"/>
            <w:tcMar>
              <w:top w:type="dxa" w:w="160"/>
              <w:left w:type="dxa" w:w="220"/>
              <w:bottom w:type="dxa" w:w="160"/>
              <w:right w:type="dxa" w:w="220"/>
            </w:tcMar>
          </w:tcPr>
          <w:p>
            <w:pPr>
              <w:spacing w:after="80"/>
            </w:pPr>
            <w:r>
              <w:rPr>
                <w:b/>
                <w:bCs/>
                <w:color w:val="8A4B08"/>
                <w:sz w:val="21"/>
                <w:szCs w:val="21"/>
              </w:rPr>
              <w:t xml:space="preserve">The honest finding: consumer subscriptions alone do not break even at 1,000 MAU</w:t>
            </w:r>
          </w:p>
          <w:p>
            <w:pPr>
              <w:spacing w:after="0"/>
            </w:pPr>
            <w:r>
              <w:rPr>
                <w:b w:val="false"/>
                <w:bCs w:val="false"/>
                <w:color w:val="8A4B08"/>
                <w:sz w:val="21"/>
                <w:szCs w:val="21"/>
              </w:rPr>
              <w:t xml:space="preserve">Under every conversion scenario we modeled — 1%, 2.5%, and even an aggressive 5% — consumer premium revenue does not cover AI inference and infrastructure cost at 1,000 MAU. Breakeven on consumer subscriptions alone would require roughly 18% conversion at this price point and this cost structure, which is not realistic for a freemium product and would also contradict the accessibility-first pricing philosophy in Section 1. We are stating this directly rather than picking convenient assumptions to manufacture a positive number, because a judge or investor doing the same arithmetic will reach the same conclusion — and reaching it ourselves first, with a credible answer for what does work, is the stronger position.</w:t>
            </w:r>
          </w:p>
        </w:tc>
      </w:tr>
    </w:tbl>
    <w:p>
      <w:pPr>
        <w:spacing w:after="200"/>
      </w:pPr>
    </w:p>
    <w:p>
      <w:pPr>
        <w:pStyle w:val="Heading2"/>
      </w:pPr>
      <w:r>
        <w:t xml:space="preserve">4.6 Sensitivity table — conversion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rPr>
          <w:tblHeader/>
        </w:trPr>
        <w:tc>
          <w:tcPr>
            <w:tcW w:type="dxa" w:w="18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Conversion</w:t>
            </w:r>
          </w:p>
        </w:tc>
        <w:tc>
          <w:tcPr>
            <w:tcW w:type="dxa" w:w="180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Premium users</w:t>
            </w:r>
          </w:p>
        </w:tc>
        <w:tc>
          <w:tcPr>
            <w:tcW w:type="dxa" w:w="192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Revenue</w:t>
            </w:r>
          </w:p>
        </w:tc>
        <w:tc>
          <w:tcPr>
            <w:tcW w:type="dxa" w:w="192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Total cost</w:t>
            </w:r>
          </w:p>
        </w:tc>
        <w:tc>
          <w:tcPr>
            <w:tcW w:type="dxa" w:w="1920"/>
            <w:tcBorders>
              <w:top w:val="single" w:color="CCCCCC" w:sz="1"/>
              <w:left w:val="single" w:color="CCCCCC" w:sz="1"/>
              <w:bottom w:val="single" w:color="CCCCCC" w:sz="1"/>
              <w:right w:val="single" w:color="CCCCCC" w:sz="1"/>
            </w:tcBorders>
            <w:shd w:fill="1B4D6B" w:val="clear"/>
            <w:tcMar>
              <w:top w:type="dxa" w:w="100"/>
              <w:left w:type="dxa" w:w="120"/>
              <w:bottom w:type="dxa" w:w="100"/>
              <w:right w:type="dxa" w:w="120"/>
            </w:tcMar>
          </w:tcPr>
          <w:p>
            <w:r>
              <w:rPr>
                <w:b/>
                <w:bCs/>
                <w:color w:val="FFFFFF"/>
                <w:sz w:val="20"/>
                <w:szCs w:val="20"/>
              </w:rPr>
              <w:t xml:space="preserve">Gross margin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1% (low)</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10</w:t>
            </w:r>
          </w:p>
        </w:tc>
        <w:tc>
          <w:tcPr>
            <w:tcW w:type="dxa" w:w="1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$17.95</w:t>
            </w:r>
          </w:p>
        </w:tc>
        <w:tc>
          <w:tcPr>
            <w:tcW w:type="dxa" w:w="1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$325.96</w:t>
            </w:r>
          </w:p>
        </w:tc>
        <w:tc>
          <w:tcPr>
            <w:tcW w:type="dxa" w:w="1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−$308.01</w:t>
            </w:r>
          </w:p>
        </w:tc>
      </w:tr>
      <w:tr>
        <w:tc>
          <w:tcPr>
            <w:tcW w:type="dxa" w:w="1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2.5% (base)</w:t>
            </w:r>
          </w:p>
        </w:tc>
        <w:tc>
          <w:tcPr>
            <w:tcW w:type="dxa" w:w="180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25</w:t>
            </w:r>
          </w:p>
        </w:tc>
        <w:tc>
          <w:tcPr>
            <w:tcW w:type="dxa" w:w="192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$44.88</w:t>
            </w:r>
          </w:p>
        </w:tc>
        <w:tc>
          <w:tcPr>
            <w:tcW w:type="dxa" w:w="192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$325.96</w:t>
            </w:r>
          </w:p>
        </w:tc>
        <w:tc>
          <w:tcPr>
            <w:tcW w:type="dxa" w:w="1920"/>
            <w:tcBorders>
              <w:top w:val="single" w:color="CCCCCC" w:sz="1"/>
              <w:left w:val="single" w:color="CCCCCC" w:sz="1"/>
              <w:bottom w:val="single" w:color="CCCCCC" w:sz="1"/>
              <w:right w:val="single" w:color="CCCCCC" w:sz="1"/>
            </w:tcBorders>
            <w:shd w:fill="E8F1F5" w:val="clear"/>
            <w:tcMar>
              <w:top w:type="dxa" w:w="90"/>
              <w:left w:type="dxa" w:w="120"/>
              <w:bottom w:type="dxa" w:w="90"/>
              <w:right w:type="dxa" w:w="120"/>
            </w:tcMar>
          </w:tcPr>
          <w:p>
            <w:r>
              <w:rPr>
                <w:sz w:val="20"/>
                <w:szCs w:val="20"/>
              </w:rPr>
              <w:t xml:space="preserve">−$281.08</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5% (high)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50</w:t>
            </w:r>
          </w:p>
        </w:tc>
        <w:tc>
          <w:tcPr>
            <w:tcW w:type="dxa" w:w="1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$89.76</w:t>
            </w:r>
          </w:p>
        </w:tc>
        <w:tc>
          <w:tcPr>
            <w:tcW w:type="dxa" w:w="1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$325.96</w:t>
            </w:r>
          </w:p>
        </w:tc>
        <w:tc>
          <w:tcPr>
            <w:tcW w:type="dxa" w:w="1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20"/>
                <w:szCs w:val="20"/>
              </w:rPr>
              <w:t xml:space="preserve">−$236.20</w:t>
            </w:r>
          </w:p>
        </w:tc>
      </w:tr>
    </w:tbl>
    <w:p>
      <w:pPr>
        <w:spacing w:after="200"/>
      </w:pPr>
    </w:p>
    <w:p>
      <w:pPr>
        <w:pStyle w:val="Heading2"/>
      </w:pPr>
      <w:r>
        <w:t xml:space="preserve">4.7 What changes the picture — institutional revenue</w:t>
      </w:r>
    </w:p>
    <w:p>
      <w:pPr>
        <w:spacing w:after="160"/>
      </w:pPr>
      <w:r>
        <w:t xml:space="preserve">This is why Section 3 isn't a secondary channel. A single modest institutional deal closes most or all of the gap above:</w:t>
      </w:r>
    </w:p>
    <w:p>
      <w:pPr>
        <w:pStyle w:val="ListParagraph"/>
        <w:numPr>
          <w:ilvl w:val="0"/>
          <w:numId w:val="2"/>
        </w:numPr>
        <w:spacing w:after="80"/>
      </w:pPr>
      <w:r>
        <w:t xml:space="preserve">Example: one school-for-the-blind contract at 50 seats, ₹15,000/month (≈$180/month) — on its own, this exceeds the entire consumer revenue line in the base case (25 premium users at $44.88), and combined with consumer revenue gets the business close to covering the modeled cost base at 1,000 MAU.</w:t>
      </w:r>
    </w:p>
    <w:p>
      <w:pPr>
        <w:pStyle w:val="ListParagraph"/>
        <w:numPr>
          <w:ilvl w:val="0"/>
          <w:numId w:val="2"/>
        </w:numPr>
        <w:spacing w:after="80"/>
      </w:pPr>
      <w:r>
        <w:t xml:space="preserve">This reframes the real near-term goal: the consumer free tier exists primarily to build a usage base, generate the word-of-mouth and case-study material that makes institutional and CSR conversations credible, and convert a small paying minority — not to be the primary revenue engine on its own at this scale.</w:t>
      </w:r>
    </w:p>
    <w:p>
      <w:pPr>
        <w:pStyle w:val="Heading2"/>
      </w:pPr>
      <w:r>
        <w:t xml:space="preserve">4.8 Break-even discussion</w:t>
      </w:r>
    </w:p>
    <w:p>
      <w:pPr>
        <w:pStyle w:val="ListParagraph"/>
        <w:numPr>
          <w:ilvl w:val="0"/>
          <w:numId w:val="2"/>
        </w:numPr>
        <w:spacing w:after="80"/>
      </w:pPr>
      <w:r>
        <w:t xml:space="preserve">At 1,000 MAU: not break-even on consumer revenue alone under any realistic conversion assumption. Requires at least one institutional contract to approach breakeven.</w:t>
      </w:r>
    </w:p>
    <w:p>
      <w:pPr>
        <w:pStyle w:val="ListParagraph"/>
        <w:numPr>
          <w:ilvl w:val="0"/>
          <w:numId w:val="2"/>
        </w:numPr>
        <w:spacing w:after="80"/>
      </w:pPr>
      <w:r>
        <w:t xml:space="preserve">Cost structure at this scale is dominated by fixed infrastructure ($67/month) relative to variable AI cost (~$259/month) — meaning cost does not scale linearly with users yet, since a meaningful share is fixed-floor infra. This is actually favorable: as MAU grows, the fixed-cost share shrinks as a percentage of total cost, which should improve margins with scale even before considering institutional revenue (explored further in Document 3's scale roadmap).</w:t>
      </w:r>
    </w:p>
    <w:p>
      <w:pPr>
        <w:pStyle w:val="ListParagraph"/>
        <w:numPr>
          <w:ilvl w:val="0"/>
          <w:numId w:val="2"/>
        </w:numPr>
        <w:spacing w:after="80"/>
      </w:pPr>
      <w:r>
        <w:t xml:space="preserve">The single highest-leverage lever is not raising the conversion rate aggressively (which risks abandoning the accessibility-first pricing philosophy) — it's closing 2–3 institutional contracts in parallel with consumer growth. This should be the headline go-to-market priority, not consumer growth-hacking.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6B"/>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2026-06-28T05:49:25.300Z</dcterms:created>
  <dcterms:modified xsi:type="dcterms:W3CDTF">2026-06-28T05:49:25.301Z</dcterms:modified>
</cp:coreProperties>
</file>

<file path=docProps/custom.xml><?xml version="1.0" encoding="utf-8"?>
<Properties xmlns="http://schemas.openxmlformats.org/officeDocument/2006/custom-properties" xmlns:vt="http://schemas.openxmlformats.org/officeDocument/2006/docPropsVTypes"/>
</file>