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D6B"/>
          <w:sz w:val="44"/>
          <w:szCs w:val="44"/>
        </w:rPr>
        <w:t xml:space="preserve">EchoSight</w:t>
      </w:r>
    </w:p>
    <w:p>
      <w:pPr>
        <w:spacing w:after="40"/>
      </w:pPr>
      <w:r>
        <w:rPr>
          <w:i/>
          <w:iCs/>
          <w:color w:val="595959"/>
          <w:sz w:val="24"/>
          <w:szCs w:val="24"/>
        </w:rPr>
        <w:t xml:space="preserve">See Beyond. Hear the Path.</w:t>
      </w:r>
    </w:p>
    <w:p>
      <w:pPr>
        <w:spacing w:after="320"/>
      </w:pPr>
      <w:r>
        <w:rPr>
          <w:b/>
          <w:bCs/>
          <w:sz w:val="28"/>
          <w:szCs w:val="28"/>
        </w:rPr>
        <w:t xml:space="preserve">Document 2 — Architecture &amp; Technical Moat</w:t>
      </w:r>
    </w:p>
    <w:p>
      <w:pPr>
        <w:pStyle w:val="Heading1"/>
      </w:pPr>
      <w:r>
        <w:t xml:space="preserve">1. Current MVP Architecture — As Implemented</w:t>
      </w:r>
    </w:p>
    <w:p>
      <w:pPr>
        <w:spacing w:after="160"/>
      </w:pPr>
      <w:r>
        <w:t xml:space="preserve">This is the system as it actually exists today, not an aspirational version. Being precise about the current state matters: judges can usually tell when a team is describing an architecture diagram instead of their actual codebase.</w:t>
      </w:r>
    </w:p>
    <w:p>
      <w:pPr>
        <w:pStyle w:val="Heading2"/>
      </w:pPr>
      <w:r>
        <w:t xml:space="preserve">1.1 Current flow</w:t>
      </w:r>
    </w:p>
    <w:p>
      <w:pPr>
        <w:pBdr>
          <w:left w:val="single" w:color="1B4D6B" w:sz="18" w:space="8"/>
        </w:pBdr>
        <w:spacing w:after="40"/>
        <w:ind w:left="100"/>
      </w:pPr>
      <w:r>
        <w:rPr>
          <w:b/>
          <w:bCs/>
          <w:sz w:val="22"/>
          <w:szCs w:val="22"/>
        </w:rPr>
        <w:t xml:space="preserve">Camera (Vision Camera, React Native / Expo)</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Google ML Kit — invoked only when the task is text-based (Read Text / OCR)</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AI inference layer — cascading fallback chain: Groq (primary) → Featherless (2nd fallback) → Gemini (final fallback)</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Accessibility Engine — formats raw model output into structured, speakable guidance</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Voice + Text Output (Expo Speech)</w:t>
      </w:r>
    </w:p>
    <w:p>
      <w:pPr>
        <w:spacing w:after="200"/>
      </w:pPr>
    </w:p>
    <w:p>
      <w:pPr>
        <w:pStyle w:val="Heading2"/>
      </w:pPr>
      <w:r>
        <w:t xml:space="preserve">1.2 Component-by-component, as implemented today</w:t>
      </w:r>
    </w:p>
    <w:p>
      <w:pPr>
        <w:pStyle w:val="ListParagraph"/>
        <w:numPr>
          <w:ilvl w:val="0"/>
          <w:numId w:val="2"/>
        </w:numPr>
        <w:spacing w:after="80"/>
      </w:pPr>
      <w:r>
        <w:t xml:space="preserve">Mobile shell: React Native + Expo. Chosen for fast iteration speed during MVP build and single-codebase iOS/Android coverage — the right call for a hackathon-to-pilot timeline, with the known tradeoff that some camera/ML performance work will eventually want native modules (addressed in the production roadmap, Section 2).</w:t>
      </w:r>
    </w:p>
    <w:p>
      <w:pPr>
        <w:pStyle w:val="ListParagraph"/>
        <w:numPr>
          <w:ilvl w:val="0"/>
          <w:numId w:val="2"/>
        </w:numPr>
        <w:spacing w:after="80"/>
      </w:pPr>
      <w:r>
        <w:t xml:space="preserve">Camera capture: Vision Camera handles frame capture. This is the input boundary for every camera-driven feature — Navigation Assistant, Scene Understanding, Currency Recognition, and Read Text all begin here.</w:t>
      </w:r>
    </w:p>
    <w:p>
      <w:pPr>
        <w:pStyle w:val="ListParagraph"/>
        <w:numPr>
          <w:ilvl w:val="0"/>
          <w:numId w:val="2"/>
        </w:numPr>
        <w:spacing w:after="80"/>
      </w:pPr>
      <w:r>
        <w:t xml:space="preserve">Google ML Kit (on-device OCR): Used specifically for Read Text. This is the one part of the current pipeline that does not call an external API at all — it runs entirely on-device, which means zero marginal cost, zero network dependency, and zero latency penalty for this feature specifically. This is also why Read Text is the one feature that could plausibly work fully offline today, ahead of everything else on the offline roadmap.</w:t>
      </w:r>
    </w:p>
    <w:p>
      <w:pPr>
        <w:pStyle w:val="ListParagraph"/>
        <w:numPr>
          <w:ilvl w:val="0"/>
          <w:numId w:val="2"/>
        </w:numPr>
        <w:spacing w:after="80"/>
      </w:pPr>
      <w:r>
        <w:t xml:space="preserve">AI inference — three-tier cascading fallback, not a single model call: Groq is the primary path for all vision-heavy tasks (Navigation Assistant, Scene Understanding, Currency Recognition), chosen primarily for low-latency inference on its LPU-backed stack. When Groq is unavailable or returns a low-confidence result, the request falls through to Featherless as a second provider. Only if both fail does the request reach Gemini, used here strictly as a final fallback rather than a primary dependency.</w:t>
      </w:r>
    </w:p>
    <w:p>
      <w:pPr>
        <w:pStyle w:val="ListParagraph"/>
        <w:numPr>
          <w:ilvl w:val="0"/>
          <w:numId w:val="2"/>
        </w:numPr>
        <w:spacing w:after="80"/>
      </w:pPr>
      <w:r>
        <w:t xml:space="preserve">Accessibility Engine: a software layer (not a model) that takes whatever raw structured or unstructured output comes back from the inference tier and converts it into output appropriate for voice delivery — concise, sequenced, and prioritized for what a visually impaired user needs first (e.g., immediate hazards before general scene description).</w:t>
      </w:r>
    </w:p>
    <w:p>
      <w:pPr>
        <w:pStyle w:val="ListParagraph"/>
        <w:numPr>
          <w:ilvl w:val="0"/>
          <w:numId w:val="2"/>
        </w:numPr>
        <w:spacing w:after="80"/>
      </w:pPr>
      <w:r>
        <w:t xml:space="preserve">Voice output: Expo Speech (TTS). Currently the only output channel beyond on-screen text, which is appropriate given the target user.</w:t>
      </w:r>
    </w:p>
    <w:p>
      <w:pPr>
        <w:pStyle w:val="ListParagraph"/>
        <w:numPr>
          <w:ilvl w:val="0"/>
          <w:numId w:val="2"/>
        </w:numPr>
        <w:spacing w:after="80"/>
      </w:pPr>
      <w:r>
        <w:t xml:space="preserve">State management: Zustand, handling app-level state (current mode, session context, user preferences) on the client.</w:t>
      </w:r>
    </w:p>
    <w:p>
      <w:pPr>
        <w:pStyle w:val="ListParagraph"/>
        <w:numPr>
          <w:ilvl w:val="0"/>
          <w:numId w:val="2"/>
        </w:numPr>
        <w:spacing w:after="80"/>
      </w:pPr>
      <w:r>
        <w:t xml:space="preserve">Language: TypeScript throughout — reduces a category of runtime bugs that matter disproportionately here, since a type error causing a wrong navigation instruction is a safety issue, not just a UX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24"/>
              <w:bottom w:val="single" w:color="8A4B08" w:sz="4"/>
              <w:right w:val="single" w:color="8A4B08" w:sz="4"/>
            </w:tcBorders>
            <w:shd w:fill="FBE9D7" w:val="clear"/>
            <w:tcMar>
              <w:top w:type="dxa" w:w="160"/>
              <w:left w:type="dxa" w:w="220"/>
              <w:bottom w:type="dxa" w:w="160"/>
              <w:right w:type="dxa" w:w="220"/>
            </w:tcMar>
          </w:tcPr>
          <w:p>
            <w:pPr>
              <w:spacing w:after="80"/>
            </w:pPr>
            <w:r>
              <w:rPr>
                <w:b/>
                <w:bCs/>
                <w:color w:val="8A4B08"/>
                <w:sz w:val="21"/>
                <w:szCs w:val="21"/>
              </w:rPr>
              <w:t xml:space="preserve">Honest constraint of the current MVP</w:t>
            </w:r>
          </w:p>
          <w:p>
            <w:pPr>
              <w:spacing w:after="0"/>
            </w:pPr>
            <w:r>
              <w:rPr>
                <w:b w:val="false"/>
                <w:bCs w:val="false"/>
                <w:color w:val="8A4B08"/>
                <w:sz w:val="21"/>
                <w:szCs w:val="21"/>
              </w:rPr>
              <w:t xml:space="preserve">The system requires an internet connection end-to-end except for Read Text. Every Navigation Assistant, Scene Understanding, and Currency Recognition call depends on reaching at least one of three external inference providers. This is a real limitation for the target user — someone navigating an area with poor connectivity (which correlates with exactly the lower-infrastructure regions and demographics this product needs to serve) loses the most safety-critical features first. This is why offline capability is treated as a roadmap priority, not a someday feature, in Document 3.</w:t>
            </w:r>
          </w:p>
        </w:tc>
      </w:tr>
    </w:tbl>
    <w:p>
      <w:pPr>
        <w:spacing w:after="200"/>
      </w:pPr>
    </w:p>
    <w:p>
      <w:pPr>
        <w:pStyle w:val="Heading2"/>
      </w:pPr>
      <w:r>
        <w:t xml:space="preserve">1.3 Why the three-tier inference cascade is a real architectural decision, not an accident</w:t>
      </w:r>
    </w:p>
    <w:p>
      <w:pPr>
        <w:pStyle w:val="ListParagraph"/>
        <w:numPr>
          <w:ilvl w:val="0"/>
          <w:numId w:val="2"/>
        </w:numPr>
        <w:spacing w:after="80"/>
      </w:pPr>
      <w:r>
        <w:t xml:space="preserve">Cost control: Groq's per-call cost for vision-class inference is materially lower than Gemini's, so routing the overwhelming majority of traffic through Groq first (assumed ~85% of calls succeed at this tier — see Document 1 for the cost model) keeps the dominant cost line down without sacrificing capability.</w:t>
      </w:r>
    </w:p>
    <w:p>
      <w:pPr>
        <w:pStyle w:val="ListParagraph"/>
        <w:numPr>
          <w:ilvl w:val="0"/>
          <w:numId w:val="2"/>
        </w:numPr>
        <w:spacing w:after="80"/>
      </w:pPr>
      <w:r>
        <w:t xml:space="preserve">Latency: Groq's LPU-based inference is fast, which matters specifically for navigation — a multi-second delay between 'what's in front of me' and an answer is a meaningfully worse experience for someone relying on the answer to move safely, compared to the same delay in, say, a chatbot.</w:t>
      </w:r>
    </w:p>
    <w:p>
      <w:pPr>
        <w:pStyle w:val="ListParagraph"/>
        <w:numPr>
          <w:ilvl w:val="0"/>
          <w:numId w:val="2"/>
        </w:numPr>
        <w:spacing w:after="80"/>
      </w:pPr>
      <w:r>
        <w:t xml:space="preserve">Resilience: no single provider outage takes down the product. This matters more for an accessibility-critical tool than for a typical consumer app — a navigation tool that goes fully dark because one upstream API had an incident is a safety regression, not just downtime.</w:t>
      </w:r>
    </w:p>
    <w:p>
      <w:pPr>
        <w:pStyle w:val="ListParagraph"/>
        <w:numPr>
          <w:ilvl w:val="0"/>
          <w:numId w:val="2"/>
        </w:numPr>
        <w:spacing w:after="80"/>
      </w:pPr>
      <w:r>
        <w:t xml:space="preserve">This is also a meaningful point against the 'just an API wrapper' critique: a wrapper calls one model. We're operating a routing and fallback layer across three independent inference providers with different cost, latency, and failure characteristics, plus an on-device OCR path that bypasses external inference entirely for one whole feature category.</w:t>
      </w:r>
    </w:p>
    <w:p>
      <w:pPr>
        <w:pStyle w:val="Heading1"/>
      </w:pPr>
      <w:r>
        <w:t xml:space="preserve">2. Future Production Architecture</w:t>
      </w:r>
    </w:p>
    <w:p>
      <w:pPr>
        <w:spacing w:after="160"/>
      </w:pPr>
      <w:r>
        <w:t xml:space="preserve">The current MVP is a defensible starting point, not the end state. The production architecture below adds the layers a real accessibility-critical product needs before it can be trusted by institutions (schools, hospitals, governments) handling vulnerable users at scale.</w:t>
      </w:r>
    </w:p>
    <w:p>
      <w:pPr>
        <w:pBdr>
          <w:left w:val="single" w:color="1B4D6B" w:sz="18" w:space="8"/>
        </w:pBdr>
        <w:spacing w:after="40"/>
        <w:ind w:left="100"/>
      </w:pPr>
      <w:r>
        <w:rPr>
          <w:b/>
          <w:bCs/>
          <w:sz w:val="22"/>
          <w:szCs w:val="22"/>
        </w:rPr>
        <w:t xml:space="preserve">User</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Mobile App (React Native / Expo, eventually native modules for camera-critical paths)</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ML Kit (on-device OCR — unchanged from MVP, stays on-device)</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Backend API (request orchestration, business logic, request shaping)</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Authentication (user identity, institutional tenancy, session/device trust)</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Redis Cache (hot-path caching — see 2.1)</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AI Orchestration Layer (the Groq → Featherless → Gemini cascade, now formalized server-side with logging, retries, and circuit breaking)</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Gemini AI (final fallback tier, as in MVP — now one of three tiers managed by the orchestration layer rather than called ad hoc)</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Database (persistent storage — user profiles, institutional accounts, usage logs, SOS event records)</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Analytics (usage patterns, cost-per-feature tracking, failure-rate monitoring per inference tier)</w:t>
      </w:r>
    </w:p>
    <w:p>
      <w:pPr>
        <w:spacing w:after="40"/>
        <w:ind w:left="100"/>
      </w:pPr>
      <w:r>
        <w:rPr>
          <w:color w:val="595959"/>
          <w:sz w:val="22"/>
          <w:szCs w:val="22"/>
        </w:rPr>
        <w:t xml:space="preserve">↓</w:t>
      </w:r>
    </w:p>
    <w:p>
      <w:pPr>
        <w:pBdr>
          <w:left w:val="single" w:color="1B4D6B" w:sz="18" w:space="8"/>
        </w:pBdr>
        <w:spacing w:after="40"/>
        <w:ind w:left="100"/>
      </w:pPr>
      <w:r>
        <w:rPr>
          <w:b/>
          <w:bCs/>
          <w:sz w:val="22"/>
          <w:szCs w:val="22"/>
        </w:rPr>
        <w:t xml:space="preserve">Voice Output (client-side, unchanged in principle from MVP)</w:t>
      </w:r>
    </w:p>
    <w:p>
      <w:pPr>
        <w:spacing w:after="200"/>
      </w:pPr>
    </w:p>
    <w:p>
      <w:pPr>
        <w:pStyle w:val="Heading2"/>
      </w:pPr>
      <w:r>
        <w:t xml:space="preserve">2.1 Component explanations</w:t>
      </w:r>
    </w:p>
    <w:p>
      <w:pPr>
        <w:spacing w:after="160"/>
      </w:pPr>
      <w:r>
        <w:rPr>
          <w:b/>
          <w:bCs/>
        </w:rPr>
        <w:t xml:space="preserve">Backend API</w:t>
      </w:r>
    </w:p>
    <w:p>
      <w:pPr>
        <w:spacing w:after="160"/>
      </w:pPr>
      <w:r>
        <w:t xml:space="preserve">In the current MVP, the mobile app likely calls inference providers directly or close to directly. In production, every external AI call should route through our own backend rather than client-to-provider. This isn't just 'more proper engineering' — it's the only way to centrally enforce rate limits, rotate API keys without shipping a new app build, log failures per provider for the fallback logic to use, and prevent a compromised or decompiled client from extracting our provider credentials and running up our bill (a real risk for any mobile app calling paid third-party AI APIs directly).</w:t>
      </w:r>
    </w:p>
    <w:p>
      <w:pPr>
        <w:spacing w:after="160"/>
      </w:pPr>
      <w:r>
        <w:rPr>
          <w:b/>
          <w:bCs/>
        </w:rPr>
        <w:t xml:space="preserve">Authentication</w:t>
      </w:r>
    </w:p>
    <w:p>
      <w:pPr>
        <w:spacing w:after="160"/>
      </w:pPr>
      <w:r>
        <w:t xml:space="preserve">Individual users need lightweight, low-friction auth — this is an accessibility product, so anything resembling a complex sign-up flow with visual CAPTCHAs or small-text forms is actively hostile to the target user. Phone-number-based auth with voice-guided OTP entry is the realistic baseline. Institutional accounts (schools, NGOs, hospitals) need a separate tenancy model — an admin user per institution who can provision and de-provision seats, which individual consumer auth doesn't need and institutional buyers will specifically ask about during procurement.</w:t>
      </w:r>
    </w:p>
    <w:p>
      <w:pPr>
        <w:spacing w:after="160"/>
      </w:pPr>
      <w:r>
        <w:rPr>
          <w:b/>
          <w:bCs/>
        </w:rPr>
        <w:t xml:space="preserve">Redis Cache</w:t>
      </w:r>
    </w:p>
    <w:p>
      <w:pPr>
        <w:spacing w:after="160"/>
      </w:pPr>
      <w:r>
        <w:t xml:space="preserve">Caching matters more here than in a typical app because many Scene Understanding and Navigation queries are repetitive in ways that are predictable: the same user describing the same room, the same stretch of a regularly walked route, the same currency note. A cache keyed on a perceptual hash of the captured frame (not the raw image) lets us serve a previously-computed description for a near-identical scene without a new inference call — directly reducing the dominant cost line identified in Document 1's unit economics. This is also a latency win, which matters disproportionately for this user base.</w:t>
      </w:r>
    </w:p>
    <w:p>
      <w:pPr>
        <w:spacing w:after="160"/>
      </w:pPr>
      <w:r>
        <w:rPr>
          <w:b/>
          <w:bCs/>
        </w:rPr>
        <w:t xml:space="preserve">AI Orchestration Layer</w:t>
      </w:r>
    </w:p>
    <w:p>
      <w:pPr>
        <w:spacing w:after="160"/>
      </w:pPr>
      <w:r>
        <w:t xml:space="preserve">This formalizes what the MVP already does informally — the Groq → Featherless → Gemini cascade — but adds: circuit breaking (stop sending traffic to a provider that's failing repeatedly, rather than retrying into a known outage), per-provider latency and error-rate tracking, and the ability to reweight traffic between providers without an app release (e.g., temporarily shifting more traffic to Featherless if Groq pricing or availability changes). This layer is the actual technical moat, addressed in Section 3.</w:t>
      </w:r>
    </w:p>
    <w:p>
      <w:pPr>
        <w:spacing w:after="160"/>
      </w:pPr>
      <w:r>
        <w:rPr>
          <w:b/>
          <w:bCs/>
        </w:rPr>
        <w:t xml:space="preserve">Database</w:t>
      </w:r>
    </w:p>
    <w:p>
      <w:pPr>
        <w:spacing w:after="160"/>
      </w:pPr>
      <w:r>
        <w:t xml:space="preserve">Stores user profiles, institutional account/seat data, and usage logs needed for both the cost model in Document 1 and future personalization (Document 3 roadmap). SOS event records need particular care — these are safety-critical, low-volume, high-sensitivity records that should be retained longer and access-controlled more strictly than general usage logs.</w:t>
      </w:r>
    </w:p>
    <w:p>
      <w:pPr>
        <w:spacing w:after="160"/>
      </w:pPr>
      <w:r>
        <w:rPr>
          <w:b/>
          <w:bCs/>
        </w:rPr>
        <w:t xml:space="preserve">Analytics</w:t>
      </w:r>
    </w:p>
    <w:p>
      <w:pPr>
        <w:spacing w:after="160"/>
      </w:pPr>
      <w:r>
        <w:t xml:space="preserve">Two distinct analytics needs that shouldn't be conflated: product analytics (which features are used, by whom, how often — feeds the conversion and pricing assumptions in Document 1) and operational analytics (per-provider failure rate, per-feature cost, cache hit rate — feeds infrastructure decisions). Treating these as one undifferentiated 'analytics' system tends to produce dashboards nobody actually uses.</w:t>
      </w:r>
    </w:p>
    <w:p>
      <w:pPr>
        <w:pStyle w:val="Heading1"/>
      </w:pPr>
      <w:r>
        <w:t xml:space="preserve">3. Security, Reliability &amp; Operations</w:t>
      </w:r>
    </w:p>
    <w:p>
      <w:pPr>
        <w:pStyle w:val="Heading2"/>
      </w:pPr>
      <w:r>
        <w:t xml:space="preserve">3.1 Security</w:t>
      </w:r>
    </w:p>
    <w:p>
      <w:pPr>
        <w:pStyle w:val="ListParagraph"/>
        <w:numPr>
          <w:ilvl w:val="0"/>
          <w:numId w:val="2"/>
        </w:numPr>
        <w:spacing w:after="80"/>
      </w:pPr>
      <w:r>
        <w:t xml:space="preserve">No AI provider API keys ever ship inside the mobile app binary. All inference calls route through our backend (Section 2.1), which is the only place credentials live. This is a baseline requirement, not an advanced feature — and its absence in many hackathon-stage AI apps is a common, easily-exploited flaw.</w:t>
      </w:r>
    </w:p>
    <w:p>
      <w:pPr>
        <w:pStyle w:val="ListParagraph"/>
        <w:numPr>
          <w:ilvl w:val="0"/>
          <w:numId w:val="2"/>
        </w:numPr>
        <w:spacing w:after="80"/>
      </w:pPr>
      <w:r>
        <w:t xml:space="preserve">SOS event data and any retained location data are the most sensitive data categories in the system and should be encrypted at rest and access-logged distinctly from general usage data.</w:t>
      </w:r>
    </w:p>
    <w:p>
      <w:pPr>
        <w:pStyle w:val="ListParagraph"/>
        <w:numPr>
          <w:ilvl w:val="0"/>
          <w:numId w:val="2"/>
        </w:numPr>
        <w:spacing w:after="80"/>
      </w:pPr>
      <w:r>
        <w:t xml:space="preserve">Captured camera frames should be treated as transient by default — processed for inference and discarded, not retained, unless a user explicitly opts into a feature that requires retention (e.g., a future 'Object Memory' feature, see Document 3). This is both a privacy-by-design decision and a direct cost control, since image storage at scale is non-trivial.</w:t>
      </w:r>
    </w:p>
    <w:p>
      <w:pPr>
        <w:pStyle w:val="Heading2"/>
      </w:pPr>
      <w:r>
        <w:t xml:space="preserve">3.2 Caching</w:t>
      </w:r>
    </w:p>
    <w:p>
      <w:pPr>
        <w:pStyle w:val="ListParagraph"/>
        <w:numPr>
          <w:ilvl w:val="0"/>
          <w:numId w:val="2"/>
        </w:numPr>
        <w:spacing w:after="80"/>
      </w:pPr>
      <w:r>
        <w:t xml:space="preserve">Perceptual-hash-based caching of vision query results (Section 2.1) is the primary caching strategy — it directly attacks the dominant cost line in the unit economics.</w:t>
      </w:r>
    </w:p>
    <w:p>
      <w:pPr>
        <w:pStyle w:val="ListParagraph"/>
        <w:numPr>
          <w:ilvl w:val="0"/>
          <w:numId w:val="2"/>
        </w:numPr>
        <w:spacing w:after="80"/>
      </w:pPr>
      <w:r>
        <w:t xml:space="preserve">Static/non-AI data (UI strings, voice prompt templates, institutional config) cached more conventionally with standard TTL-based invalidation.</w:t>
      </w:r>
    </w:p>
    <w:p>
      <w:pPr>
        <w:pStyle w:val="Heading2"/>
      </w:pPr>
      <w:r>
        <w:t xml:space="preserve">3.3 Rate limiting</w:t>
      </w:r>
    </w:p>
    <w:p>
      <w:pPr>
        <w:pStyle w:val="ListParagraph"/>
        <w:numPr>
          <w:ilvl w:val="0"/>
          <w:numId w:val="2"/>
        </w:numPr>
        <w:spacing w:after="80"/>
      </w:pPr>
      <w:r>
        <w:t xml:space="preserve">Free tier soft caps (8 calls/day, per Document 1's modeling) enforced server-side, not client-side — a client-side-only limit is trivially bypassed and would undermine the entire unit economics model.</w:t>
      </w:r>
    </w:p>
    <w:p>
      <w:pPr>
        <w:pStyle w:val="ListParagraph"/>
        <w:numPr>
          <w:ilvl w:val="0"/>
          <w:numId w:val="2"/>
        </w:numPr>
        <w:spacing w:after="80"/>
      </w:pPr>
      <w:r>
        <w:t xml:space="preserve">Rate limiting must never apply to Emergency SOS. This needs to be an explicit, tested exception in the rate-limiting logic, not an assumption that 'SOS just works differently' — an untested assumption here is exactly the kind of thing that fails silently in production.</w:t>
      </w:r>
    </w:p>
    <w:p>
      <w:pPr>
        <w:pStyle w:val="Heading2"/>
      </w:pPr>
      <w:r>
        <w:t xml:space="preserve">3.4 Monitoring</w:t>
      </w:r>
    </w:p>
    <w:p>
      <w:pPr>
        <w:pStyle w:val="ListParagraph"/>
        <w:numPr>
          <w:ilvl w:val="0"/>
          <w:numId w:val="2"/>
        </w:numPr>
        <w:spacing w:after="80"/>
      </w:pPr>
      <w:r>
        <w:t xml:space="preserve">Per-provider latency and failure-rate monitoring on the Groq/Featherless/Gemini cascade — this is operationally necessary (Section 2.1) and also produces the real usage data that should replace the stated assumptions in Document 1's cost model as soon as it exists.</w:t>
      </w:r>
    </w:p>
    <w:p>
      <w:pPr>
        <w:pStyle w:val="ListParagraph"/>
        <w:numPr>
          <w:ilvl w:val="0"/>
          <w:numId w:val="2"/>
        </w:numPr>
        <w:spacing w:after="80"/>
      </w:pPr>
      <w:r>
        <w:t xml:space="preserve">Uptime/error monitoring on the SOS path specifically warrants its own alerting threshold, separate from general app monitoring, given the consequence of failure.</w:t>
      </w:r>
    </w:p>
    <w:p>
      <w:pPr>
        <w:pStyle w:val="Heading2"/>
      </w:pPr>
      <w:r>
        <w:t xml:space="preserve">3.5 API protection</w:t>
      </w:r>
    </w:p>
    <w:p>
      <w:pPr>
        <w:pStyle w:val="ListParagraph"/>
        <w:numPr>
          <w:ilvl w:val="0"/>
          <w:numId w:val="2"/>
        </w:numPr>
        <w:spacing w:after="80"/>
      </w:pPr>
      <w:r>
        <w:t xml:space="preserve">Standard protections — authenticated requests only, per-device/per-account rate limits, anomaly detection for unusual call patterns that could indicate credential abuse or a compromised client.</w:t>
      </w:r>
    </w:p>
    <w:p>
      <w:pPr>
        <w:pStyle w:val="ListParagraph"/>
        <w:numPr>
          <w:ilvl w:val="0"/>
          <w:numId w:val="2"/>
        </w:numPr>
        <w:spacing w:after="80"/>
      </w:pPr>
      <w:r>
        <w:t xml:space="preserve">Institutional accounts need seat-level usage visibility for the admin (so a school can see aggregate, anonymized usage across its licensed seats) without exposing individual student-level activity to the institution by default — a privacy distinction worth designing deliberately rather than defaulting to maximum visibility for the paying customer.</w:t>
      </w:r>
    </w:p>
    <w:p>
      <w:pPr>
        <w:pStyle w:val="Heading2"/>
      </w:pPr>
      <w:r>
        <w:t xml:space="preserve">3.6 Key management</w:t>
      </w:r>
    </w:p>
    <w:p>
      <w:pPr>
        <w:pStyle w:val="ListParagraph"/>
        <w:numPr>
          <w:ilvl w:val="0"/>
          <w:numId w:val="2"/>
        </w:numPr>
        <w:spacing w:after="80"/>
      </w:pPr>
      <w:r>
        <w:t xml:space="preserve">All third-party provider keys (Groq, Featherless, Gemini, any future provider) live server-side only, ideally in a managed secrets store rather than environment files, with the ability to rotate a key without an app deployment — this is what makes the orchestration layer's 'reweight traffic between providers without a release' capability (Section 2.1) actually possible operationally, not just in theory.</w:t>
      </w:r>
    </w:p>
    <w:p>
      <w:pPr>
        <w:pStyle w:val="Heading1"/>
      </w:pPr>
      <w:r>
        <w:t xml:space="preserve">4. Why This Cannot Be Cloned By Wrapping Gemini</w:t>
      </w:r>
    </w:p>
    <w:p>
      <w:pPr>
        <w:spacing w:after="160"/>
      </w:pPr>
      <w:r>
        <w:t xml:space="preserve">This is the question every judge will ask in some form, and the honest answer matters more than a confident-sounding one. The moat is not 'we have better prompts' — prompts are not defensible, and any claim resting on prompt quality alone should be treated skeptically by anyone evaluating this pitch, including us.</w:t>
      </w:r>
    </w:p>
    <w:p>
      <w:pPr>
        <w:pStyle w:val="Heading2"/>
      </w:pPr>
      <w:r>
        <w:t xml:space="preserve">4.1 What actually doesn't transfer if a competitor wraps Gemini tomorrow</w:t>
      </w:r>
    </w:p>
    <w:p>
      <w:pPr>
        <w:pStyle w:val="ListParagraph"/>
        <w:numPr>
          <w:ilvl w:val="0"/>
          <w:numId w:val="2"/>
        </w:numPr>
        <w:spacing w:after="80"/>
      </w:pPr>
      <w:r>
        <w:t xml:space="preserve">Accessibility-first design, not accessibility-retrofitted design. The Accessibility Engine layer (Section 1.2) exists because raw model output — even very good model output — is not structured for someone consuming it by ear, under time pressure, possibly while walking. Deciding what to say first, how much to say, and when to stay silent is a product design problem solved through iteration with actual visually impaired users, not a prompting problem. A competitor wrapping Gemini gets Gemini's raw output; they don't get this layer for free.</w:t>
      </w:r>
    </w:p>
    <w:p>
      <w:pPr>
        <w:pStyle w:val="ListParagraph"/>
        <w:numPr>
          <w:ilvl w:val="0"/>
          <w:numId w:val="2"/>
        </w:numPr>
        <w:spacing w:after="80"/>
      </w:pPr>
      <w:r>
        <w:t xml:space="preserve">Unified workflow across previously separate tools. Today, a visually impaired user typically juggles a separate OCR app, a separate navigation app, a separate currency identification tool, and a separate emergency contact mechanism — each with its own UI conventions, its own learning curve, and its own moment of friction exactly when the user is already in a difficult situation. Consolidating these into one consistent voice-first interaction model is a UX and workflow integration problem that doesn't get solved by calling a more capable model — it gets solved by the surrounding product.</w:t>
      </w:r>
    </w:p>
    <w:p>
      <w:pPr>
        <w:pStyle w:val="ListParagraph"/>
        <w:numPr>
          <w:ilvl w:val="0"/>
          <w:numId w:val="2"/>
        </w:numPr>
        <w:spacing w:after="80"/>
      </w:pPr>
      <w:r>
        <w:t xml:space="preserve">Context-aware orchestration across providers and tasks, not a single model call. The three-tier fallback (Section 1.3) plus the planned caching and circuit-breaking layer (Section 2.1) is operational infrastructure built around cost, latency, and reliability tradeoffs specific to this use case. A competitor making a single API call to Gemini has none of this — they inherit Gemini's cost structure, Gemini's latency, and Gemini's downtime, with no fallback.</w:t>
      </w:r>
    </w:p>
    <w:p>
      <w:pPr>
        <w:pStyle w:val="ListParagraph"/>
        <w:numPr>
          <w:ilvl w:val="0"/>
          <w:numId w:val="2"/>
        </w:numPr>
        <w:spacing w:after="80"/>
      </w:pPr>
      <w:r>
        <w:t xml:space="preserve">Voice-first interaction as the primary modality, not an accessibility add-on bolted onto a visual-first app. Designing for voice-first from the start changes information architecture decisions throughout the product (what's said, in what order, how interruptible it is) in ways that are expensive and awkward to retrofit onto an app that was designed screen-first.</w:t>
      </w:r>
    </w:p>
    <w:p>
      <w:pPr>
        <w:pStyle w:val="ListParagraph"/>
        <w:numPr>
          <w:ilvl w:val="0"/>
          <w:numId w:val="2"/>
        </w:numPr>
        <w:spacing w:after="80"/>
      </w:pPr>
      <w:r>
        <w:t xml:space="preserve">Distribution and trust within accessibility institutions. This is arguably the strongest long-term moat and the hardest to copy quickly: relationships with schools, NGOs, and disability organizations take real time to build and are not transferable just because a competitor has a comparable or even superior model. Document 1's institutional revenue model depends on this, and so does defensibility — procurement relationships are sticky in a way that consumer app downloads are not.</w:t>
      </w:r>
    </w:p>
    <w:p>
      <w:pPr>
        <w:pStyle w:val="ListParagraph"/>
        <w:numPr>
          <w:ilvl w:val="0"/>
          <w:numId w:val="2"/>
        </w:numPr>
        <w:spacing w:after="80"/>
      </w:pPr>
      <w:r>
        <w:t xml:space="preserve">The offline, personalization, and wearable integration roadmap (Document 3) compounds over time in ways a thin wrapper product has no path to, because each of those requires accumulated usage data, on-device model work, or hardware partnerships — none of which exist the day a competitor decides to copy the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3E" w:sz="4"/>
              <w:left w:val="single" w:color="2E5C3E" w:sz="24"/>
              <w:bottom w:val="single" w:color="2E5C3E" w:sz="4"/>
              <w:right w:val="single" w:color="2E5C3E" w:sz="4"/>
            </w:tcBorders>
            <w:shd w:fill="E6F0E8" w:val="clear"/>
            <w:tcMar>
              <w:top w:type="dxa" w:w="160"/>
              <w:left w:type="dxa" w:w="220"/>
              <w:bottom w:type="dxa" w:w="160"/>
              <w:right w:type="dxa" w:w="220"/>
            </w:tcMar>
          </w:tcPr>
          <w:p>
            <w:pPr>
              <w:spacing w:after="80"/>
            </w:pPr>
            <w:r>
              <w:rPr>
                <w:b/>
                <w:bCs/>
                <w:color w:val="2E5C3E"/>
                <w:sz w:val="21"/>
                <w:szCs w:val="21"/>
              </w:rPr>
              <w:t xml:space="preserve">What we are NOT claiming</w:t>
            </w:r>
          </w:p>
          <w:p>
            <w:pPr>
              <w:spacing w:after="0"/>
            </w:pPr>
            <w:r>
              <w:rPr>
                <w:b w:val="false"/>
                <w:bCs w:val="false"/>
                <w:color w:val="2E5C3E"/>
                <w:sz w:val="21"/>
                <w:szCs w:val="21"/>
              </w:rPr>
              <w:t xml:space="preserve">We are not claiming Gemini, Groq, or Featherless can't be replicated by a competitor — they're commercially available to anyone. We are claiming that calling one of them with a good prompt is not the product. The product is the accessibility-specific design decisions, the multi-provider orchestration built around real cost and reliability constraints, the unified workflow replacing several separate tools, and the institutional trust and distribution that compounds over time. Any of these can theoretically be built by a well-resourced competitor — but not quickly, and not by wrapping an API.</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6B"/>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2026-06-28T05:51:04.290Z</dcterms:created>
  <dcterms:modified xsi:type="dcterms:W3CDTF">2026-06-28T05:51:04.290Z</dcterms:modified>
</cp:coreProperties>
</file>

<file path=docProps/custom.xml><?xml version="1.0" encoding="utf-8"?>
<Properties xmlns="http://schemas.openxmlformats.org/officeDocument/2006/custom-properties" xmlns:vt="http://schemas.openxmlformats.org/officeDocument/2006/docPropsVTypes"/>
</file>