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D6B"/>
          <w:sz w:val="44"/>
          <w:szCs w:val="44"/>
        </w:rPr>
        <w:t xml:space="preserve">EchoSight</w:t>
      </w:r>
    </w:p>
    <w:p>
      <w:pPr>
        <w:spacing w:after="40"/>
      </w:pPr>
      <w:r>
        <w:rPr>
          <w:i/>
          <w:iCs/>
          <w:color w:val="595959"/>
          <w:sz w:val="24"/>
          <w:szCs w:val="24"/>
        </w:rPr>
        <w:t xml:space="preserve">See Beyond. Hear the Path.</w:t>
      </w:r>
    </w:p>
    <w:p>
      <w:pPr>
        <w:spacing w:after="320"/>
      </w:pPr>
      <w:r>
        <w:rPr>
          <w:b/>
          <w:bCs/>
          <w:sz w:val="28"/>
          <w:szCs w:val="28"/>
        </w:rPr>
        <w:t xml:space="preserve">Document 3 — Scale &amp; Expansion Roadmap</w:t>
      </w:r>
    </w:p>
    <w:p>
      <w:pPr>
        <w:spacing w:after="160"/>
      </w:pPr>
      <w:r>
        <w:t xml:space="preserve">This roadmap is structured by user-count milestones rather than calendar months, because the decisions that actually matter — when to add a database, when caching stops being optional, when manual processes break — are triggered by scale, not by the calendar. A team that hits 1,000 users in month two faces different problems than one that takes eight months, and a roadmap that says 'Month 3: add Redis' regardless of actual load is the kind of plan that looks organized but isn't grounded in anything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D6B" w:val="clear"/>
            <w:tcMar>
              <w:top w:type="dxa" w:w="140"/>
              <w:left w:type="dxa" w:w="200"/>
              <w:bottom w:type="dxa" w:w="140"/>
              <w:right w:type="dxa" w:w="200"/>
            </w:tcMar>
          </w:tcPr>
          <w:p>
            <w:r>
              <w:rPr>
                <w:b/>
                <w:bCs/>
                <w:color w:val="FFFFFF"/>
                <w:sz w:val="26"/>
                <w:szCs w:val="26"/>
              </w:rPr>
              <w:t xml:space="preserve">Stage 1 — 10 Users</w:t>
            </w:r>
          </w:p>
        </w:tc>
      </w:tr>
    </w:tbl>
    <w:p>
      <w:pPr>
        <w:spacing w:after="160"/>
      </w:pPr>
      <w:r>
        <w:rPr>
          <w:i/>
          <w:iCs/>
          <w:color w:val="595959"/>
        </w:rPr>
        <w:t xml:space="preserve">At this stage, the goal is learning, not infrastructure. Almost everything should still be manual or minimal, because building infrastructure for load that doesn't exist yet is wasted effort that delays the thing that actually matters at this stage: direct feedback from real visually impaired users.</w:t>
      </w:r>
    </w:p>
    <w:p>
      <w:pPr>
        <w:pStyle w:val="Heading2"/>
      </w:pPr>
      <w:r>
        <w:t xml:space="preserve">Infrastructure</w:t>
      </w:r>
    </w:p>
    <w:p>
      <w:pPr>
        <w:pStyle w:val="ListParagraph"/>
        <w:numPr>
          <w:ilvl w:val="0"/>
          <w:numId w:val="2"/>
        </w:numPr>
        <w:spacing w:after="80"/>
      </w:pPr>
      <w:r>
        <w:t xml:space="preserve">Single small backend instance is sufficient — no need for redundancy or auto-scaling at this volume. Total AI call volume at 10 users, even at the heavier 20 calls/day assumption from Document 1, is around 6,000 calls/month — trivial load for any provider.</w:t>
      </w:r>
    </w:p>
    <w:p>
      <w:pPr>
        <w:pStyle w:val="Heading2"/>
      </w:pPr>
      <w:r>
        <w:t xml:space="preserve">Database</w:t>
      </w:r>
    </w:p>
    <w:p>
      <w:pPr>
        <w:pStyle w:val="ListParagraph"/>
        <w:numPr>
          <w:ilvl w:val="0"/>
          <w:numId w:val="2"/>
        </w:numPr>
        <w:spacing w:after="80"/>
      </w:pPr>
      <w:r>
        <w:t xml:space="preserve">A single managed Postgres instance (or even SQLite for true MVP simplicity) is enough. No sharding, no read replicas — those decisions are premature at this scale and would be solving a problem that doesn't exist yet.</w:t>
      </w:r>
    </w:p>
    <w:p>
      <w:pPr>
        <w:pStyle w:val="Heading2"/>
      </w:pPr>
      <w:r>
        <w:t xml:space="preserve">Caching</w:t>
      </w:r>
    </w:p>
    <w:p>
      <w:pPr>
        <w:pStyle w:val="ListParagraph"/>
        <w:numPr>
          <w:ilvl w:val="0"/>
          <w:numId w:val="2"/>
        </w:numPr>
        <w:spacing w:after="80"/>
      </w:pPr>
      <w:r>
        <w:t xml:space="preserve">Not yet justified. The perceptual-hash caching strategy from Document 2 has a real engineering cost to build correctly, and at 10 users the cache hit rate would be too low (too few repeated scenes across too few users) to offset the work.</w:t>
      </w:r>
    </w:p>
    <w:p>
      <w:pPr>
        <w:pStyle w:val="Heading2"/>
      </w:pPr>
      <w:r>
        <w:t xml:space="preserve">Monitoring</w:t>
      </w:r>
    </w:p>
    <w:p>
      <w:pPr>
        <w:pStyle w:val="ListParagraph"/>
        <w:numPr>
          <w:ilvl w:val="0"/>
          <w:numId w:val="2"/>
        </w:numPr>
        <w:spacing w:after="80"/>
      </w:pPr>
      <w:r>
        <w:t xml:space="preserve">Manual monitoring is acceptable — the team should personally be watching error logs and talking to these 10 users directly, ideally weekly. This stage is about qualitative signal, not dashboards.</w:t>
      </w:r>
    </w:p>
    <w:p>
      <w:pPr>
        <w:pStyle w:val="Heading2"/>
      </w:pPr>
      <w:r>
        <w:t xml:space="preserve">Authentication</w:t>
      </w:r>
    </w:p>
    <w:p>
      <w:pPr>
        <w:pStyle w:val="ListParagraph"/>
        <w:numPr>
          <w:ilvl w:val="0"/>
          <w:numId w:val="2"/>
        </w:numPr>
        <w:spacing w:after="80"/>
      </w:pPr>
      <w:r>
        <w:t xml:space="preserve">Minimal — phone number plus OTP is enough; no need for institutional tenancy yet since there's no institutional customer at this scale.</w:t>
      </w:r>
    </w:p>
    <w:p>
      <w:pPr>
        <w:pStyle w:val="Heading2"/>
      </w:pPr>
      <w:r>
        <w:t xml:space="preserve">Analytics</w:t>
      </w:r>
    </w:p>
    <w:p>
      <w:pPr>
        <w:pStyle w:val="ListParagraph"/>
        <w:numPr>
          <w:ilvl w:val="0"/>
          <w:numId w:val="2"/>
        </w:numPr>
        <w:spacing w:after="80"/>
      </w:pPr>
      <w:r>
        <w:t xml:space="preserve">Basic event logging only (which feature was used, did the call succeed) — formal analytics infrastructure isn't justified yet; a spreadsheet is genuinely fine here.</w:t>
      </w:r>
    </w:p>
    <w:p>
      <w:pPr>
        <w:pStyle w:val="Heading2"/>
      </w:pPr>
      <w:r>
        <w:t xml:space="preserve">Prompt / inference optimization</w:t>
      </w:r>
    </w:p>
    <w:p>
      <w:pPr>
        <w:pStyle w:val="ListParagraph"/>
        <w:numPr>
          <w:ilvl w:val="0"/>
          <w:numId w:val="2"/>
        </w:numPr>
        <w:spacing w:after="80"/>
      </w:pPr>
      <w:r>
        <w:t xml:space="preserve">This is the most important work at this stage, just not in the way 'prompt optimization' usually sounds. The priority is direct observation: sitting with these 10 users, watching where the Accessibility Engine's phrasing is confusing, too slow, too verbose, or missing the thing the user actually needed to know first. This is qualitative product work, not parameter tuning.</w:t>
      </w:r>
    </w:p>
    <w:p>
      <w:pPr>
        <w:pStyle w:val="Heading2"/>
      </w:pPr>
      <w:r>
        <w:t xml:space="preserve">Cost optimization</w:t>
      </w:r>
    </w:p>
    <w:p>
      <w:pPr>
        <w:pStyle w:val="ListParagraph"/>
        <w:numPr>
          <w:ilvl w:val="0"/>
          <w:numId w:val="2"/>
        </w:numPr>
        <w:spacing w:after="80"/>
      </w:pPr>
      <w:r>
        <w:t xml:space="preserve">Not a priority yet — total monthly AI spend at this scale is small enough (low tens of dollars under Document 1's assumptions) that optimizing it has near-zero leverage compared to getting the product right.</w:t>
      </w:r>
    </w:p>
    <w:p>
      <w:pPr>
        <w:pStyle w:val="Heading2"/>
      </w:pPr>
      <w:r>
        <w:t xml:space="preserve">Offline capabilities</w:t>
      </w:r>
    </w:p>
    <w:p>
      <w:pPr>
        <w:pStyle w:val="ListParagraph"/>
        <w:numPr>
          <w:ilvl w:val="0"/>
          <w:numId w:val="2"/>
        </w:numPr>
        <w:spacing w:after="80"/>
      </w:pPr>
      <w:r>
        <w:t xml:space="preserve">Read Text already works fully offline today (Document 2, Section 1.2) since it's on-device ML Kit — this should be explicitly communicated to early users as a current capability, not a future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D6B" w:val="clear"/>
            <w:tcMar>
              <w:top w:type="dxa" w:w="140"/>
              <w:left w:type="dxa" w:w="200"/>
              <w:bottom w:type="dxa" w:w="140"/>
              <w:right w:type="dxa" w:w="200"/>
            </w:tcMar>
          </w:tcPr>
          <w:p>
            <w:r>
              <w:rPr>
                <w:b/>
                <w:bCs/>
                <w:color w:val="FFFFFF"/>
                <w:sz w:val="26"/>
                <w:szCs w:val="26"/>
              </w:rPr>
              <w:t xml:space="preserve">Stage 2 — 100 Users</w:t>
            </w:r>
          </w:p>
        </w:tc>
      </w:tr>
    </w:tbl>
    <w:p>
      <w:pPr>
        <w:spacing w:after="160"/>
      </w:pPr>
      <w:r>
        <w:rPr>
          <w:i/>
          <w:iCs/>
          <w:color w:val="595959"/>
        </w:rPr>
        <w:t xml:space="preserve">This is the stage where the first real infrastructure decisions become justified by actual load, and where the first institutional pilot conversation (Document 1, Section 3) realistically becomes possible.</w:t>
      </w:r>
    </w:p>
    <w:p>
      <w:pPr>
        <w:pStyle w:val="Heading2"/>
      </w:pPr>
      <w:r>
        <w:t xml:space="preserve">Infrastructure</w:t>
      </w:r>
    </w:p>
    <w:p>
      <w:pPr>
        <w:pStyle w:val="ListParagraph"/>
        <w:numPr>
          <w:ilvl w:val="0"/>
          <w:numId w:val="2"/>
        </w:numPr>
        <w:spacing w:after="80"/>
      </w:pPr>
      <w:r>
        <w:t xml:space="preserve">Still a single backend instance, but now worth setting up basic auto-restart/health-check behavior — at 10 users a crash is a minor inconvenience the team notices immediately; at 100 it can go unnoticed for hours if there's no alerting.</w:t>
      </w:r>
    </w:p>
    <w:p>
      <w:pPr>
        <w:pStyle w:val="Heading2"/>
      </w:pPr>
      <w:r>
        <w:t xml:space="preserve">Database</w:t>
      </w:r>
    </w:p>
    <w:p>
      <w:pPr>
        <w:pStyle w:val="ListParagraph"/>
        <w:numPr>
          <w:ilvl w:val="0"/>
          <w:numId w:val="2"/>
        </w:numPr>
        <w:spacing w:after="80"/>
      </w:pPr>
      <w:r>
        <w:t xml:space="preserve">Managed Postgres becomes the clear right choice if SQLite was used at Stage 1 — still no sharding or replicas needed, but proper backups become non-negotiable at this point, since losing usage history or SOS records for 100 real users is a meaningfully worse failure than losing it for 10.</w:t>
      </w:r>
    </w:p>
    <w:p>
      <w:pPr>
        <w:pStyle w:val="Heading2"/>
      </w:pPr>
      <w:r>
        <w:t xml:space="preserve">Caching</w:t>
      </w:r>
    </w:p>
    <w:p>
      <w:pPr>
        <w:pStyle w:val="ListParagraph"/>
        <w:numPr>
          <w:ilvl w:val="0"/>
          <w:numId w:val="2"/>
        </w:numPr>
        <w:spacing w:after="80"/>
      </w:pPr>
      <w:r>
        <w:t xml:space="preserve">Worth a first, simple version — even a basic cache (not yet the full perceptual-hash system) for the most repeated query patterns starts to show measurable cost reduction, because patterns of repeated scenes/routes start to emerge with 100 active users.</w:t>
      </w:r>
    </w:p>
    <w:p>
      <w:pPr>
        <w:pStyle w:val="Heading2"/>
      </w:pPr>
      <w:r>
        <w:t xml:space="preserve">Monitoring</w:t>
      </w:r>
    </w:p>
    <w:p>
      <w:pPr>
        <w:pStyle w:val="ListParagraph"/>
        <w:numPr>
          <w:ilvl w:val="0"/>
          <w:numId w:val="2"/>
        </w:numPr>
        <w:spacing w:after="80"/>
      </w:pPr>
      <w:r>
        <w:t xml:space="preserve">First real monitoring/alerting setup — at minimum, alerting on SOS-path failures and on overall error rate crossing a threshold. Manual log-watching stops being sufficient once the team can't plausibly read every log line.</w:t>
      </w:r>
    </w:p>
    <w:p>
      <w:pPr>
        <w:pStyle w:val="Heading2"/>
      </w:pPr>
      <w:r>
        <w:t xml:space="preserve">Authentication</w:t>
      </w:r>
    </w:p>
    <w:p>
      <w:pPr>
        <w:pStyle w:val="ListParagraph"/>
        <w:numPr>
          <w:ilvl w:val="0"/>
          <w:numId w:val="2"/>
        </w:numPr>
        <w:spacing w:after="80"/>
      </w:pPr>
      <w:r>
        <w:t xml:space="preserve">Same consumer auth as Stage 1 is likely still sufficient, but this is the point to start designing (not yet building) the institutional tenancy model from Document 2, since the first pilot conversation with an NGO or school is realistic at this user count.</w:t>
      </w:r>
    </w:p>
    <w:p>
      <w:pPr>
        <w:pStyle w:val="Heading2"/>
      </w:pPr>
      <w:r>
        <w:t xml:space="preserve">Analytics</w:t>
      </w:r>
    </w:p>
    <w:p>
      <w:pPr>
        <w:pStyle w:val="ListParagraph"/>
        <w:numPr>
          <w:ilvl w:val="0"/>
          <w:numId w:val="2"/>
        </w:numPr>
        <w:spacing w:after="80"/>
      </w:pPr>
      <w:r>
        <w:t xml:space="preserve">Move from a spreadsheet to a lightweight analytics tool — the team needs to see conversion-relevant numbers (Document 1's assumptions should start getting replaced with real data here) without manually compiling them each time.</w:t>
      </w:r>
    </w:p>
    <w:p>
      <w:pPr>
        <w:pStyle w:val="Heading2"/>
      </w:pPr>
      <w:r>
        <w:t xml:space="preserve">Prompt / inference optimization</w:t>
      </w:r>
    </w:p>
    <w:p>
      <w:pPr>
        <w:pStyle w:val="ListParagraph"/>
        <w:numPr>
          <w:ilvl w:val="0"/>
          <w:numId w:val="2"/>
        </w:numPr>
        <w:spacing w:after="80"/>
      </w:pPr>
      <w:r>
        <w:t xml:space="preserve">Enough real usage now exists to start looking at failure patterns by category — which task types (navigation vs. currency vs. scene description) have the highest fallback rate from Groq to Featherless/Gemini, which informs both cost and reliability decisions.</w:t>
      </w:r>
    </w:p>
    <w:p>
      <w:pPr>
        <w:pStyle w:val="Heading2"/>
      </w:pPr>
      <w:r>
        <w:t xml:space="preserve">Cost optimization</w:t>
      </w:r>
    </w:p>
    <w:p>
      <w:pPr>
        <w:pStyle w:val="ListParagraph"/>
        <w:numPr>
          <w:ilvl w:val="0"/>
          <w:numId w:val="2"/>
        </w:numPr>
        <w:spacing w:after="80"/>
      </w:pPr>
      <w:r>
        <w:t xml:space="preserve">Worth a first real look at actual provider invoices versus the Document 1 assumptions — this is the natural point to correct those assumptions with real data, since 100 users generate enough volume for the numbers to be meaningful rather than noisy.</w:t>
      </w:r>
    </w:p>
    <w:p>
      <w:pPr>
        <w:pStyle w:val="Heading2"/>
      </w:pPr>
      <w:r>
        <w:t xml:space="preserve">Offline capabilities</w:t>
      </w:r>
    </w:p>
    <w:p>
      <w:pPr>
        <w:pStyle w:val="ListParagraph"/>
        <w:numPr>
          <w:ilvl w:val="0"/>
          <w:numId w:val="2"/>
        </w:numPr>
        <w:spacing w:after="80"/>
      </w:pPr>
      <w:r>
        <w:t xml:space="preserve">Still just Read Text. No new offline work is justified yet at this scale — the priority remains product validation, not infrastructure for a future that hasn't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D6B" w:val="clear"/>
            <w:tcMar>
              <w:top w:type="dxa" w:w="140"/>
              <w:left w:type="dxa" w:w="200"/>
              <w:bottom w:type="dxa" w:w="140"/>
              <w:right w:type="dxa" w:w="200"/>
            </w:tcMar>
          </w:tcPr>
          <w:p>
            <w:r>
              <w:rPr>
                <w:b/>
                <w:bCs/>
                <w:color w:val="FFFFFF"/>
                <w:sz w:val="26"/>
                <w:szCs w:val="26"/>
              </w:rPr>
              <w:t xml:space="preserve">Stage 3 — 1,000 Users</w:t>
            </w:r>
          </w:p>
        </w:tc>
      </w:tr>
    </w:tbl>
    <w:p>
      <w:pPr>
        <w:spacing w:after="160"/>
      </w:pPr>
      <w:r>
        <w:rPr>
          <w:i/>
          <w:iCs/>
          <w:color w:val="595959"/>
        </w:rPr>
        <w:t xml:space="preserve">This is the scale modeled in detail in Document 1. The headline finding there — that consumer revenue alone doesn't cover costs at this scale — should directly shape what gets prioritized here: closing institutional deals matters as much as technical scaling work at this stage.</w:t>
      </w:r>
    </w:p>
    <w:p>
      <w:pPr>
        <w:pStyle w:val="Heading2"/>
      </w:pPr>
      <w:r>
        <w:t xml:space="preserve">Infrastructure</w:t>
      </w:r>
    </w:p>
    <w:p>
      <w:pPr>
        <w:pStyle w:val="ListParagraph"/>
        <w:numPr>
          <w:ilvl w:val="0"/>
          <w:numId w:val="2"/>
        </w:numPr>
        <w:spacing w:after="80"/>
      </w:pPr>
      <w:r>
        <w:t xml:space="preserve">This is the point where a single instance genuinely becomes a risk — moving to at least basic redundancy (two backend instances behind a load balancer) is justified, since downtime now affects 1,000 people rather than 10.</w:t>
      </w:r>
    </w:p>
    <w:p>
      <w:pPr>
        <w:pStyle w:val="Heading2"/>
      </w:pPr>
      <w:r>
        <w:t xml:space="preserve">Database</w:t>
      </w:r>
    </w:p>
    <w:p>
      <w:pPr>
        <w:pStyle w:val="ListParagraph"/>
        <w:numPr>
          <w:ilvl w:val="0"/>
          <w:numId w:val="2"/>
        </w:numPr>
        <w:spacing w:after="80"/>
      </w:pPr>
      <w:r>
        <w:t xml:space="preserve">Still a single managed Postgres primary is likely sufficient for this volume of users, but this is the point to introduce a read replica for analytics queries, so reporting/analytics load doesn't compete with live request load.</w:t>
      </w:r>
    </w:p>
    <w:p>
      <w:pPr>
        <w:pStyle w:val="Heading2"/>
      </w:pPr>
      <w:r>
        <w:t xml:space="preserve">Caching</w:t>
      </w:r>
    </w:p>
    <w:p>
      <w:pPr>
        <w:pStyle w:val="ListParagraph"/>
        <w:numPr>
          <w:ilvl w:val="0"/>
          <w:numId w:val="2"/>
        </w:numPr>
        <w:spacing w:after="80"/>
      </w:pPr>
      <w:r>
        <w:t xml:space="preserve">The full perceptual-hash caching system from Document 2 becomes worth building properly at this scale — Document 1's cost model shows AI inference as the dominant cost line, and caching is the highest-leverage lever against it once there's enough repeated-query volume to make a meaningful dent.</w:t>
      </w:r>
    </w:p>
    <w:p>
      <w:pPr>
        <w:pStyle w:val="Heading2"/>
      </w:pPr>
      <w:r>
        <w:t xml:space="preserve">Monitoring</w:t>
      </w:r>
    </w:p>
    <w:p>
      <w:pPr>
        <w:pStyle w:val="ListParagraph"/>
        <w:numPr>
          <w:ilvl w:val="0"/>
          <w:numId w:val="2"/>
        </w:numPr>
        <w:spacing w:after="80"/>
      </w:pPr>
      <w:r>
        <w:t xml:space="preserve">Per-provider monitoring (Groq/Featherless/Gemini latency and error rate, per Document 2 Section 3.4) becomes operationally necessary, not optional, since the AI orchestration layer's circuit-breaking logic depends on having this data in near-real-time.</w:t>
      </w:r>
    </w:p>
    <w:p>
      <w:pPr>
        <w:pStyle w:val="Heading2"/>
      </w:pPr>
      <w:r>
        <w:t xml:space="preserve">Authentication</w:t>
      </w:r>
    </w:p>
    <w:p>
      <w:pPr>
        <w:pStyle w:val="ListParagraph"/>
        <w:numPr>
          <w:ilvl w:val="0"/>
          <w:numId w:val="2"/>
        </w:numPr>
        <w:spacing w:after="80"/>
      </w:pPr>
      <w:r>
        <w:t xml:space="preserve">Institutional tenancy (designed at Stage 2) needs to actually exist now, since this is the scale at which the first institutional contracts from Document 1's model become realistic to have signed.</w:t>
      </w:r>
    </w:p>
    <w:p>
      <w:pPr>
        <w:pStyle w:val="Heading2"/>
      </w:pPr>
      <w:r>
        <w:t xml:space="preserve">Analytics</w:t>
      </w:r>
    </w:p>
    <w:p>
      <w:pPr>
        <w:pStyle w:val="ListParagraph"/>
        <w:numPr>
          <w:ilvl w:val="0"/>
          <w:numId w:val="2"/>
        </w:numPr>
        <w:spacing w:after="80"/>
      </w:pPr>
      <w:r>
        <w:t xml:space="preserve">Split product analytics from operational analytics properly (Document 2, Section 2.1) — at this scale, conflating the two starts producing genuinely confusing or contradictory signals.</w:t>
      </w:r>
    </w:p>
    <w:p>
      <w:pPr>
        <w:pStyle w:val="Heading2"/>
      </w:pPr>
      <w:r>
        <w:t xml:space="preserve">Prompt optimization</w:t>
      </w:r>
    </w:p>
    <w:p>
      <w:pPr>
        <w:pStyle w:val="ListParagraph"/>
        <w:numPr>
          <w:ilvl w:val="0"/>
          <w:numId w:val="2"/>
        </w:numPr>
        <w:spacing w:after="80"/>
      </w:pPr>
      <w:r>
        <w:t xml:space="preserve">Enough data exists to identify systematic phrasing issues across user segments (e.g., does the Accessibility Engine's output work equally well for someone with low vision versus someone with no vision, who may need different levels of detail) — this is the point to start segmenting by need, not treating all users identically.</w:t>
      </w:r>
    </w:p>
    <w:p>
      <w:pPr>
        <w:pStyle w:val="Heading2"/>
      </w:pPr>
      <w:r>
        <w:t xml:space="preserve">Cost optimization</w:t>
      </w:r>
    </w:p>
    <w:p>
      <w:pPr>
        <w:pStyle w:val="ListParagraph"/>
        <w:numPr>
          <w:ilvl w:val="0"/>
          <w:numId w:val="2"/>
        </w:numPr>
        <w:spacing w:after="80"/>
      </w:pPr>
      <w:r>
        <w:t xml:space="preserve">Document 1's unit economics apply directly here. The real-data versions of the assumptions in that document (replacing the stated 20-calls/day and conversion-rate assumptions with actual measured numbers) should now exist and should be revisited monthly.</w:t>
      </w:r>
    </w:p>
    <w:p>
      <w:pPr>
        <w:pStyle w:val="Heading2"/>
      </w:pPr>
      <w:r>
        <w:t xml:space="preserve">Future AI deployment</w:t>
      </w:r>
    </w:p>
    <w:p>
      <w:pPr>
        <w:pStyle w:val="ListParagraph"/>
        <w:numPr>
          <w:ilvl w:val="0"/>
          <w:numId w:val="2"/>
        </w:numPr>
        <w:spacing w:after="80"/>
      </w:pPr>
      <w:r>
        <w:t xml:space="preserve">Worth beginning evaluation (not yet deployment) of smaller on-device vision models for the most common, simplest query types — e.g., a lightweight on-device model that can handle very common, low-ambiguity currency or simple object recognition without a network call at all, reserving the Groq/Featherless/Gemini cascade for harder cases.</w:t>
      </w:r>
    </w:p>
    <w:p>
      <w:pPr>
        <w:pStyle w:val="Heading2"/>
      </w:pPr>
      <w:r>
        <w:t xml:space="preserve">Offline capabilities</w:t>
      </w:r>
    </w:p>
    <w:p>
      <w:pPr>
        <w:pStyle w:val="ListParagraph"/>
        <w:numPr>
          <w:ilvl w:val="0"/>
          <w:numId w:val="2"/>
        </w:numPr>
        <w:spacing w:after="80"/>
      </w:pPr>
      <w:r>
        <w:t xml:space="preserve">First real offline feature beyond Read Text becomes worth scoping: cached scene descriptions for frequently revisited locations (the Premium feature flagged in Document 1, Section 2) is the most realistic first offline win, since it doesn't require running a full vision model on-device — just serving a previously-computed result when connectivity is poor.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D6B" w:val="clear"/>
            <w:tcMar>
              <w:top w:type="dxa" w:w="140"/>
              <w:left w:type="dxa" w:w="200"/>
              <w:bottom w:type="dxa" w:w="140"/>
              <w:right w:type="dxa" w:w="200"/>
            </w:tcMar>
          </w:tcPr>
          <w:p>
            <w:r>
              <w:rPr>
                <w:b/>
                <w:bCs/>
                <w:color w:val="FFFFFF"/>
                <w:sz w:val="26"/>
                <w:szCs w:val="26"/>
              </w:rPr>
              <w:t xml:space="preserve">Stage 4 — 10,000 Users</w:t>
            </w:r>
          </w:p>
        </w:tc>
      </w:tr>
    </w:tbl>
    <w:p>
      <w:pPr>
        <w:spacing w:after="160"/>
      </w:pPr>
      <w:r>
        <w:rPr>
          <w:i/>
          <w:iCs/>
          <w:color w:val="595959"/>
        </w:rPr>
        <w:t xml:space="preserve">At this scale, EchoSight is no longer a pilot-stage product — it needs to behave like infrastructure that institutions can depend on, with genuine redundancy and a real cost-optimization discipline.</w:t>
      </w:r>
    </w:p>
    <w:p>
      <w:pPr>
        <w:pStyle w:val="Heading2"/>
      </w:pPr>
      <w:r>
        <w:t xml:space="preserve">Infrastructure</w:t>
      </w:r>
    </w:p>
    <w:p>
      <w:pPr>
        <w:pStyle w:val="ListParagraph"/>
        <w:numPr>
          <w:ilvl w:val="0"/>
          <w:numId w:val="2"/>
        </w:numPr>
        <w:spacing w:after="80"/>
      </w:pPr>
      <w:r>
        <w:t xml:space="preserve">Proper horizontal scaling of the backend with auto-scaling based on load, across multiple availability zones — at this point a regional outage shouldn't take the whole product down, which matters more for an accessibility-critical tool than for most consumer apps.</w:t>
      </w:r>
    </w:p>
    <w:p>
      <w:pPr>
        <w:pStyle w:val="Heading2"/>
      </w:pPr>
      <w:r>
        <w:t xml:space="preserve">Database</w:t>
      </w:r>
    </w:p>
    <w:p>
      <w:pPr>
        <w:pStyle w:val="ListParagraph"/>
        <w:numPr>
          <w:ilvl w:val="0"/>
          <w:numId w:val="2"/>
        </w:numPr>
        <w:spacing w:after="80"/>
      </w:pPr>
      <w:r>
        <w:t xml:space="preserve">Read replicas become necessary beyond just analytics — likely splitting hot-path data (active sessions, recent usage) from cold-path data (historical logs, institutional reporting) becomes worth the added complexity at this volume.</w:t>
      </w:r>
    </w:p>
    <w:p>
      <w:pPr>
        <w:pStyle w:val="Heading2"/>
      </w:pPr>
      <w:r>
        <w:t xml:space="preserve">Caching</w:t>
      </w:r>
    </w:p>
    <w:p>
      <w:pPr>
        <w:pStyle w:val="ListParagraph"/>
        <w:numPr>
          <w:ilvl w:val="0"/>
          <w:numId w:val="2"/>
        </w:numPr>
        <w:spacing w:after="80"/>
      </w:pPr>
      <w:r>
        <w:t xml:space="preserve">Cache infrastructure itself needs to scale and likely needs geographic distribution if the user base is geographically spread, so cache lookups don't become a new latency bottleneck.</w:t>
      </w:r>
    </w:p>
    <w:p>
      <w:pPr>
        <w:pStyle w:val="Heading2"/>
      </w:pPr>
      <w:r>
        <w:t xml:space="preserve">Monitoring</w:t>
      </w:r>
    </w:p>
    <w:p>
      <w:pPr>
        <w:pStyle w:val="ListParagraph"/>
        <w:numPr>
          <w:ilvl w:val="0"/>
          <w:numId w:val="2"/>
        </w:numPr>
        <w:spacing w:after="80"/>
      </w:pPr>
      <w:r>
        <w:t xml:space="preserve">Full observability stack (distributed tracing across the orchestration layer, not just per-provider error rates) becomes justified — debugging a specific user's failed request across three possible inference providers and a cache layer needs proper tracing at this complexity level.</w:t>
      </w:r>
    </w:p>
    <w:p>
      <w:pPr>
        <w:pStyle w:val="Heading2"/>
      </w:pPr>
      <w:r>
        <w:t xml:space="preserve">Authentication</w:t>
      </w:r>
    </w:p>
    <w:p>
      <w:pPr>
        <w:pStyle w:val="ListParagraph"/>
        <w:numPr>
          <w:ilvl w:val="0"/>
          <w:numId w:val="2"/>
        </w:numPr>
        <w:spacing w:after="80"/>
      </w:pPr>
      <w:r>
        <w:t xml:space="preserve">Institutional tenancy needs to support significantly more complex org structures — multiple schools under one NGO umbrella, government program-level reporting requirements — this is where authentication starts to look like real enterprise identity management, not just login.</w:t>
      </w:r>
    </w:p>
    <w:p>
      <w:pPr>
        <w:pStyle w:val="Heading2"/>
      </w:pPr>
      <w:r>
        <w:t xml:space="preserve">Analytics</w:t>
      </w:r>
    </w:p>
    <w:p>
      <w:pPr>
        <w:pStyle w:val="ListParagraph"/>
        <w:numPr>
          <w:ilvl w:val="0"/>
          <w:numId w:val="2"/>
        </w:numPr>
        <w:spacing w:after="80"/>
      </w:pPr>
      <w:r>
        <w:t xml:space="preserve">Analytics needs to support per-institution reporting (Document 2, Section 3.5) as a first-class deliverable, since institutional customers at this scale will expect usage reports as part of what they're paying for.</w:t>
      </w:r>
    </w:p>
    <w:p>
      <w:pPr>
        <w:pStyle w:val="Heading2"/>
      </w:pPr>
      <w:r>
        <w:t xml:space="preserve">Prompt optimization</w:t>
      </w:r>
    </w:p>
    <w:p>
      <w:pPr>
        <w:pStyle w:val="ListParagraph"/>
        <w:numPr>
          <w:ilvl w:val="0"/>
          <w:numId w:val="2"/>
        </w:numPr>
        <w:spacing w:after="80"/>
      </w:pPr>
      <w:r>
        <w:t xml:space="preserve">Enough data exists to consider personalization (Document 3 vision, below) — adapting output verbosity, terminology, and pacing to an individual user's observed preferences and needs rather than a single one-size-fits-all output style.</w:t>
      </w:r>
    </w:p>
    <w:p>
      <w:pPr>
        <w:pStyle w:val="Heading2"/>
      </w:pPr>
      <w:r>
        <w:t xml:space="preserve">Cost optimization</w:t>
      </w:r>
    </w:p>
    <w:p>
      <w:pPr>
        <w:pStyle w:val="ListParagraph"/>
        <w:numPr>
          <w:ilvl w:val="0"/>
          <w:numId w:val="2"/>
        </w:numPr>
        <w:spacing w:after="80"/>
      </w:pPr>
      <w:r>
        <w:t xml:space="preserve">This is the point where negotiating committed-use or volume pricing directly with Groq/Featherless/Gemini becomes worth pursuing, rather than paying standard per-call rates — at sufficient volume this is a meaningful lever that doesn't exist at lower scale.</w:t>
      </w:r>
    </w:p>
    <w:p>
      <w:pPr>
        <w:pStyle w:val="Heading2"/>
      </w:pPr>
      <w:r>
        <w:t xml:space="preserve">Future AI deployment</w:t>
      </w:r>
    </w:p>
    <w:p>
      <w:pPr>
        <w:pStyle w:val="ListParagraph"/>
        <w:numPr>
          <w:ilvl w:val="0"/>
          <w:numId w:val="2"/>
        </w:numPr>
        <w:spacing w:after="80"/>
      </w:pPr>
      <w:r>
        <w:t xml:space="preserve">On-device model deployment (evaluated at Stage 3) should be in active rollout for at least the highest-frequency, lowest-ambiguity query types, meaningfully reducing both cost and offline dependency simultaneously.</w:t>
      </w:r>
    </w:p>
    <w:p>
      <w:pPr>
        <w:pStyle w:val="Heading2"/>
      </w:pPr>
      <w:r>
        <w:t xml:space="preserve">Offline capabilities</w:t>
      </w:r>
    </w:p>
    <w:p>
      <w:pPr>
        <w:pStyle w:val="ListParagraph"/>
        <w:numPr>
          <w:ilvl w:val="0"/>
          <w:numId w:val="2"/>
        </w:numPr>
        <w:spacing w:after="80"/>
      </w:pPr>
      <w:r>
        <w:t xml:space="preserve">This is the realistic point for broader offline capability beyond cached locations — a genuinely offline-capable core feature set (not full parity with online capability, but a meaningfully useful offline mode) becomes a fair claim to make, backed by the on-device model work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24"/>
              <w:bottom w:val="single" w:color="8A4B08" w:sz="4"/>
              <w:right w:val="single" w:color="8A4B08" w:sz="4"/>
            </w:tcBorders>
            <w:shd w:fill="FBE9D7" w:val="clear"/>
            <w:tcMar>
              <w:top w:type="dxa" w:w="160"/>
              <w:left w:type="dxa" w:w="220"/>
              <w:bottom w:type="dxa" w:w="160"/>
              <w:right w:type="dxa" w:w="220"/>
            </w:tcMar>
          </w:tcPr>
          <w:p>
            <w:pPr>
              <w:spacing w:after="80"/>
            </w:pPr>
            <w:r>
              <w:rPr>
                <w:b/>
                <w:bCs/>
                <w:color w:val="8A4B08"/>
                <w:sz w:val="21"/>
                <w:szCs w:val="21"/>
              </w:rPr>
              <w:t xml:space="preserve">A note on this roadmap's own limits</w:t>
            </w:r>
          </w:p>
          <w:p>
            <w:pPr>
              <w:spacing w:after="0"/>
            </w:pPr>
            <w:r>
              <w:rPr>
                <w:b w:val="false"/>
                <w:bCs w:val="false"/>
                <w:color w:val="8A4B08"/>
                <w:sz w:val="21"/>
                <w:szCs w:val="21"/>
              </w:rPr>
              <w:t xml:space="preserve">We're presenting this as a logical, scale-triggered sequence, but we want to be direct about its biggest risk: institutional sales cycles (Document 1, Section 3) do not move on the same timeline as consumer user growth. It's entirely plausible to hit 10,000 consumer users before closing a single government contract, or to close an institutional deal that brings 500 users in one step long before reaching 1,000 organically. This roadmap should be read as 'what technical and operational maturity looks like at each scale,' not as a prediction of when each stage will actually be reached.</w:t>
            </w:r>
          </w:p>
        </w:tc>
      </w:tr>
    </w:tbl>
    <w:p>
      <w:pPr>
        <w:spacing w:after="200"/>
      </w:pPr>
    </w:p>
    <w:p>
      <w:pPr>
        <w:pStyle w:val="Heading1"/>
      </w:pPr>
      <w:r>
        <w:t xml:space="preserve">4. Long-Term Vision</w:t>
      </w:r>
    </w:p>
    <w:p>
      <w:pPr>
        <w:spacing w:after="160"/>
      </w:pPr>
      <w:r>
        <w:t xml:space="preserve">These are deliberately framed as directions, not committed features with timelines — each depends on validating the stages above first, and several depend on partnerships or hardware that don't yet exist.</w:t>
      </w:r>
    </w:p>
    <w:p>
      <w:pPr>
        <w:pStyle w:val="Heading2"/>
      </w:pPr>
      <w:r>
        <w:t xml:space="preserve">Public Transport Assistant</w:t>
      </w:r>
    </w:p>
    <w:p>
      <w:pPr>
        <w:spacing w:after="160"/>
      </w:pPr>
      <w:r>
        <w:t xml:space="preserve">Real-time guidance for navigating buses, trains, and platforms — likely requires partnership with transit authorities for schedule/route data feeds rather than purely vision-based inference, since reading a bus number from a camera in motion is a much harder vision problem than static scene description.</w:t>
      </w:r>
    </w:p>
    <w:p>
      <w:pPr>
        <w:pStyle w:val="Heading2"/>
      </w:pPr>
      <w:r>
        <w:t xml:space="preserve">Indoor Navigation</w:t>
      </w:r>
    </w:p>
    <w:p>
      <w:pPr>
        <w:spacing w:after="160"/>
      </w:pPr>
      <w:r>
        <w:t xml:space="preserve">GPS doesn't work indoors, so this requires either Bluetooth beacon infrastructure (requiring building-level partnership and installation) or purely vision-based wayfinding using the existing camera pipeline — the latter is more realistic to build without requiring physical infrastructure partners, but is a harder and less mature problem.</w:t>
      </w:r>
    </w:p>
    <w:p>
      <w:pPr>
        <w:pStyle w:val="Heading2"/>
      </w:pPr>
      <w:r>
        <w:t xml:space="preserve">Object Memory</w:t>
      </w:r>
    </w:p>
    <w:p>
      <w:pPr>
        <w:spacing w:after="160"/>
      </w:pPr>
      <w:r>
        <w:t xml:space="preserve">Letting a user ask 'where did I last see my keys' — requires the opt-in image retention explicitly avoided by default in Document 2's privacy-by-design approach, so this feature needs very deliberate, explicit, narrow consent design rather than being a natural extension of the existing pipeline.</w:t>
      </w:r>
    </w:p>
    <w:p>
      <w:pPr>
        <w:pStyle w:val="Heading2"/>
      </w:pPr>
      <w:r>
        <w:t xml:space="preserve">Multi-language Voice Guidance</w:t>
      </w:r>
    </w:p>
    <w:p>
      <w:pPr>
        <w:spacing w:after="160"/>
      </w:pPr>
      <w:r>
        <w:t xml:space="preserve">India alone has many widely-spoken languages beyond Hindi and English — this is less an AI research problem (TTS and language support for major Indian languages already exists in mature form) and more a localization and accessibility-engine-rewrite effort across each supported language.</w:t>
      </w:r>
    </w:p>
    <w:p>
      <w:pPr>
        <w:pStyle w:val="Heading2"/>
      </w:pPr>
      <w:r>
        <w:t xml:space="preserve">Offline AI</w:t>
      </w:r>
    </w:p>
    <w:p>
      <w:pPr>
        <w:spacing w:after="160"/>
      </w:pPr>
      <w:r>
        <w:t xml:space="preserve">The natural conclusion of the on-device model work begun at Stage 3 and expanded at Stage 4 — full offline capability for the most common query types, with the cascade (Groq → Featherless → Gemini) reserved for cases genuinely requiring more capability than an on-device model can offer.</w:t>
      </w:r>
    </w:p>
    <w:p>
      <w:pPr>
        <w:pStyle w:val="Heading2"/>
      </w:pPr>
      <w:r>
        <w:t xml:space="preserve">Smart Glasses Integration</w:t>
      </w:r>
    </w:p>
    <w:p>
      <w:pPr>
        <w:spacing w:after="160"/>
      </w:pPr>
      <w:r>
        <w:t xml:space="preserve">The most hardware-dependent item on this list — requires either partnering with an existing smart glasses manufacturer or, much further out, dedicated hardware, and should not be modeled as a near-term initiative. Worth tracking as the wearables category matures, not worth resourcing today.</w:t>
      </w:r>
    </w:p>
    <w:p>
      <w:pPr>
        <w:pStyle w:val="Heading2"/>
      </w:pPr>
      <w:r>
        <w:t xml:space="preserve">Personalized Accessibility Companion</w:t>
      </w:r>
    </w:p>
    <w:p>
      <w:pPr>
        <w:spacing w:after="160"/>
      </w:pPr>
      <w:r>
        <w:t xml:space="preserve">Adapting to an individual's specific vision condition (some users have residual vision and need different guidance than someone with no light perception at all), pace of movement, and even regional accent/vocabulary preferences — this depends on the usage data accumulated through Stages 3-4 above and is a genuine, hard-to-copy compounding advantage once enough real usage history exists.</w:t>
      </w:r>
    </w:p>
    <w:p>
      <w:pPr>
        <w:pStyle w:val="Heading2"/>
      </w:pPr>
      <w:r>
        <w:t xml:space="preserve">Eldercare &amp; Insurance Partnerships</w:t>
      </w:r>
    </w:p>
    <w:p>
      <w:pPr>
        <w:spacing w:after="160"/>
      </w:pPr>
      <w:r>
        <w:t xml:space="preserve">Vision loss disproportionately affects an aging population, which connects naturally to eldercare providers, and insurers have a direct financial interest in fall prevention and independent-living support for policyholders — this is a genuinely plausible adjacent institutional channel alongside the ones in Document 1, but one that requires its own dedicated relationship-building and is not a natural extension of the disability-sector relationships described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6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2026-06-28T05:52:35.104Z</dcterms:created>
  <dcterms:modified xsi:type="dcterms:W3CDTF">2026-06-28T05:52:35.104Z</dcterms:modified>
</cp:coreProperties>
</file>

<file path=docProps/custom.xml><?xml version="1.0" encoding="utf-8"?>
<Properties xmlns="http://schemas.openxmlformats.org/officeDocument/2006/custom-properties" xmlns:vt="http://schemas.openxmlformats.org/officeDocument/2006/docPropsVTypes"/>
</file>