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STATEMENT OF WORK #SOW-2026-014</w:t>
      </w:r>
    </w:p>
    <w:p>
      <w:r>
        <w:t xml:space="preserve"/>
      </w:r>
    </w:p>
    <w:p>
      <w:r>
        <w:t xml:space="preserve">Between: Acme Corp ("Client") and Northwind Analytics LLC ("Vendor").</w:t>
      </w:r>
    </w:p>
    <w:p>
      <w:r>
        <w:t xml:space="preserve">Effective Date: April 1, 2026.</w:t>
      </w:r>
    </w:p>
    <w:p>
      <w:r>
        <w:t xml:space="preserve">Term: Six (6) months from Effective Date, renewable upon mutual written consent.</w:t>
      </w:r>
    </w:p>
    <w:p>
      <w:r>
        <w:t xml:space="preserve"/>
      </w:r>
    </w:p>
    <w:p>
      <w:r>
        <w:t xml:space="preserve">1. Scope of Services</w:t>
      </w:r>
    </w:p>
    <w:p>
      <w:r>
        <w:t xml:space="preserve">Vendor shall design and deliver a Snowflake-based data warehouse modernization for Client's Customer Success organization. Work includes schema migration from Redshift, ELT pipeline rewrite using dbt + Airflow, performance benchmarking, and a 30-day production hyper-care window.</w:t>
      </w:r>
    </w:p>
    <w:p>
      <w:r>
        <w:t xml:space="preserve"/>
      </w:r>
    </w:p>
    <w:p>
      <w:r>
        <w:t xml:space="preserve">2. Deliverables</w:t>
      </w:r>
    </w:p>
    <w:p>
      <w:r>
        <w:t xml:space="preserve">D1. Migration Plan and Source-to-Target Mapping (Week 2).</w:t>
      </w:r>
    </w:p>
    <w:p>
      <w:r>
        <w:t xml:space="preserve">D2. dbt project covering 42 mart models with 95%+ test coverage (Week 8).</w:t>
      </w:r>
    </w:p>
    <w:p>
      <w:r>
        <w:t xml:space="preserve">D3. Airflow DAGs for nightly + hourly refresh, deployed to Client's staging environment (Week 12).</w:t>
      </w:r>
    </w:p>
    <w:p>
      <w:r>
        <w:t xml:space="preserve">D4. Production cutover, 30-day hyper-care report, and runbook handover (Week 24).</w:t>
      </w:r>
    </w:p>
    <w:p>
      <w:r>
        <w:t xml:space="preserve"/>
      </w:r>
    </w:p>
    <w:p>
      <w:r>
        <w:t xml:space="preserve">3. Payment Milestones</w:t>
      </w:r>
    </w:p>
    <w:p>
      <w:r>
        <w:t xml:space="preserve">M1. $40,000 due on signature.</w:t>
      </w:r>
    </w:p>
    <w:p>
      <w:r>
        <w:t xml:space="preserve">M2. $60,000 due on acceptance of D2.</w:t>
      </w:r>
    </w:p>
    <w:p>
      <w:r>
        <w:t xml:space="preserve">M3. $60,000 due on acceptance of D3.</w:t>
      </w:r>
    </w:p>
    <w:p>
      <w:r>
        <w:t xml:space="preserve">M4. $40,000 due on acceptance of D4. Total: $200,000.</w:t>
      </w:r>
    </w:p>
    <w:p>
      <w:r>
        <w:t xml:space="preserve">Invoices net-30. Late payments accrue interest at 1.5% per month, compounded monthly.</w:t>
      </w:r>
    </w:p>
    <w:p>
      <w:r>
        <w:t xml:space="preserve"/>
      </w:r>
    </w:p>
    <w:p>
      <w:r>
        <w:t xml:space="preserve">4. Acceptance Criteria</w:t>
      </w:r>
    </w:p>
    <w:p>
      <w:r>
        <w:t xml:space="preserve">Each deliverable is accepted upon Client's written confirmation that it satisfies the acceptance tests jointly defined in the Migration Plan (D1). Deemed acceptance occurs ten (10) business days after Vendor's written notice of completion if Client has not raised written objections.</w:t>
      </w:r>
    </w:p>
    <w:p>
      <w:r>
        <w:t xml:space="preserve"/>
      </w:r>
    </w:p>
    <w:p>
      <w:r>
        <w:t xml:space="preserve">5. Key Assumptions</w:t>
      </w:r>
    </w:p>
    <w:p>
      <w:r>
        <w:t xml:space="preserve">A1. Client provides timely access to Redshift, AWS IAM roles, and Snowflake account by Week 1.</w:t>
      </w:r>
    </w:p>
    <w:p>
      <w:r>
        <w:t xml:space="preserve">A2. Source schemas remain frozen for the duration of D2; any changes trigger a Change Order.</w:t>
      </w:r>
    </w:p>
    <w:p>
      <w:r>
        <w:t xml:space="preserve">A3. Hyper-care covers up to 40 engineering hours; additional hours are billed at $200/hour.</w:t>
      </w:r>
    </w:p>
    <w:p>
      <w:r>
        <w:t xml:space="preserve"/>
      </w:r>
    </w:p>
    <w:p>
      <w:r>
        <w:t xml:space="preserve">6. Termination</w:t>
      </w:r>
    </w:p>
    <w:p>
      <w:r>
        <w:t xml:space="preserve">Either party may terminate this SOW for material breach upon thirty (30) days' written notice if the breach is not cured within the notice period. On termination, Client shall pay Vendor for all work performed through the termination date plus reasonable wind-down costs not exceeding $15,000.</w:t>
      </w:r>
    </w:p>
    <w:p>
      <w:r>
        <w:t xml:space="preserve"/>
      </w:r>
    </w:p>
    <w:p>
      <w:r>
        <w:t xml:space="preserve">7. Confidentiality and IP</w:t>
      </w:r>
    </w:p>
    <w:p>
      <w:r>
        <w:t xml:space="preserve">All work product is assigned to Client on payment. Vendor's pre-existing tooling remains Vendor IP, licensed to Client perpetually for internal use. The mutual NDA dated January 12, 2026 governs confidential information exchanged hereunder.</w:t>
      </w:r>
    </w:p>
    <w:p>
      <w:r>
        <w:t xml:space="preserve"/>
      </w:r>
    </w:p>
    <w:p>
      <w:r>
        <w:t xml:space="preserve">8. Signatures</w:t>
      </w:r>
    </w:p>
    <w:p>
      <w:r>
        <w:t xml:space="preserve">For Acme Corp: ____________________  For Northwind Analytics LLC: ____________________</w:t>
      </w:r>
    </w:p>
    <w:p>
      <w:r>
        <w:t xml:space="preserve">Date: ____________________            Date: ____________________</w:t>
      </w:r>
    </w:p>
  </w:body>
</w:document>
</file>