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716E4" w14:textId="77777777" w:rsidR="00A502B0" w:rsidRDefault="00A502B0" w:rsidP="00A502B0">
      <w:pPr>
        <w:numPr>
          <w:ilvl w:val="0"/>
          <w:numId w:val="1"/>
        </w:numPr>
        <w:jc w:val="both"/>
      </w:pPr>
      <w:r w:rsidRPr="00A502B0">
        <w:t>Figure 1 is generally informative because it combines the overall workflow and the CNN-SE architecture. However, the figure states “13-layer CNN,” while the architecture table inside the figure enumerates 19 processing rows/layers. The authors should clearly define how the 13 layers are counted and distinguish convolutional/trainable layers from pooling, SE, dropout, and output operations.</w:t>
      </w:r>
    </w:p>
    <w:p w14:paraId="72A64290" w14:textId="7AE377F3" w:rsidR="009606D3" w:rsidRPr="00A502B0" w:rsidRDefault="009606D3" w:rsidP="009606D3">
      <w:pPr>
        <w:ind w:left="720"/>
        <w:jc w:val="both"/>
      </w:pPr>
      <w:r w:rsidRPr="009606D3">
        <w:t>Thank you for the valuable comment. The layer-counting scheme and the distinction among the different architectural operations have been clarified in the revised figure.</w:t>
      </w:r>
    </w:p>
    <w:p w14:paraId="2B56237D" w14:textId="77777777" w:rsidR="00A502B0" w:rsidRDefault="00A502B0" w:rsidP="00A502B0">
      <w:pPr>
        <w:numPr>
          <w:ilvl w:val="0"/>
          <w:numId w:val="1"/>
        </w:numPr>
        <w:jc w:val="both"/>
      </w:pPr>
      <w:r w:rsidRPr="00A502B0">
        <w:t>Figure 1 contains very dense text and a large embedded architecture table, making some labels difficult to read at normal journal-column width. The workflow and architecture table should preferably be separated into two figures or the architecture details moved to a standalone table.</w:t>
      </w:r>
    </w:p>
    <w:p w14:paraId="04FCD3FC" w14:textId="03562EF3" w:rsidR="009606D3" w:rsidRPr="00A502B0" w:rsidRDefault="009606D3" w:rsidP="009606D3">
      <w:pPr>
        <w:ind w:left="720"/>
        <w:jc w:val="both"/>
      </w:pPr>
      <w:r w:rsidRPr="009606D3">
        <w:t>Thank you for the valuable comment. The detailed information in Figure 1 is intentionally retained to provide a comprehensive visual representation of the proposed architecture and facilitate reproducibility. The figure is designed to present the workflow and architectural configuration together, allowing readers to understand the complete model structure without referring to multiple locations.</w:t>
      </w:r>
    </w:p>
    <w:p w14:paraId="229C3326" w14:textId="77777777" w:rsidR="00A502B0" w:rsidRDefault="00A502B0" w:rsidP="00A502B0">
      <w:pPr>
        <w:numPr>
          <w:ilvl w:val="0"/>
          <w:numId w:val="1"/>
        </w:numPr>
        <w:jc w:val="both"/>
      </w:pPr>
      <w:r w:rsidRPr="00A502B0">
        <w:t>Figure 1 states the OCT-C8 output as eight classes, but the same architecture is also applied to OCT2017 with four classes. The output-layer configuration should explicitly indicate “8 neurons for OCT-C8 / 4 neurons for OCT2017” rather than visually emphasizing only the eight-class output.</w:t>
      </w:r>
    </w:p>
    <w:p w14:paraId="6BC2AC66" w14:textId="1C3F9E98" w:rsidR="00FE7270" w:rsidRPr="00A502B0" w:rsidRDefault="00FE7270" w:rsidP="00FE7270">
      <w:pPr>
        <w:ind w:left="720"/>
        <w:jc w:val="both"/>
      </w:pPr>
      <w:r w:rsidRPr="00FE7270">
        <w:t>Thank you for the valuable comment. The dataset-specific output-layer configuration has been clarified to explicitly distinguish 8 neurons for OCT-C8 and 4 neurons for OCT2017.</w:t>
      </w:r>
    </w:p>
    <w:p w14:paraId="5D63103F" w14:textId="77777777" w:rsidR="00A502B0" w:rsidRDefault="00A502B0" w:rsidP="00A502B0">
      <w:pPr>
        <w:numPr>
          <w:ilvl w:val="0"/>
          <w:numId w:val="1"/>
        </w:numPr>
        <w:jc w:val="both"/>
      </w:pPr>
      <w:r w:rsidRPr="00A502B0">
        <w:t>Figure 1 should use consistent terminology with the Methods section. For example, “Adam Optimiser” and “Classification Output” should match the manuscript's preferred spelling and terminology throughout.</w:t>
      </w:r>
    </w:p>
    <w:p w14:paraId="551C057A" w14:textId="495985CD" w:rsidR="00FE7270" w:rsidRPr="00A502B0" w:rsidRDefault="00FE7270" w:rsidP="00FE7270">
      <w:pPr>
        <w:ind w:left="720"/>
        <w:jc w:val="both"/>
      </w:pPr>
      <w:r w:rsidRPr="00FE7270">
        <w:t>Thank you for the valuable comment. The terminology used in Figure 1 has been reviewed and aligned with the preferred terminology and spelling adopted in the Methods section.</w:t>
      </w:r>
    </w:p>
    <w:p w14:paraId="3C7319C1" w14:textId="77777777" w:rsidR="00A502B0" w:rsidRDefault="00A502B0" w:rsidP="00A502B0">
      <w:pPr>
        <w:numPr>
          <w:ilvl w:val="0"/>
          <w:numId w:val="1"/>
        </w:numPr>
        <w:jc w:val="both"/>
      </w:pPr>
      <w:r w:rsidRPr="00A502B0">
        <w:t xml:space="preserve">Figure 2 illustrates the SE-block architecture and is relevant, but its resolution is relatively low and labels are difficult to read. A higher-resolution/vector version should be supplied. All symbols used in the figure should also correspond directly to those defined in </w:t>
      </w:r>
      <w:proofErr w:type="spellStart"/>
      <w:r w:rsidRPr="00A502B0">
        <w:t>Eqs</w:t>
      </w:r>
      <w:proofErr w:type="spellEnd"/>
      <w:r w:rsidRPr="00A502B0">
        <w:t>. (1)</w:t>
      </w:r>
      <w:proofErr w:type="gramStart"/>
      <w:r w:rsidRPr="00A502B0">
        <w:t>–(</w:t>
      </w:r>
      <w:proofErr w:type="gramEnd"/>
      <w:r w:rsidRPr="00A502B0">
        <w:t>4).</w:t>
      </w:r>
    </w:p>
    <w:p w14:paraId="5B1C6A62" w14:textId="425EFBC8" w:rsidR="00FE7270" w:rsidRPr="00A502B0" w:rsidRDefault="00FE7270" w:rsidP="00FE7270">
      <w:pPr>
        <w:ind w:left="720"/>
        <w:jc w:val="both"/>
      </w:pPr>
      <w:r w:rsidRPr="00FE7270">
        <w:t>Thank you for the valuable comment. The resolution and readability of Figure 2 have been improved to ensure that all architectural labels and details remain clear and legible in the final manuscript format.</w:t>
      </w:r>
    </w:p>
    <w:p w14:paraId="26AFC4ED" w14:textId="77777777" w:rsidR="00A502B0" w:rsidRDefault="00A502B0" w:rsidP="00A502B0">
      <w:pPr>
        <w:numPr>
          <w:ilvl w:val="0"/>
          <w:numId w:val="1"/>
        </w:numPr>
        <w:jc w:val="both"/>
      </w:pPr>
      <w:r w:rsidRPr="00A502B0">
        <w:t>Figure 2 appears to reproduce a standard SE-block concept. If it is adapted or reproduced from Reference [35], the caption should explicitly state “Adapted from [35]” or “Reproduced from [35]” as appropriate and comply with copyright requirements.</w:t>
      </w:r>
    </w:p>
    <w:p w14:paraId="2B27FC6E" w14:textId="346B31C0" w:rsidR="00FE7270" w:rsidRPr="00A502B0" w:rsidRDefault="00FE7270" w:rsidP="00FE7270">
      <w:pPr>
        <w:ind w:left="720"/>
        <w:jc w:val="both"/>
      </w:pPr>
      <w:r w:rsidRPr="00FE7270">
        <w:t>Thank you for the valuable comment. The figure and its source attribution have been carefully reviewed, and the caption has been appropriately clarified to acknowledge the relevant reference and ensure compliance with applicable copyright requirements.</w:t>
      </w:r>
    </w:p>
    <w:p w14:paraId="40227A56" w14:textId="77777777" w:rsidR="00A502B0" w:rsidRDefault="00A502B0" w:rsidP="00A502B0">
      <w:pPr>
        <w:numPr>
          <w:ilvl w:val="0"/>
          <w:numId w:val="1"/>
        </w:numPr>
        <w:jc w:val="both"/>
      </w:pPr>
      <w:r w:rsidRPr="00A502B0">
        <w:lastRenderedPageBreak/>
        <w:t>Figure 3 is a generic max-pooling illustration rather than a result generated by the study. Its scientific necessity should be reconsidered. Because max pooling is standard, this figure could be removed and the explanation retained in the text, reducing unnecessary figure count.</w:t>
      </w:r>
    </w:p>
    <w:p w14:paraId="011D0549" w14:textId="27C6374D" w:rsidR="002D58A4" w:rsidRPr="00A502B0" w:rsidRDefault="002D58A4" w:rsidP="002D58A4">
      <w:pPr>
        <w:ind w:left="720"/>
        <w:jc w:val="both"/>
      </w:pPr>
      <w:r w:rsidRPr="002D58A4">
        <w:t xml:space="preserve">Thank you for the valuable comment. Figure 3 has been retained because it provides a concise visual representation of the max-pooling operation used for spatial </w:t>
      </w:r>
      <w:proofErr w:type="spellStart"/>
      <w:r w:rsidRPr="002D58A4">
        <w:t>downsampling</w:t>
      </w:r>
      <w:proofErr w:type="spellEnd"/>
      <w:r w:rsidRPr="002D58A4">
        <w:t xml:space="preserve"> in the proposed CNN-SE architecture. It complements the architectural description by illustrating how the spatial dimensions are reduced while preserving the most prominent activation within each pooling window.</w:t>
      </w:r>
    </w:p>
    <w:p w14:paraId="05BBFE9A" w14:textId="77777777" w:rsidR="00A502B0" w:rsidRDefault="00A502B0" w:rsidP="00A502B0">
      <w:pPr>
        <w:numPr>
          <w:ilvl w:val="0"/>
          <w:numId w:val="1"/>
        </w:numPr>
        <w:jc w:val="both"/>
      </w:pPr>
      <w:r w:rsidRPr="00A502B0">
        <w:t>Figure 3 should also include a source or adaptation citation if the illustration was not created independently by the authors. The current caption does not make its origin clear.</w:t>
      </w:r>
    </w:p>
    <w:p w14:paraId="61E1F3CF" w14:textId="5834840A" w:rsidR="002D58A4" w:rsidRPr="00A502B0" w:rsidRDefault="002D58A4" w:rsidP="002D58A4">
      <w:pPr>
        <w:ind w:left="720"/>
        <w:jc w:val="both"/>
      </w:pPr>
      <w:r w:rsidRPr="002D58A4">
        <w:t>Thank you for the valuable comment. Figure 3 was independently created and implemented by the authors to illustrate the max-pooling operation used in the proposed architecture. Therefore, no external source or adaptation citation is required for this figure.</w:t>
      </w:r>
    </w:p>
    <w:p w14:paraId="182306C1" w14:textId="77777777" w:rsidR="00A502B0" w:rsidRDefault="00A502B0" w:rsidP="00A502B0">
      <w:pPr>
        <w:numPr>
          <w:ilvl w:val="0"/>
          <w:numId w:val="1"/>
        </w:numPr>
        <w:jc w:val="both"/>
      </w:pPr>
      <w:r w:rsidRPr="00A502B0">
        <w:t>Figure 4 presents two confusion matrices, but the caption should clearly identify the panels as “(a) OCT2017” and “(b) OCT-C8.” The current wording “OCT2017(left) and OCT-C8(right)” should be standardized.</w:t>
      </w:r>
    </w:p>
    <w:p w14:paraId="10027081" w14:textId="78AA1F87" w:rsidR="002D58A4" w:rsidRPr="00A502B0" w:rsidRDefault="002D58A4" w:rsidP="002D58A4">
      <w:pPr>
        <w:ind w:left="720"/>
        <w:jc w:val="both"/>
      </w:pPr>
      <w:r w:rsidRPr="002D58A4">
        <w:t>Thank you for the valuable comment. The caption of Figure 4 has been standardized to clearly identify the two panels as “(a) OCT2017” and “(b) OCT-C8,” ensuring consistent and unambiguous presentation.</w:t>
      </w:r>
    </w:p>
    <w:p w14:paraId="12C6E56B" w14:textId="77777777" w:rsidR="00A502B0" w:rsidRDefault="00A502B0" w:rsidP="00A502B0">
      <w:pPr>
        <w:numPr>
          <w:ilvl w:val="0"/>
          <w:numId w:val="1"/>
        </w:numPr>
        <w:jc w:val="both"/>
      </w:pPr>
      <w:r w:rsidRPr="00A502B0">
        <w:t>Figure 4 should provide sufficiently large class labels, axis labels, and numerical annotations. At journal-size reproduction, the numbers and class names appear relatively small. Increasing font size and resolution would improve readability.</w:t>
      </w:r>
    </w:p>
    <w:p w14:paraId="6DAC1940" w14:textId="45D0EAD8" w:rsidR="00032E4C" w:rsidRPr="00A502B0" w:rsidRDefault="00032E4C" w:rsidP="00032E4C">
      <w:pPr>
        <w:ind w:left="720"/>
        <w:jc w:val="both"/>
      </w:pPr>
      <w:r>
        <w:t>T</w:t>
      </w:r>
      <w:r w:rsidRPr="00032E4C">
        <w:t>hank you for the valuable comment. The class labels, axis labels, and numerical annotations in Figure 4 have been reviewed and enlarged to improve their clarity and readability at the final journal reproduction size.</w:t>
      </w:r>
    </w:p>
    <w:p w14:paraId="735C0266" w14:textId="77777777" w:rsidR="00A502B0" w:rsidRDefault="00A502B0" w:rsidP="00A502B0">
      <w:pPr>
        <w:numPr>
          <w:ilvl w:val="0"/>
          <w:numId w:val="1"/>
        </w:numPr>
        <w:jc w:val="both"/>
      </w:pPr>
      <w:r w:rsidRPr="00A502B0">
        <w:t>Figure 4 should report whether the confusion matrices show raw counts or normalized values. They currently appear to present counts. The caption should explicitly state this.</w:t>
      </w:r>
    </w:p>
    <w:p w14:paraId="16D5CC9D" w14:textId="71CACD82" w:rsidR="00032E4C" w:rsidRPr="00A502B0" w:rsidRDefault="00032E4C" w:rsidP="00032E4C">
      <w:pPr>
        <w:ind w:left="720"/>
        <w:jc w:val="both"/>
      </w:pPr>
      <w:r w:rsidRPr="00032E4C">
        <w:t>Thank you for the valuable comment. The confusion matrices in Figure 4 present raw class-wise prediction counts, rather than normalized values. This has been explicitly clarified in the figure caption to avoid any ambiguity.</w:t>
      </w:r>
    </w:p>
    <w:p w14:paraId="2BD4FCAA" w14:textId="77777777" w:rsidR="00A502B0" w:rsidRDefault="00A502B0" w:rsidP="00A502B0">
      <w:pPr>
        <w:numPr>
          <w:ilvl w:val="0"/>
          <w:numId w:val="1"/>
        </w:numPr>
        <w:jc w:val="both"/>
      </w:pPr>
      <w:r w:rsidRPr="00A502B0">
        <w:t>The OCT-C8 confusion matrix in Figure 4 should be carefully cross-checked against Table 3. For example, class-wise recall values should be reproducible from the matrix. The authors should verify every precision, recall, and F1 value against the underlying confusion-matrix counts.</w:t>
      </w:r>
    </w:p>
    <w:p w14:paraId="40B64FB7" w14:textId="23CD3960" w:rsidR="00032E4C" w:rsidRPr="00A502B0" w:rsidRDefault="00032E4C" w:rsidP="00032E4C">
      <w:pPr>
        <w:ind w:left="720"/>
        <w:jc w:val="both"/>
      </w:pPr>
      <w:r w:rsidRPr="00032E4C">
        <w:t>Thank you for the valuable comment. The OCT-C8 confusion matrix and Table 3 have been carefully cross-checked, and the class-wise precision, recall, and F1-score values have been verified and corrected based on the underlying confusion-matrix counts.</w:t>
      </w:r>
    </w:p>
    <w:p w14:paraId="24EDD81B" w14:textId="77777777" w:rsidR="00A502B0" w:rsidRDefault="00A502B0" w:rsidP="00A502B0">
      <w:pPr>
        <w:numPr>
          <w:ilvl w:val="0"/>
          <w:numId w:val="1"/>
        </w:numPr>
        <w:jc w:val="both"/>
      </w:pPr>
      <w:r w:rsidRPr="00A502B0">
        <w:t>Figures 5 and 6 appropriately show training/validation loss and accuracy, respectively. However, the manuscript text states convergence occurred at epoch 31 for OCT2017 and epoch 63 for OCT-C8, whereas the plotted epoch ranges appear to extend beyond these values. The authors should clarify whether the plots show all epochs before early stopping or another training run.</w:t>
      </w:r>
    </w:p>
    <w:p w14:paraId="34BEFD6E" w14:textId="6012BE9C" w:rsidR="007A1F46" w:rsidRPr="00A502B0" w:rsidRDefault="007A1F46" w:rsidP="007A1F46">
      <w:pPr>
        <w:ind w:left="720"/>
        <w:jc w:val="both"/>
      </w:pPr>
      <w:r w:rsidRPr="007A1F46">
        <w:lastRenderedPageBreak/>
        <w:t>Thank you for the valuable comment. We have carefully cross-checked the training curves with the early-stopping criterion (</w:t>
      </w:r>
      <w:r w:rsidRPr="007A1F46">
        <w:rPr>
          <w:b/>
          <w:bCs/>
        </w:rPr>
        <w:t>patience = 20</w:t>
      </w:r>
      <w:r w:rsidRPr="007A1F46">
        <w:t>), confirming that the plots represent the training history up to the point at which training was terminated based on validation performance. The reported convergence epochs (31 for OCT2017 and 63 for OCT-C8) correspond to the respective training runs.</w:t>
      </w:r>
    </w:p>
    <w:p w14:paraId="53884F30" w14:textId="77777777" w:rsidR="00A502B0" w:rsidRDefault="00A502B0" w:rsidP="00A502B0">
      <w:pPr>
        <w:numPr>
          <w:ilvl w:val="0"/>
          <w:numId w:val="1"/>
        </w:numPr>
        <w:jc w:val="both"/>
      </w:pPr>
      <w:r w:rsidRPr="00A502B0">
        <w:t>Figures 5 and 6 should clearly indicate which panel corresponds to each dataset directly within the figures, not only in the captions. Panel labels “(a)” and “(b)” should be positioned consistently and enlarged.</w:t>
      </w:r>
    </w:p>
    <w:p w14:paraId="03E0FB6D" w14:textId="4D0331F4" w:rsidR="000D3F63" w:rsidRPr="00A502B0" w:rsidRDefault="000D3F63" w:rsidP="000D3F63">
      <w:pPr>
        <w:ind w:left="720"/>
        <w:jc w:val="both"/>
      </w:pPr>
      <w:r w:rsidRPr="000D3F63">
        <w:t>Thank you for the valuable comment. Figures 5 and 6 have been revised to include clear and consistently positioned (a) and (b) panel labels, together with direct identification of the corresponding OCT2017 and OCT-C8 datasets within the figures.</w:t>
      </w:r>
    </w:p>
    <w:p w14:paraId="2F52B3F0" w14:textId="77777777" w:rsidR="00A502B0" w:rsidRDefault="00A502B0" w:rsidP="00A502B0">
      <w:pPr>
        <w:numPr>
          <w:ilvl w:val="0"/>
          <w:numId w:val="1"/>
        </w:numPr>
        <w:jc w:val="both"/>
      </w:pPr>
      <w:r w:rsidRPr="00A502B0">
        <w:t>Figures 5 and 6 would be stronger if the best-validation epoch or early-stopping point were marked. This would support the claim regarding convergence at epochs 31 and 63.</w:t>
      </w:r>
    </w:p>
    <w:p w14:paraId="354646CB" w14:textId="74E2B3FA" w:rsidR="000D3F63" w:rsidRPr="00A502B0" w:rsidRDefault="000D3F63" w:rsidP="000D3F63">
      <w:pPr>
        <w:ind w:left="720"/>
        <w:jc w:val="both"/>
      </w:pPr>
      <w:r w:rsidRPr="000D3F63">
        <w:t>Thank you for the valuable comment. The best-validation epochs have been explicitly marked in Figures 5 and 6 to clearly indicate the corresponding convergence points at epoch 31 for OCT2017 and epoch 63 for OCT-C8.</w:t>
      </w:r>
    </w:p>
    <w:p w14:paraId="12CDCD51" w14:textId="77777777" w:rsidR="00A502B0" w:rsidRDefault="00A502B0" w:rsidP="00A502B0">
      <w:pPr>
        <w:numPr>
          <w:ilvl w:val="0"/>
          <w:numId w:val="1"/>
        </w:numPr>
        <w:jc w:val="both"/>
      </w:pPr>
      <w:r w:rsidRPr="00A502B0">
        <w:t>The manuscript states that performance was evaluated using ROC curves, yet no ROC figure is visible in the presented results. Either add ROC curves for OCT2017 and OCT-C8, preferably with class-wise and macro-AUC values, or remove the statement that ROC curves were presented.</w:t>
      </w:r>
    </w:p>
    <w:p w14:paraId="343099BA" w14:textId="4657C997" w:rsidR="000D3F63" w:rsidRPr="00A502B0" w:rsidRDefault="000D3F63" w:rsidP="000D3F63">
      <w:pPr>
        <w:ind w:left="720"/>
        <w:jc w:val="both"/>
      </w:pPr>
      <w:r>
        <w:t>We have removed the line.</w:t>
      </w:r>
    </w:p>
    <w:p w14:paraId="7C4A48B4" w14:textId="77777777" w:rsidR="00A502B0" w:rsidRDefault="00A502B0" w:rsidP="00A502B0">
      <w:pPr>
        <w:numPr>
          <w:ilvl w:val="0"/>
          <w:numId w:val="1"/>
        </w:numPr>
        <w:jc w:val="both"/>
      </w:pPr>
      <w:r w:rsidRPr="00A502B0">
        <w:t>Figure 7 provides Grad-CAM examples for eight OCT-C8 classes and is relevant to explainability. However, the figure should clearly distinguish the original OCT image, heatmap, and overlay for each class, ideally using consistent column headings.</w:t>
      </w:r>
    </w:p>
    <w:p w14:paraId="5C1E9D54" w14:textId="0A2DE260" w:rsidR="003F0BD4" w:rsidRPr="00A502B0" w:rsidRDefault="003F0BD4" w:rsidP="003F0BD4">
      <w:pPr>
        <w:ind w:left="720"/>
        <w:jc w:val="both"/>
      </w:pPr>
      <w:r w:rsidRPr="003F0BD4">
        <w:t>Thank you for the valuable comment. Figure 7 has been revised with consistent column headings to clearly distinguish the original OCT image, Grad-CAM heatmap, and Grad-CAM overlay for each of the eight OCT-C8 classes.</w:t>
      </w:r>
    </w:p>
    <w:p w14:paraId="48D42F01" w14:textId="77777777" w:rsidR="00A502B0" w:rsidRDefault="00A502B0" w:rsidP="00A502B0">
      <w:pPr>
        <w:numPr>
          <w:ilvl w:val="0"/>
          <w:numId w:val="1"/>
        </w:numPr>
        <w:jc w:val="both"/>
      </w:pPr>
      <w:r w:rsidRPr="00A502B0">
        <w:t>Figure 7 requires stronger validity support. The manuscript provides qualitative Grad-CAM interpretation only. The authors should state how representative images were selected and whether both correctly classified and misclassified cases were included.</w:t>
      </w:r>
    </w:p>
    <w:p w14:paraId="3E8863DB" w14:textId="1368E940" w:rsidR="003F0BD4" w:rsidRPr="00A502B0" w:rsidRDefault="003F0BD4" w:rsidP="003F0BD4">
      <w:pPr>
        <w:ind w:left="720"/>
        <w:jc w:val="both"/>
      </w:pPr>
      <w:r w:rsidRPr="003F0BD4">
        <w:t>Thank you for the valuable comment. The selection and presentation of the representative Grad-CAM images have been clarified to provide a more meaningful qualitative assessment of the model’s decision-making and feature localization.</w:t>
      </w:r>
    </w:p>
    <w:p w14:paraId="0F1C1EE5" w14:textId="77777777" w:rsidR="00A502B0" w:rsidRDefault="00A502B0" w:rsidP="00A502B0">
      <w:pPr>
        <w:numPr>
          <w:ilvl w:val="0"/>
          <w:numId w:val="1"/>
        </w:numPr>
        <w:jc w:val="both"/>
      </w:pPr>
      <w:r w:rsidRPr="00A502B0">
        <w:t>Figure 7 should avoid implying clinical localization validity unless expert validation was performed. The manuscript appropriately states that Grad-CAM is explanatory rather than causal, but the figure caption should reinforce this limitation.</w:t>
      </w:r>
    </w:p>
    <w:p w14:paraId="2BF78CA6" w14:textId="69658673" w:rsidR="005B657E" w:rsidRPr="00A502B0" w:rsidRDefault="005B657E" w:rsidP="005B657E">
      <w:pPr>
        <w:ind w:left="720"/>
        <w:jc w:val="both"/>
      </w:pPr>
      <w:r w:rsidRPr="005B657E">
        <w:t>Thank you for the valuable comment. The manuscript already clarifies that Grad-CAM provides an explanatory interpretation of model predictions rather than causal or clinically validated localization. This limitation is also considered in the interpretation of the Grad-CAM results.</w:t>
      </w:r>
    </w:p>
    <w:p w14:paraId="44D9EF63" w14:textId="77777777" w:rsidR="00A502B0" w:rsidRPr="00A502B0" w:rsidRDefault="00A502B0" w:rsidP="00A502B0">
      <w:pPr>
        <w:numPr>
          <w:ilvl w:val="0"/>
          <w:numId w:val="1"/>
        </w:numPr>
        <w:jc w:val="both"/>
      </w:pPr>
      <w:r w:rsidRPr="00A502B0">
        <w:lastRenderedPageBreak/>
        <w:t>Table 1 is useful as a literature comparison, but several entries contain incomplete or potentially inconsistent information. For example, the dataset for Diao et al. [24] is listed as “Not specified.” The original source should be checked and the correct dataset added if available.</w:t>
      </w:r>
    </w:p>
    <w:p w14:paraId="77C18BA4" w14:textId="77777777" w:rsidR="00A502B0" w:rsidRPr="00A502B0" w:rsidRDefault="00A502B0" w:rsidP="00A502B0">
      <w:pPr>
        <w:numPr>
          <w:ilvl w:val="0"/>
          <w:numId w:val="1"/>
        </w:numPr>
        <w:jc w:val="both"/>
      </w:pPr>
      <w:r w:rsidRPr="00A502B0">
        <w:t>Table 1 should include quantitative performance, such as accuracy, AUC, or F1-score, where reported. At present it primarily compares methodology and limitations, making it difficult to judge performance objectively.</w:t>
      </w:r>
    </w:p>
    <w:p w14:paraId="57171B3F" w14:textId="77777777" w:rsidR="00A502B0" w:rsidRPr="00A502B0" w:rsidRDefault="00A502B0" w:rsidP="00A502B0">
      <w:pPr>
        <w:numPr>
          <w:ilvl w:val="0"/>
          <w:numId w:val="1"/>
        </w:numPr>
        <w:jc w:val="both"/>
      </w:pPr>
      <w:r w:rsidRPr="00A502B0">
        <w:t xml:space="preserve">Table 1 contains author-name formatting inconsistencies, such as “Y.-Y. Liu et al.,” “Yang J et al.,” “Hassan E et al.,” and “Dave and </w:t>
      </w:r>
      <w:proofErr w:type="spellStart"/>
      <w:r w:rsidRPr="00A502B0">
        <w:t>Domadiya</w:t>
      </w:r>
      <w:proofErr w:type="spellEnd"/>
      <w:r w:rsidRPr="00A502B0">
        <w:t xml:space="preserve"> et al.” The author format should be standardized.</w:t>
      </w:r>
    </w:p>
    <w:p w14:paraId="2C7D25B7" w14:textId="77777777" w:rsidR="00A502B0" w:rsidRPr="00A502B0" w:rsidRDefault="00A502B0" w:rsidP="00A502B0">
      <w:pPr>
        <w:numPr>
          <w:ilvl w:val="0"/>
          <w:numId w:val="1"/>
        </w:numPr>
        <w:jc w:val="both"/>
      </w:pPr>
      <w:r w:rsidRPr="00A502B0">
        <w:t>Table 2 is generally complete, but “Rotation angle = 20” should include the unit, preferably “20°.” Horizontal and height shifts should state whether values represent fractions of image dimensions or another unit.</w:t>
      </w:r>
    </w:p>
    <w:p w14:paraId="581CB18D" w14:textId="77777777" w:rsidR="00A502B0" w:rsidRPr="00A502B0" w:rsidRDefault="00A502B0" w:rsidP="00A502B0">
      <w:pPr>
        <w:numPr>
          <w:ilvl w:val="0"/>
          <w:numId w:val="1"/>
        </w:numPr>
        <w:jc w:val="both"/>
      </w:pPr>
      <w:r w:rsidRPr="00A502B0">
        <w:t>Table 2 should replace “Height shift” with “Vertical shift” or use the exact parameter name implemented in the software. “Fill mode Nearest” should preferably be written as “nearest.”</w:t>
      </w:r>
    </w:p>
    <w:p w14:paraId="5FD4406B" w14:textId="77777777" w:rsidR="00A502B0" w:rsidRPr="00A502B0" w:rsidRDefault="00A502B0" w:rsidP="00A502B0">
      <w:pPr>
        <w:numPr>
          <w:ilvl w:val="0"/>
          <w:numId w:val="1"/>
        </w:numPr>
        <w:jc w:val="both"/>
      </w:pPr>
      <w:r w:rsidRPr="00A502B0">
        <w:t xml:space="preserve">Table 3 has a formatting issue: “Recall” is split across lines and several entries use “Class Not Available.” This should instead use an </w:t>
      </w:r>
      <w:proofErr w:type="spellStart"/>
      <w:r w:rsidRPr="00A502B0">
        <w:t>em</w:t>
      </w:r>
      <w:proofErr w:type="spellEnd"/>
      <w:r w:rsidRPr="00A502B0">
        <w:t xml:space="preserve"> dash, “N/A,” or preferably restructure the table so only relevant classes are shown for each dataset.</w:t>
      </w:r>
    </w:p>
    <w:p w14:paraId="6CB82CAC" w14:textId="77777777" w:rsidR="00A502B0" w:rsidRPr="00A502B0" w:rsidRDefault="00A502B0" w:rsidP="00A502B0">
      <w:pPr>
        <w:numPr>
          <w:ilvl w:val="0"/>
          <w:numId w:val="1"/>
        </w:numPr>
        <w:jc w:val="both"/>
      </w:pPr>
      <w:r w:rsidRPr="00A502B0">
        <w:t>Table 3 presents accuracy as 0.99 and 0.97, whereas other tables and the manuscript frequently report 99% and 97%. Metric formats should be standardized either as proportions or percentages throughout.</w:t>
      </w:r>
    </w:p>
    <w:p w14:paraId="7096C096" w14:textId="77777777" w:rsidR="00A502B0" w:rsidRPr="00A502B0" w:rsidRDefault="00A502B0" w:rsidP="00A502B0">
      <w:pPr>
        <w:numPr>
          <w:ilvl w:val="0"/>
          <w:numId w:val="1"/>
        </w:numPr>
        <w:jc w:val="both"/>
      </w:pPr>
      <w:r w:rsidRPr="00A502B0">
        <w:t>Table 3 should be checked carefully against Figure 4. For OCT-C8, the manuscript reports 97% overall accuracy, while Section III.B also reports 96.71%. This discrepancy must be resolved. If 96.71% was rounded to 97.00%, the manuscript should state that consistently.</w:t>
      </w:r>
    </w:p>
    <w:p w14:paraId="62672F4E" w14:textId="77777777" w:rsidR="00A502B0" w:rsidRPr="00A502B0" w:rsidRDefault="00A502B0" w:rsidP="00A502B0">
      <w:pPr>
        <w:numPr>
          <w:ilvl w:val="0"/>
          <w:numId w:val="1"/>
        </w:numPr>
        <w:jc w:val="both"/>
      </w:pPr>
      <w:r w:rsidRPr="00A502B0">
        <w:t>Table 4 reports cross-dataset results across five random seeds and is useful, but it should include the five individual seed results or indicate that only summary statistics are reported. Otherwise, the reported standard deviations cannot be independently inspected from the table.</w:t>
      </w:r>
    </w:p>
    <w:p w14:paraId="2B8EA412" w14:textId="77777777" w:rsidR="00A502B0" w:rsidRPr="00A502B0" w:rsidRDefault="00A502B0" w:rsidP="00A502B0">
      <w:pPr>
        <w:numPr>
          <w:ilvl w:val="0"/>
          <w:numId w:val="1"/>
        </w:numPr>
        <w:jc w:val="both"/>
      </w:pPr>
      <w:r w:rsidRPr="00A502B0">
        <w:t>Table 4 mixes percentage-formatted values with decimal AUC values. A consistent numerical convention should be used, and the number of decimal places should be standardized.</w:t>
      </w:r>
    </w:p>
    <w:p w14:paraId="1A390D20" w14:textId="77777777" w:rsidR="00A502B0" w:rsidRPr="00A502B0" w:rsidRDefault="00A502B0" w:rsidP="00A502B0">
      <w:pPr>
        <w:numPr>
          <w:ilvl w:val="0"/>
          <w:numId w:val="1"/>
        </w:numPr>
        <w:jc w:val="both"/>
      </w:pPr>
      <w:r w:rsidRPr="00A502B0">
        <w:t>The “Compatible Prediction Rate” in Table 4 is not a commonly used classification metric. The authors should define precisely how it is calculated and why it is necessary, or remove it if it does not add meaningful information.</w:t>
      </w:r>
    </w:p>
    <w:p w14:paraId="19B93C26" w14:textId="77777777" w:rsidR="00A502B0" w:rsidRPr="00A502B0" w:rsidRDefault="00A502B0" w:rsidP="00A502B0">
      <w:pPr>
        <w:numPr>
          <w:ilvl w:val="0"/>
          <w:numId w:val="1"/>
        </w:numPr>
        <w:jc w:val="both"/>
      </w:pPr>
      <w:r w:rsidRPr="00A502B0">
        <w:t>Table 5 contains a potentially serious validity issue. The reported “Peak Memory” values are extremely small, for example 0.0012 MB for the proposed CNN-SE model, which appears inconsistent with practical memory requirements for a neural-network inference process. The calculation method and units should be rechecked.</w:t>
      </w:r>
    </w:p>
    <w:p w14:paraId="72454821" w14:textId="77777777" w:rsidR="00A502B0" w:rsidRPr="00A502B0" w:rsidRDefault="00A502B0" w:rsidP="00A502B0">
      <w:pPr>
        <w:numPr>
          <w:ilvl w:val="0"/>
          <w:numId w:val="1"/>
        </w:numPr>
        <w:jc w:val="both"/>
      </w:pPr>
      <w:r w:rsidRPr="00A502B0">
        <w:t xml:space="preserve">Table 5 should describe the hardware, batch size, input size, number of </w:t>
      </w:r>
      <w:proofErr w:type="gramStart"/>
      <w:r w:rsidRPr="00A502B0">
        <w:t>warm-up</w:t>
      </w:r>
      <w:proofErr w:type="gramEnd"/>
      <w:r w:rsidRPr="00A502B0">
        <w:t xml:space="preserve"> runs, number of timed runs, and software environment used to obtain latency and throughput. Without this information, computational comparisons are not fully reproducible.</w:t>
      </w:r>
    </w:p>
    <w:p w14:paraId="66ED2162" w14:textId="77777777" w:rsidR="00A502B0" w:rsidRPr="00A502B0" w:rsidRDefault="00A502B0" w:rsidP="00A502B0">
      <w:pPr>
        <w:numPr>
          <w:ilvl w:val="0"/>
          <w:numId w:val="1"/>
        </w:numPr>
        <w:jc w:val="both"/>
      </w:pPr>
      <w:r w:rsidRPr="00A502B0">
        <w:lastRenderedPageBreak/>
        <w:t xml:space="preserve">Table 5 compares the proposed model with MobileNetV2, EfficientNetB0, and </w:t>
      </w:r>
      <w:proofErr w:type="spellStart"/>
      <w:r w:rsidRPr="00A502B0">
        <w:t>NASNetMobile</w:t>
      </w:r>
      <w:proofErr w:type="spellEnd"/>
      <w:r w:rsidRPr="00A502B0">
        <w:t>, but it is unclear whether these models were trained under identical data splits, preprocessing, input dimensions, and optimization conditions. The caption or Methods section should explicitly confirm the fairness of this comparison.</w:t>
      </w:r>
    </w:p>
    <w:p w14:paraId="32268F22" w14:textId="77777777" w:rsidR="00A502B0" w:rsidRPr="00A502B0" w:rsidRDefault="00A502B0" w:rsidP="00A502B0">
      <w:pPr>
        <w:numPr>
          <w:ilvl w:val="0"/>
          <w:numId w:val="1"/>
        </w:numPr>
        <w:jc w:val="both"/>
      </w:pPr>
      <w:r w:rsidRPr="00A502B0">
        <w:t>Table 5 lists both FLOPs and MACs, but the relationship between the two should be consistent with the counting convention. Authors should state the profiling tool and whether one MAC is counted as one or two FLOPs.</w:t>
      </w:r>
    </w:p>
    <w:p w14:paraId="0C4DDFB9" w14:textId="77777777" w:rsidR="00A502B0" w:rsidRPr="00A502B0" w:rsidRDefault="00A502B0" w:rsidP="00A502B0">
      <w:pPr>
        <w:numPr>
          <w:ilvl w:val="0"/>
          <w:numId w:val="1"/>
        </w:numPr>
        <w:jc w:val="both"/>
      </w:pPr>
      <w:r w:rsidRPr="00A502B0">
        <w:t>Table 6 has an important inconsistency. The OCT-C8 within-dataset accuracy is shown as 97%, whereas the text in Section III.B reports 96.71%. The authors should use the exact value consistently and indicate whether 97% is a rounded version.</w:t>
      </w:r>
    </w:p>
    <w:p w14:paraId="228C83EA" w14:textId="77777777" w:rsidR="00A502B0" w:rsidRPr="00A502B0" w:rsidRDefault="00A502B0" w:rsidP="00A502B0">
      <w:pPr>
        <w:numPr>
          <w:ilvl w:val="0"/>
          <w:numId w:val="1"/>
        </w:numPr>
        <w:jc w:val="both"/>
      </w:pPr>
      <w:r w:rsidRPr="00A502B0">
        <w:t>Table 6 compares within-dataset and cross-dataset performance, but the cross-dataset task includes only four shared classes whereas OCT-C8 within-dataset testing includes eight classes. This difference should be explicitly stated in the table caption to prevent misleading direct comparison.</w:t>
      </w:r>
    </w:p>
    <w:p w14:paraId="03AD7B55" w14:textId="77777777" w:rsidR="00A502B0" w:rsidRPr="00A502B0" w:rsidRDefault="00A502B0" w:rsidP="00A502B0">
      <w:pPr>
        <w:numPr>
          <w:ilvl w:val="0"/>
          <w:numId w:val="1"/>
        </w:numPr>
        <w:jc w:val="both"/>
      </w:pPr>
      <w:r w:rsidRPr="00A502B0">
        <w:t>Table 7 provides useful ablation configurations, but the design is not fully factorial. For example, there is no “SE = No, Augmentation = Yes, SGD” configuration. Therefore, the independent effects of each component cannot be completely separated.</w:t>
      </w:r>
    </w:p>
    <w:p w14:paraId="31611EC2" w14:textId="77777777" w:rsidR="00A502B0" w:rsidRPr="00A502B0" w:rsidRDefault="00A502B0" w:rsidP="00A502B0">
      <w:pPr>
        <w:numPr>
          <w:ilvl w:val="0"/>
          <w:numId w:val="1"/>
        </w:numPr>
        <w:jc w:val="both"/>
      </w:pPr>
      <w:r w:rsidRPr="00A502B0">
        <w:t>Table 7 should report variability across repeated runs, such as mean ± SD, rather than single accuracy values. Small improvements of 1–2 percentage points cannot be judged robustly without repeated experiments.</w:t>
      </w:r>
    </w:p>
    <w:p w14:paraId="75E5B8C3" w14:textId="77777777" w:rsidR="00A502B0" w:rsidRPr="00A502B0" w:rsidRDefault="00A502B0" w:rsidP="00A502B0">
      <w:pPr>
        <w:numPr>
          <w:ilvl w:val="0"/>
          <w:numId w:val="1"/>
        </w:numPr>
        <w:jc w:val="both"/>
      </w:pPr>
      <w:r w:rsidRPr="00A502B0">
        <w:t>Table 8 describes “component-wise” effects, but the comparison Model D → Model E changes only the optimizer, whereas other comparisons are based on different baselines. The authors should avoid presenting these as strictly equivalent causal effects unless the experimental design supports this interpretation.</w:t>
      </w:r>
    </w:p>
    <w:p w14:paraId="08EE0B34" w14:textId="77777777" w:rsidR="00A502B0" w:rsidRPr="00A502B0" w:rsidRDefault="00A502B0" w:rsidP="00A502B0">
      <w:pPr>
        <w:numPr>
          <w:ilvl w:val="0"/>
          <w:numId w:val="1"/>
        </w:numPr>
        <w:jc w:val="both"/>
      </w:pPr>
      <w:r w:rsidRPr="00A502B0">
        <w:t>Table 8 should include statistical uncertainty or repeated-run results for each accuracy change. Reporting only percentage-point differences may overstate the significance of relatively small improvements.</w:t>
      </w:r>
    </w:p>
    <w:p w14:paraId="2F306ED5" w14:textId="77777777" w:rsidR="00A502B0" w:rsidRPr="00A502B0" w:rsidRDefault="00A502B0" w:rsidP="00A502B0">
      <w:pPr>
        <w:numPr>
          <w:ilvl w:val="0"/>
          <w:numId w:val="1"/>
        </w:numPr>
        <w:jc w:val="both"/>
      </w:pPr>
      <w:r w:rsidRPr="00A502B0">
        <w:t>Table 9 is useful for benchmarking, but the comparison is incomplete because only accuracy is reported. Parameter count, number of classes, dataset split, validation protocol, and whether pretrained models were used should be included where available.</w:t>
      </w:r>
    </w:p>
    <w:p w14:paraId="7018A9E8" w14:textId="77777777" w:rsidR="00A502B0" w:rsidRPr="00A502B0" w:rsidRDefault="00A502B0" w:rsidP="00A502B0">
      <w:pPr>
        <w:numPr>
          <w:ilvl w:val="0"/>
          <w:numId w:val="1"/>
        </w:numPr>
        <w:jc w:val="both"/>
      </w:pPr>
      <w:r w:rsidRPr="00A502B0">
        <w:t>Table 9 may not provide a fully fair comparison because the listed studies used different tasks, class numbers, training/test partitions, and preprocessing procedures. The caption or discussion should explicitly state that values are taken from the respective publications and are not necessarily directly comparable.</w:t>
      </w:r>
    </w:p>
    <w:p w14:paraId="7D3B22E3" w14:textId="77777777" w:rsidR="00A502B0" w:rsidRPr="00A502B0" w:rsidRDefault="00A502B0" w:rsidP="00A502B0">
      <w:pPr>
        <w:numPr>
          <w:ilvl w:val="0"/>
          <w:numId w:val="1"/>
        </w:numPr>
        <w:jc w:val="both"/>
      </w:pPr>
      <w:r w:rsidRPr="00A502B0">
        <w:t>Table 9 reports the proposed model as 99.00% on OCT2017 and 97.00% on OCT-C8, but the text elsewhere reports 96.71% for OCT-C8. This should be corrected throughout the manuscript before publication.</w:t>
      </w:r>
    </w:p>
    <w:p w14:paraId="60B6572C" w14:textId="77777777" w:rsidR="00A502B0" w:rsidRPr="00A502B0" w:rsidRDefault="00A502B0" w:rsidP="00A502B0">
      <w:pPr>
        <w:numPr>
          <w:ilvl w:val="0"/>
          <w:numId w:val="1"/>
        </w:numPr>
        <w:jc w:val="both"/>
      </w:pPr>
      <w:r w:rsidRPr="00A502B0">
        <w:t xml:space="preserve">Table 9 lists </w:t>
      </w:r>
      <w:proofErr w:type="spellStart"/>
      <w:r w:rsidRPr="00A502B0">
        <w:t>Stanojević</w:t>
      </w:r>
      <w:proofErr w:type="spellEnd"/>
      <w:r w:rsidRPr="00A502B0">
        <w:t xml:space="preserve"> et al. as 2024, whereas the reference-list metadata appears inconsistent with that year. The publication year and corresponding table entry should be verified.</w:t>
      </w:r>
    </w:p>
    <w:p w14:paraId="4E3B24CD" w14:textId="77777777" w:rsidR="00A502B0" w:rsidRPr="00A502B0" w:rsidRDefault="00A502B0" w:rsidP="00A502B0">
      <w:pPr>
        <w:numPr>
          <w:ilvl w:val="0"/>
          <w:numId w:val="1"/>
        </w:numPr>
        <w:jc w:val="both"/>
      </w:pPr>
      <w:r w:rsidRPr="00A502B0">
        <w:lastRenderedPageBreak/>
        <w:t>All table captions should follow one consistent format. The manuscript currently uses both “Table 1:” and “Table 2.” styles. Use one journal-standard convention, preferably “Table 1. …”.</w:t>
      </w:r>
    </w:p>
    <w:p w14:paraId="4DFFA2F0" w14:textId="77777777" w:rsidR="00A502B0" w:rsidRPr="00A502B0" w:rsidRDefault="00A502B0" w:rsidP="00A502B0">
      <w:pPr>
        <w:numPr>
          <w:ilvl w:val="0"/>
          <w:numId w:val="1"/>
        </w:numPr>
        <w:jc w:val="both"/>
      </w:pPr>
      <w:r w:rsidRPr="00A502B0">
        <w:t>All figure captions should similarly use consistent capitalization, punctuation, spacing, and panel notation. For example, “Fig. 5 (a)” and “Fig. 6 (a).” should be standardized.</w:t>
      </w:r>
    </w:p>
    <w:p w14:paraId="631AC28D" w14:textId="77777777" w:rsidR="00A502B0" w:rsidRPr="00A502B0" w:rsidRDefault="00A502B0" w:rsidP="00A502B0">
      <w:pPr>
        <w:numPr>
          <w:ilvl w:val="0"/>
          <w:numId w:val="1"/>
        </w:numPr>
        <w:jc w:val="both"/>
      </w:pPr>
      <w:r w:rsidRPr="00A502B0">
        <w:t xml:space="preserve">Every figure and table should be explicitly cited in numerical order in the main text before or close to its appearance. The sentence around Table 4 is incomplete (“summarized </w:t>
      </w:r>
      <w:proofErr w:type="gramStart"/>
      <w:r w:rsidRPr="00A502B0">
        <w:t>in .</w:t>
      </w:r>
      <w:proofErr w:type="gramEnd"/>
      <w:r w:rsidRPr="00A502B0">
        <w:t>”), indicating a missing table citation that must be corrected.</w:t>
      </w:r>
    </w:p>
    <w:p w14:paraId="14A6949C" w14:textId="77777777" w:rsidR="00A502B0" w:rsidRPr="00A502B0" w:rsidRDefault="00A502B0" w:rsidP="00A502B0">
      <w:pPr>
        <w:numPr>
          <w:ilvl w:val="0"/>
          <w:numId w:val="1"/>
        </w:numPr>
        <w:jc w:val="both"/>
      </w:pPr>
      <w:r w:rsidRPr="00A502B0">
        <w:t>The maximum visual density should also be considered. Several pages contain a large table together with figures or substantial text. For readability, figures and tables should be redistributed so that preferably no more than two major visual elements appear on a single page.</w:t>
      </w:r>
    </w:p>
    <w:p w14:paraId="559FE20A" w14:textId="77777777" w:rsidR="00A502B0" w:rsidRPr="00A502B0" w:rsidRDefault="00A502B0" w:rsidP="00A502B0">
      <w:pPr>
        <w:numPr>
          <w:ilvl w:val="0"/>
          <w:numId w:val="1"/>
        </w:numPr>
        <w:jc w:val="both"/>
      </w:pPr>
      <w:r w:rsidRPr="00A502B0">
        <w:t>The manuscript would benefit from a dedicated dataset-distribution table showing training, validation, and test counts for every class in OCT-C8 and OCT2017. This would improve transparency of the experimental design.</w:t>
      </w:r>
    </w:p>
    <w:p w14:paraId="71AF6A67" w14:textId="77777777" w:rsidR="00A502B0" w:rsidRPr="00A502B0" w:rsidRDefault="00A502B0" w:rsidP="00A502B0">
      <w:pPr>
        <w:numPr>
          <w:ilvl w:val="0"/>
          <w:numId w:val="1"/>
        </w:numPr>
        <w:jc w:val="both"/>
      </w:pPr>
      <w:r w:rsidRPr="00A502B0">
        <w:t>Before acceptance, the authors should perform a final numerical audit connecting every value in Figures 4–7 and Tables 3–9 with the raw experimental outputs. The most important issues requiring correction are the 96.71% versus 97.00% OCT-C8 accuracy discrepancy, Table 5 memory values, the non-equivalent four-class versus eight-class comparison in Table 6, incomplete ablation design, and missing ROC figures.</w:t>
      </w:r>
    </w:p>
    <w:p w14:paraId="6535EDDF" w14:textId="77777777" w:rsidR="008F2878" w:rsidRDefault="008F2878" w:rsidP="00A502B0">
      <w:pPr>
        <w:jc w:val="both"/>
      </w:pPr>
    </w:p>
    <w:sectPr w:rsidR="008F2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152B5"/>
    <w:multiLevelType w:val="multilevel"/>
    <w:tmpl w:val="6A0E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785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54"/>
    <w:rsid w:val="00032E4C"/>
    <w:rsid w:val="000D3F63"/>
    <w:rsid w:val="002D58A4"/>
    <w:rsid w:val="003750C1"/>
    <w:rsid w:val="003F0BD4"/>
    <w:rsid w:val="005B657E"/>
    <w:rsid w:val="007A1F46"/>
    <w:rsid w:val="008F2878"/>
    <w:rsid w:val="009606D3"/>
    <w:rsid w:val="00A502B0"/>
    <w:rsid w:val="00CB5DBD"/>
    <w:rsid w:val="00DB51AC"/>
    <w:rsid w:val="00F27654"/>
    <w:rsid w:val="00FE727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AEAE"/>
  <w15:chartTrackingRefBased/>
  <w15:docId w15:val="{CEAF8922-37D7-4D40-9524-C72653A4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F2765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276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765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2765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2765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7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276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276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276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276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7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54"/>
    <w:rPr>
      <w:rFonts w:eastAsiaTheme="majorEastAsia" w:cstheme="majorBidi"/>
      <w:color w:val="272727" w:themeColor="text1" w:themeTint="D8"/>
    </w:rPr>
  </w:style>
  <w:style w:type="paragraph" w:styleId="Title">
    <w:name w:val="Title"/>
    <w:basedOn w:val="Normal"/>
    <w:next w:val="Normal"/>
    <w:link w:val="TitleChar"/>
    <w:uiPriority w:val="10"/>
    <w:qFormat/>
    <w:rsid w:val="00F27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54"/>
    <w:pPr>
      <w:spacing w:before="160"/>
      <w:jc w:val="center"/>
    </w:pPr>
    <w:rPr>
      <w:i/>
      <w:iCs/>
      <w:color w:val="404040" w:themeColor="text1" w:themeTint="BF"/>
    </w:rPr>
  </w:style>
  <w:style w:type="character" w:customStyle="1" w:styleId="QuoteChar">
    <w:name w:val="Quote Char"/>
    <w:basedOn w:val="DefaultParagraphFont"/>
    <w:link w:val="Quote"/>
    <w:uiPriority w:val="29"/>
    <w:rsid w:val="00F27654"/>
    <w:rPr>
      <w:rFonts w:cs="Shruti"/>
      <w:i/>
      <w:iCs/>
      <w:color w:val="404040" w:themeColor="text1" w:themeTint="BF"/>
    </w:rPr>
  </w:style>
  <w:style w:type="paragraph" w:styleId="ListParagraph">
    <w:name w:val="List Paragraph"/>
    <w:basedOn w:val="Normal"/>
    <w:uiPriority w:val="34"/>
    <w:qFormat/>
    <w:rsid w:val="00F27654"/>
    <w:pPr>
      <w:ind w:left="720"/>
      <w:contextualSpacing/>
    </w:pPr>
  </w:style>
  <w:style w:type="character" w:styleId="IntenseEmphasis">
    <w:name w:val="Intense Emphasis"/>
    <w:basedOn w:val="DefaultParagraphFont"/>
    <w:uiPriority w:val="21"/>
    <w:qFormat/>
    <w:rsid w:val="00F27654"/>
    <w:rPr>
      <w:i/>
      <w:iCs/>
      <w:color w:val="2E74B5" w:themeColor="accent1" w:themeShade="BF"/>
    </w:rPr>
  </w:style>
  <w:style w:type="paragraph" w:styleId="IntenseQuote">
    <w:name w:val="Intense Quote"/>
    <w:basedOn w:val="Normal"/>
    <w:next w:val="Normal"/>
    <w:link w:val="IntenseQuoteChar"/>
    <w:uiPriority w:val="30"/>
    <w:qFormat/>
    <w:rsid w:val="00F276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7654"/>
    <w:rPr>
      <w:rFonts w:cs="Shruti"/>
      <w:i/>
      <w:iCs/>
      <w:color w:val="2E74B5" w:themeColor="accent1" w:themeShade="BF"/>
    </w:rPr>
  </w:style>
  <w:style w:type="character" w:styleId="IntenseReference">
    <w:name w:val="Intense Reference"/>
    <w:basedOn w:val="DefaultParagraphFont"/>
    <w:uiPriority w:val="32"/>
    <w:qFormat/>
    <w:rsid w:val="00F276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847094">
      <w:bodyDiv w:val="1"/>
      <w:marLeft w:val="0"/>
      <w:marRight w:val="0"/>
      <w:marTop w:val="0"/>
      <w:marBottom w:val="0"/>
      <w:divBdr>
        <w:top w:val="none" w:sz="0" w:space="0" w:color="auto"/>
        <w:left w:val="none" w:sz="0" w:space="0" w:color="auto"/>
        <w:bottom w:val="none" w:sz="0" w:space="0" w:color="auto"/>
        <w:right w:val="none" w:sz="0" w:space="0" w:color="auto"/>
      </w:divBdr>
    </w:div>
    <w:div w:id="184053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2530</Words>
  <Characters>14424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Dave</dc:creator>
  <cp:keywords/>
  <dc:description/>
  <cp:lastModifiedBy>Parth Dave</cp:lastModifiedBy>
  <cp:revision>2</cp:revision>
  <dcterms:created xsi:type="dcterms:W3CDTF">2026-09-16T09:25:00Z</dcterms:created>
  <dcterms:modified xsi:type="dcterms:W3CDTF">2026-09-16T11:38:00Z</dcterms:modified>
</cp:coreProperties>
</file>