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Estratégia e diferenciação do Mundo Pippo</w:t>
      </w:r>
    </w:p>
    <w:p>
      <w:pPr>
        <w:pStyle w:val="Subtitle"/>
      </w:pPr>
      <w:r>
        <w:t>Direção de produto e critérios de qualidade</w:t>
      </w:r>
    </w:p>
    <w:p>
      <w:r>
        <w:t>Versão 1.0 • 27 de outubro de 2026 • Adendo à especificação 1.1</w:t>
      </w:r>
    </w:p>
    <w:p>
      <w:r>
        <w:t>Vamos construir um companheiro de descobertas musicais no quintal, com aparência fiel ao Pippo aprovado, respostas expressivas ao toque e brincadeiras que se conectam. Queremos conquistar preferência pela qualidade dessa experiência, preservando o universo e as atividades já planejados.</w:t>
      </w:r>
    </w:p>
    <w:p>
      <w:pPr>
        <w:pStyle w:val="Heading2"/>
      </w:pPr>
      <w:r>
        <w:t>Para quem estamos criando</w:t>
      </w:r>
    </w:p>
    <w:p>
      <w:r>
        <w:t>Crianças de 24 a 36 meses, com participação do responsável. A criança deve começar sem ler, falar, cumprir missão ou dominar um gesto preciso. O responsável precisa reconhecer cuidado na arte, no som, nos controles e na possibilidade de encerrar com tranquilidade.</w:t>
      </w:r>
    </w:p>
    <w:p>
      <w:pPr>
        <w:pStyle w:val="Heading2"/>
      </w:pPr>
      <w:r>
        <w:t>O diferencial que queremos provar</w:t>
      </w:r>
    </w:p>
    <w:p>
      <w:r>
        <w:t>Pippo percebe o gesto da brincadeira, responde com corpo e expressão e participa de uma troca musical. A criança pode levar essa descoberta para o jardim, a água, os amigos e os brinquedos. Português brasileiro, silêncio quando necessário e consequências claras sustentam a experiência.</w:t>
      </w:r>
    </w:p>
    <w:p>
      <w:r>
        <w:t>A primeira demonstração dessa proposta será simples: tocar um ritmo no tambor; Pippo escuta e responde em uma pausa; quando a criança volta a tocar, ele cede a vez. A brincadeira continua no quintal sem teste, pontuação ou fala obrigatória. Esse comportamento será programado localmente; não depende de conversa aberta com IA.</w:t>
      </w:r>
    </w:p>
    <w:p>
      <w:pPr>
        <w:pStyle w:val="Heading2"/>
      </w:pPr>
      <w:r>
        <w:t>O que significa buscar ser o melhor</w:t>
      </w:r>
    </w:p>
    <w:p>
      <w:r>
        <w:t>A ambição é oferecer uma experiência especialmente boa para esse público. A régua será fidelidade do personagem, clareza da resposta, qualidade sonora, fluidez e preferência observada das famílias. Liderança de mercado e sucesso comercial são objetivos; ainda não são resultados nem podem ser garantidos.</w:t>
      </w:r>
    </w:p>
    <w:p>
      <w:pPr>
        <w:pStyle w:val="Heading2"/>
      </w:pPr>
      <w:r>
        <w:t>Como este documento deve ser usado</w:t>
      </w:r>
    </w:p>
    <w:p>
      <w:r>
        <w:t>Este adendo organiza a estratégia e a ordem de produção. Mantém os três documentos anteriores como fontes de requisitos. A autorização desta conversa permite avançar nessa direção; detalhes de validação e hipóteses de mercado continuam sujeitos a evidência. Documentar uma ideia não significa implementá-la.</w:t>
      </w:r>
    </w:p>
    <w:p>
      <w:r>
        <w:br w:type="page"/>
      </w:r>
    </w:p>
    <w:p>
      <w:pPr>
        <w:pStyle w:val="Heading1"/>
      </w:pPr>
      <w:r>
        <w:t>Mercado e posicionamento</w:t>
      </w:r>
    </w:p>
    <w:p>
      <w:r>
        <w:t>A pesquisa consultou páginas oficiais dos produtos e um comunicado da Outfit7. Não houve teste dos aplicativos instalados nem comparação prática de desempenho. As observações abaixo descrevem referências de produto, sem inferir a tecnologia interna dos concorrentes.</w:t>
      </w:r>
    </w:p>
    <w:tbl>
      <w:tblPr>
        <w:tblW w:type="auto" w:w="0"/>
        <w:jc w:val="center"/>
        <w:tblLayout w:type="fixed"/>
        <w:tblLook w:firstColumn="1" w:firstRow="1" w:lastColumn="0" w:lastRow="0" w:noHBand="0" w:noVBand="1" w:val="04A0"/>
      </w:tblPr>
      <w:tblGrid>
        <w:gridCol w:w="1944"/>
        <w:gridCol w:w="4032"/>
        <w:gridCol w:w="4190"/>
      </w:tblGrid>
      <w:tr>
        <w:trPr>
          <w:tblHeader/>
          <w:cantSplit/>
        </w:trPr>
        <w:tc>
          <w:tcPr>
            <w:tcW w:type="dxa" w:w="1944"/>
            <w:vAlign w:val="center"/>
            <w:shd w:fill="253C4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5" w:lineRule="auto"/>
            </w:pPr>
            <w:r>
              <w:rPr>
                <w:b/>
                <w:color w:val="FFFFFF"/>
                <w:sz w:val="20"/>
              </w:rPr>
              <w:t>Referência</w:t>
            </w:r>
          </w:p>
        </w:tc>
        <w:tc>
          <w:tcPr>
            <w:tcW w:type="dxa" w:w="4032"/>
            <w:vAlign w:val="center"/>
            <w:shd w:fill="253C4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5" w:lineRule="auto"/>
            </w:pPr>
            <w:r>
              <w:rPr>
                <w:b/>
                <w:color w:val="FFFFFF"/>
                <w:sz w:val="20"/>
              </w:rPr>
              <w:t>Capacidade observada</w:t>
            </w:r>
          </w:p>
        </w:tc>
        <w:tc>
          <w:tcPr>
            <w:tcW w:type="dxa" w:w="4190"/>
            <w:vAlign w:val="center"/>
            <w:shd w:fill="253C4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5" w:lineRule="auto"/>
            </w:pPr>
            <w:r>
              <w:rPr>
                <w:b/>
                <w:color w:val="FFFFFF"/>
                <w:sz w:val="20"/>
              </w:rPr>
              <w:t>Consequência para Pippo</w:t>
            </w:r>
          </w:p>
        </w:tc>
      </w:tr>
      <w:tr>
        <w:trPr>
          <w:cantSplit/>
        </w:trPr>
        <w:tc>
          <w:tcPr>
            <w:tcW w:type="dxa" w:w="1944"/>
            <w:vAlign w:val="center"/>
            <w:shd w:fill="F1F4F5"/>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5" w:lineRule="auto"/>
            </w:pPr>
            <w:r>
              <w:rPr>
                <w:b w:val="0"/>
                <w:color w:val="000000"/>
                <w:sz w:val="20"/>
              </w:rPr>
              <w:t>Meu Talking Tom 2</w:t>
            </w:r>
          </w:p>
        </w:tc>
        <w:tc>
          <w:tcPr>
            <w:tcW w:type="dxa" w:w="4032"/>
            <w:vAlign w:val="center"/>
            <w:shd w:fill="F1F4F5"/>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5" w:lineRule="auto"/>
            </w:pPr>
            <w:r>
              <w:rPr>
                <w:b w:val="0"/>
                <w:color w:val="000000"/>
                <w:sz w:val="20"/>
              </w:rPr>
              <w:t>Reações ao manuseio e aos objetos; quintal conectado e deslocamento direto em atualização de 2026. [1–2]</w:t>
            </w:r>
          </w:p>
        </w:tc>
        <w:tc>
          <w:tcPr>
            <w:tcW w:type="dxa" w:w="4190"/>
            <w:vAlign w:val="center"/>
            <w:shd w:fill="F1F4F5"/>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5" w:lineRule="auto"/>
            </w:pPr>
            <w:r>
              <w:rPr>
                <w:b w:val="0"/>
                <w:color w:val="000000"/>
                <w:sz w:val="20"/>
              </w:rPr>
              <w:t>Personagem e cenário precisam responder juntos às ações.</w:t>
            </w:r>
          </w:p>
        </w:tc>
      </w:tr>
      <w:tr>
        <w:trPr>
          <w:cantSplit/>
        </w:trPr>
        <w:tc>
          <w:tcPr>
            <w:tcW w:type="dxa" w:w="194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5" w:lineRule="auto"/>
            </w:pPr>
            <w:r>
              <w:rPr>
                <w:b w:val="0"/>
                <w:color w:val="000000"/>
                <w:sz w:val="20"/>
              </w:rPr>
              <w:t>Minha Talking Angela 2</w:t>
            </w:r>
          </w:p>
        </w:tc>
        <w:tc>
          <w:tcPr>
            <w:tcW w:type="dxa" w:w="403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5" w:lineRule="auto"/>
            </w:pPr>
            <w:r>
              <w:rPr>
                <w:b w:val="0"/>
                <w:color w:val="000000"/>
                <w:sz w:val="20"/>
              </w:rPr>
              <w:t>Música, dança, culinária e personalização. [3]</w:t>
            </w:r>
          </w:p>
        </w:tc>
        <w:tc>
          <w:tcPr>
            <w:tcW w:type="dxa" w:w="419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5" w:lineRule="auto"/>
            </w:pPr>
            <w:r>
              <w:rPr>
                <w:b w:val="0"/>
                <w:color w:val="000000"/>
                <w:sz w:val="20"/>
              </w:rPr>
              <w:t>Ter instrumentos, sozinho, não comprova diferenciação.</w:t>
            </w:r>
          </w:p>
        </w:tc>
      </w:tr>
      <w:tr>
        <w:trPr>
          <w:cantSplit/>
        </w:trPr>
        <w:tc>
          <w:tcPr>
            <w:tcW w:type="dxa" w:w="1944"/>
            <w:vAlign w:val="center"/>
            <w:shd w:fill="F1F4F5"/>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5" w:lineRule="auto"/>
            </w:pPr>
            <w:r>
              <w:rPr>
                <w:b w:val="0"/>
                <w:color w:val="000000"/>
                <w:sz w:val="20"/>
              </w:rPr>
              <w:t>Toca Boca World</w:t>
            </w:r>
          </w:p>
        </w:tc>
        <w:tc>
          <w:tcPr>
            <w:tcW w:type="dxa" w:w="4032"/>
            <w:vAlign w:val="center"/>
            <w:shd w:fill="F1F4F5"/>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5" w:lineRule="auto"/>
            </w:pPr>
            <w:r>
              <w:rPr>
                <w:b w:val="0"/>
                <w:color w:val="000000"/>
                <w:sz w:val="20"/>
              </w:rPr>
              <w:t>Menu de expressões associado a movimentos; 30 movimentos novos para personagens compatíveis. [4]</w:t>
            </w:r>
          </w:p>
        </w:tc>
        <w:tc>
          <w:tcPr>
            <w:tcW w:type="dxa" w:w="4190"/>
            <w:vAlign w:val="center"/>
            <w:shd w:fill="F1F4F5"/>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5" w:lineRule="auto"/>
            </w:pPr>
            <w:r>
              <w:rPr>
                <w:b w:val="0"/>
                <w:color w:val="000000"/>
                <w:sz w:val="20"/>
              </w:rPr>
              <w:t>Expressão deve envolver postura e gesto, além do rosto.</w:t>
            </w:r>
          </w:p>
        </w:tc>
      </w:tr>
      <w:tr>
        <w:trPr>
          <w:cantSplit/>
        </w:trPr>
        <w:tc>
          <w:tcPr>
            <w:tcW w:type="dxa" w:w="194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5" w:lineRule="auto"/>
            </w:pPr>
            <w:r>
              <w:rPr>
                <w:b w:val="0"/>
                <w:color w:val="000000"/>
                <w:sz w:val="20"/>
              </w:rPr>
              <w:t>Sago Mini World</w:t>
            </w:r>
          </w:p>
        </w:tc>
        <w:tc>
          <w:tcPr>
            <w:tcW w:type="dxa" w:w="403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5" w:lineRule="auto"/>
            </w:pPr>
            <w:r>
              <w:rPr>
                <w:b w:val="0"/>
                <w:color w:val="000000"/>
                <w:sz w:val="20"/>
              </w:rPr>
              <w:t>Exploração aberta; sem regras, limite de tempo ou pontos. [5]</w:t>
            </w:r>
          </w:p>
        </w:tc>
        <w:tc>
          <w:tcPr>
            <w:tcW w:type="dxa" w:w="419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5" w:lineRule="auto"/>
            </w:pPr>
            <w:r>
              <w:rPr>
                <w:b w:val="0"/>
                <w:color w:val="000000"/>
                <w:sz w:val="20"/>
              </w:rPr>
              <w:t>Brincar com calma já é uma referência estabelecida.</w:t>
            </w:r>
          </w:p>
        </w:tc>
      </w:tr>
    </w:tbl>
    <w:p/>
    <w:p>
      <w:pPr>
        <w:pStyle w:val="Heading2"/>
      </w:pPr>
      <w:r>
        <w:t>Nossa hipótese competitiva</w:t>
      </w:r>
    </w:p>
    <w:p>
      <w:r>
        <w:t>A combinação de personagem afetuoso, reciprocidade musical e continuidade entre natureza e brinquedos pode criar uma experiência reconhecível. Cada parte já encontra referências no mercado. A vantagem dependerá da execução conjunta e da preferência real das famílias, não de uma alegação de exclusividade.</w:t>
      </w:r>
    </w:p>
    <w:p>
      <w:pPr>
        <w:pStyle w:val="Heading2"/>
      </w:pPr>
      <w:r>
        <w:t>Uma promessa demonstrável</w:t>
      </w:r>
    </w:p>
    <w:p>
      <w:r>
        <w:t>A comunicação deve mostrar uma cena verdadeira: a criança toca, Pippo reage e a brincadeira continua. O material de divulgação precisa usar captura da versão jogável. A arte de conceito ajuda a explicar a intenção, mas não pode representar funcionalidades ausentes.</w:t>
      </w:r>
    </w:p>
    <w:p>
      <w:pPr>
        <w:pStyle w:val="Heading2"/>
      </w:pPr>
      <w:r>
        <w:t>Como validar a proposta</w:t>
      </w:r>
    </w:p>
    <w:p>
      <w:r>
        <w:t>Fazer primeiro um piloto acompanhado com cerca de cinco famílias voluntárias. Observar início espontâneo, entendimento do toque, repetição voluntária, troca de atividade e encerramento. Perguntar ao responsável o que diferencia Pippo e o que falta. Esse grupo serve para encontrar problemas; não demonstra superioridade estatística ou demanda comercial.</w:t>
      </w:r>
    </w:p>
    <w:p>
      <w:r>
        <w:t>Novos testes com outras famílias e revisão da experiência devem preceder afirmações de preferência ampla. Não usar aumento de tempo de tela como principal indicador de sucesso.</w:t>
      </w:r>
    </w:p>
    <w:p>
      <w:r>
        <w:br w:type="page"/>
      </w:r>
    </w:p>
    <w:p>
      <w:pPr>
        <w:pStyle w:val="Heading1"/>
      </w:pPr>
      <w:r>
        <w:t>Atuação e interação do Pippo</w:t>
      </w:r>
    </w:p>
    <w:p>
      <w:r>
        <w:t>O personagem precisa perceber, preparar, agir e voltar a uma postura coerente. A aparência aprovada é a referência fixa. Mudanças de olhos, bico, bochechas, topete, proporções e silhueta devem ser identificadas antes de integrar novos recursos.</w:t>
      </w:r>
    </w:p>
    <w:p>
      <w:pPr>
        <w:pStyle w:val="Heading2"/>
      </w:pPr>
      <w:r>
        <w:t>Andar para os dois lados</w:t>
      </w:r>
    </w:p>
    <w:p>
      <w:r>
        <w:t>Tocar no chão define um destino único. Um novo toque substitui esse destino; não cria fila. A caminhada precisa alternar apoios, transferir peso e ajustar velocidade ao ciclo dos passos. Partida, parada e mudança de direção fazem parte da animação. Sombra acompanha o apoio; ela não resolve um pé que desliza.</w:t>
      </w:r>
    </w:p>
    <w:p>
      <w:r>
        <w:t>O ciclo atual de quatro poses é um estudo. Espelhar o perfil pode viabilizar um teste da direção oposta, com revisão de topete e iluminação; não equivale a produzir todos os ângulos. Rotações e navegação em outras direções permanecem no plano e dependem de recursos próprios.</w:t>
      </w:r>
    </w:p>
    <w:p>
      <w:pPr>
        <w:pStyle w:val="Heading2"/>
      </w:pPr>
      <w:r>
        <w:t>Carinho e expressões com contexto</w:t>
      </w:r>
    </w:p>
    <w:p>
      <w:r>
        <w:t>Toque na cabeça: olhos fecham suavemente e a cabeça se aproxima da mão. Toque na barriga: reação corporal breve e alegre, sem gesto de dor. Arrastar pode prolongar o carinho; toque simples continua suficiente. A resposta deve poder ser interrompida sem salto de posição.</w:t>
      </w:r>
    </w:p>
    <w:p>
      <w:r>
        <w:t>Biblioteca inicial proposta: atenção, curiosidade, alegria, surpresa suave, carinho, satisfação, sonolência e convite para brincar. Cada expressão terá olhos, bico, postura, duração e evento definidos. Não escolher caretas aleatórias a cada toque nem afirmar que Pippo reconhece emoções da criança.</w:t>
      </w:r>
    </w:p>
    <w:p>
      <w:pPr>
        <w:pStyle w:val="Heading2"/>
      </w:pPr>
      <w:r>
        <w:t>Asas e voo</w:t>
      </w:r>
    </w:p>
    <w:p>
      <w:r>
        <w:t>Produzir preparação, batida de asas, subida, suspensão curta, descida e pouso. Definir a ação como um pequeno voo de fantasia compatível com o personagem. O salto atual não será apresentado como voo pronto. Asas precisam de desenho e movimento próprios; deslocar a ilustração inteira para cima é insuficiente.</w:t>
      </w:r>
    </w:p>
    <w:p>
      <w:pPr>
        <w:pStyle w:val="Heading2"/>
      </w:pPr>
      <w:r>
        <w:t>Tudo que convida ao toque deve responder</w:t>
      </w:r>
    </w:p>
    <w:p>
      <w:r>
        <w:t>Chão leva ao destino; personagem recebe carinho; bola inicia o passe; regador e flor permitem regar; instrumentos tocam imediatamente; acessos visíveis levam aos ambientes disponíveis. Elementos decorativos podem ter uma reação discreta quando isso fizer sentido. Evitar que áreas de toque se sobreponham ou acionem uma atividade sem intenção clara.</w:t>
      </w:r>
    </w:p>
    <w:p>
      <w:r>
        <w:t>Poucas escolhas grandes por enquadramento. Ações principais ficam no cenário; controles de estudo e ajustes pertencem ao responsável. Toda atividade essencial aceita toque simples, repetição e saída livre.</w:t>
      </w:r>
    </w:p>
    <w:p>
      <w:r>
        <w:br w:type="page"/>
      </w:r>
    </w:p>
    <w:p>
      <w:pPr>
        <w:pStyle w:val="Heading1"/>
      </w:pPr>
      <w:r>
        <w:t>Ideias preservadas e melhorias</w:t>
      </w:r>
    </w:p>
    <w:p>
      <w:r>
        <w:t>A prioridade musical organiza o universo existente. Nenhuma atividade abaixo foi removida. O quadro é um inventário de continuidade, não uma declaração de implementação ou a substituição da especificação completa.</w:t>
      </w:r>
    </w:p>
    <w:tbl>
      <w:tblPr>
        <w:tblW w:type="auto" w:w="0"/>
        <w:jc w:val="center"/>
        <w:tblLayout w:type="fixed"/>
        <w:tblLook w:firstColumn="1" w:firstRow="1" w:lastColumn="0" w:lastRow="0" w:noHBand="0" w:noVBand="1" w:val="04A0"/>
      </w:tblPr>
      <w:tblGrid>
        <w:gridCol w:w="2088"/>
        <w:gridCol w:w="7128"/>
        <w:gridCol w:w="950"/>
      </w:tblGrid>
      <w:tr>
        <w:trPr>
          <w:tblHeader/>
          <w:cantSplit/>
        </w:trPr>
        <w:tc>
          <w:tcPr>
            <w:tcW w:type="dxa" w:w="2088"/>
            <w:vAlign w:val="center"/>
            <w:shd w:fill="253C4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5" w:lineRule="auto"/>
            </w:pPr>
            <w:r>
              <w:rPr>
                <w:b/>
                <w:color w:val="FFFFFF"/>
                <w:sz w:val="20"/>
              </w:rPr>
              <w:t>Ideia preservada</w:t>
            </w:r>
          </w:p>
        </w:tc>
        <w:tc>
          <w:tcPr>
            <w:tcW w:type="dxa" w:w="7128"/>
            <w:vAlign w:val="center"/>
            <w:shd w:fill="253C4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5" w:lineRule="auto"/>
            </w:pPr>
            <w:r>
              <w:rPr>
                <w:b/>
                <w:color w:val="FFFFFF"/>
                <w:sz w:val="20"/>
              </w:rPr>
              <w:t>Melhoria orientadora</w:t>
            </w:r>
          </w:p>
        </w:tc>
        <w:tc>
          <w:tcPr>
            <w:tcW w:type="dxa" w:w="950"/>
            <w:vAlign w:val="center"/>
            <w:shd w:fill="253C4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5" w:lineRule="auto"/>
            </w:pPr>
            <w:r>
              <w:rPr>
                <w:b/>
                <w:color w:val="FFFFFF"/>
                <w:sz w:val="20"/>
              </w:rPr>
              <w:t>Etapa</w:t>
            </w:r>
          </w:p>
        </w:tc>
      </w:tr>
      <w:tr>
        <w:trPr>
          <w:cantSplit/>
        </w:trPr>
        <w:tc>
          <w:tcPr>
            <w:tcW w:type="dxa" w:w="2088"/>
            <w:vAlign w:val="center"/>
            <w:shd w:fill="F1F4F5"/>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5" w:lineRule="auto"/>
            </w:pPr>
            <w:r>
              <w:rPr>
                <w:b w:val="0"/>
                <w:color w:val="000000"/>
                <w:sz w:val="20"/>
              </w:rPr>
              <w:t>Pippo e vínculos</w:t>
            </w:r>
          </w:p>
        </w:tc>
        <w:tc>
          <w:tcPr>
            <w:tcW w:type="dxa" w:w="7128"/>
            <w:vAlign w:val="center"/>
            <w:shd w:fill="F1F4F5"/>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5" w:lineRule="auto"/>
            </w:pPr>
            <w:r>
              <w:rPr>
                <w:b w:val="0"/>
                <w:color w:val="000000"/>
                <w:sz w:val="20"/>
              </w:rPr>
              <w:t>Carinho por região, expressões contextualizadas, acenar, sentar, descansar e levantar.</w:t>
            </w:r>
          </w:p>
        </w:tc>
        <w:tc>
          <w:tcPr>
            <w:tcW w:type="dxa" w:w="950"/>
            <w:vAlign w:val="center"/>
            <w:shd w:fill="F1F4F5"/>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5" w:lineRule="auto"/>
            </w:pPr>
            <w:r>
              <w:rPr>
                <w:b w:val="0"/>
                <w:color w:val="000000"/>
                <w:sz w:val="20"/>
              </w:rPr>
              <w:t>A</w:t>
            </w:r>
          </w:p>
        </w:tc>
      </w:tr>
      <w:tr>
        <w:trPr>
          <w:cantSplit/>
        </w:trPr>
        <w:tc>
          <w:tcPr>
            <w:tcW w:type="dxa" w:w="208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5" w:lineRule="auto"/>
            </w:pPr>
            <w:r>
              <w:rPr>
                <w:b w:val="0"/>
                <w:color w:val="000000"/>
                <w:sz w:val="20"/>
              </w:rPr>
              <w:t>Andar e explorar</w:t>
            </w:r>
          </w:p>
        </w:tc>
        <w:tc>
          <w:tcPr>
            <w:tcW w:type="dxa" w:w="712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5" w:lineRule="auto"/>
            </w:pPr>
            <w:r>
              <w:rPr>
                <w:b w:val="0"/>
                <w:color w:val="000000"/>
                <w:sz w:val="20"/>
              </w:rPr>
              <w:t>Esquerda e direita, virar, destinos por toque; demais ângulos e giros após validação.</w:t>
            </w:r>
          </w:p>
        </w:tc>
        <w:tc>
          <w:tcPr>
            <w:tcW w:type="dxa" w:w="95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5" w:lineRule="auto"/>
            </w:pPr>
            <w:r>
              <w:rPr>
                <w:b w:val="0"/>
                <w:color w:val="000000"/>
                <w:sz w:val="20"/>
              </w:rPr>
              <w:t>A e D</w:t>
            </w:r>
          </w:p>
        </w:tc>
      </w:tr>
      <w:tr>
        <w:trPr>
          <w:cantSplit/>
        </w:trPr>
        <w:tc>
          <w:tcPr>
            <w:tcW w:type="dxa" w:w="2088"/>
            <w:vAlign w:val="center"/>
            <w:shd w:fill="F1F4F5"/>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5" w:lineRule="auto"/>
            </w:pPr>
            <w:r>
              <w:rPr>
                <w:b w:val="0"/>
                <w:color w:val="000000"/>
                <w:sz w:val="20"/>
              </w:rPr>
              <w:t>Asas, salto e natação</w:t>
            </w:r>
          </w:p>
        </w:tc>
        <w:tc>
          <w:tcPr>
            <w:tcW w:type="dxa" w:w="7128"/>
            <w:vAlign w:val="center"/>
            <w:shd w:fill="F1F4F5"/>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5" w:lineRule="auto"/>
            </w:pPr>
            <w:r>
              <w:rPr>
                <w:b w:val="0"/>
                <w:color w:val="000000"/>
                <w:sz w:val="20"/>
              </w:rPr>
              <w:t>Ações próprias, transições e contato com chão ou água coerentes.</w:t>
            </w:r>
          </w:p>
        </w:tc>
        <w:tc>
          <w:tcPr>
            <w:tcW w:type="dxa" w:w="950"/>
            <w:vAlign w:val="center"/>
            <w:shd w:fill="F1F4F5"/>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5" w:lineRule="auto"/>
            </w:pPr>
            <w:r>
              <w:rPr>
                <w:b w:val="0"/>
                <w:color w:val="000000"/>
                <w:sz w:val="20"/>
              </w:rPr>
              <w:t>D</w:t>
            </w:r>
          </w:p>
        </w:tc>
      </w:tr>
      <w:tr>
        <w:trPr>
          <w:cantSplit/>
        </w:trPr>
        <w:tc>
          <w:tcPr>
            <w:tcW w:type="dxa" w:w="208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5" w:lineRule="auto"/>
            </w:pPr>
            <w:r>
              <w:rPr>
                <w:b w:val="0"/>
                <w:color w:val="000000"/>
                <w:sz w:val="20"/>
              </w:rPr>
              <w:t>Bola e basquete assistido</w:t>
            </w:r>
          </w:p>
        </w:tc>
        <w:tc>
          <w:tcPr>
            <w:tcW w:type="dxa" w:w="712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5" w:lineRule="auto"/>
            </w:pPr>
            <w:r>
              <w:rPr>
                <w:b w:val="0"/>
                <w:color w:val="000000"/>
                <w:sz w:val="20"/>
              </w:rPr>
              <w:t>Passe com contato visualmente convincente; cesta com trajetória e recuperação legíveis.</w:t>
            </w:r>
          </w:p>
        </w:tc>
        <w:tc>
          <w:tcPr>
            <w:tcW w:type="dxa" w:w="95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5" w:lineRule="auto"/>
            </w:pPr>
            <w:r>
              <w:rPr>
                <w:b w:val="0"/>
                <w:color w:val="000000"/>
                <w:sz w:val="20"/>
              </w:rPr>
              <w:t>B e D</w:t>
            </w:r>
          </w:p>
        </w:tc>
      </w:tr>
      <w:tr>
        <w:trPr>
          <w:cantSplit/>
        </w:trPr>
        <w:tc>
          <w:tcPr>
            <w:tcW w:type="dxa" w:w="2088"/>
            <w:vAlign w:val="center"/>
            <w:shd w:fill="F1F4F5"/>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5" w:lineRule="auto"/>
            </w:pPr>
            <w:r>
              <w:rPr>
                <w:b w:val="0"/>
                <w:color w:val="000000"/>
                <w:sz w:val="20"/>
              </w:rPr>
              <w:t>Música</w:t>
            </w:r>
          </w:p>
        </w:tc>
        <w:tc>
          <w:tcPr>
            <w:tcW w:type="dxa" w:w="7128"/>
            <w:vAlign w:val="center"/>
            <w:shd w:fill="F1F4F5"/>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5" w:lineRule="auto"/>
            </w:pPr>
            <w:r>
              <w:rPr>
                <w:b w:val="0"/>
                <w:color w:val="000000"/>
                <w:sz w:val="20"/>
              </w:rPr>
              <w:t>Tambor e teclado de Dó a Dó com oito notas; depois bateria completa, xilofone e percussão. Timbres distintos.</w:t>
            </w:r>
          </w:p>
        </w:tc>
        <w:tc>
          <w:tcPr>
            <w:tcW w:type="dxa" w:w="950"/>
            <w:vAlign w:val="center"/>
            <w:shd w:fill="F1F4F5"/>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5" w:lineRule="auto"/>
            </w:pPr>
            <w:r>
              <w:rPr>
                <w:b w:val="0"/>
                <w:color w:val="000000"/>
                <w:sz w:val="20"/>
              </w:rPr>
              <w:t>B e D</w:t>
            </w:r>
          </w:p>
        </w:tc>
      </w:tr>
      <w:tr>
        <w:trPr>
          <w:cantSplit/>
        </w:trPr>
        <w:tc>
          <w:tcPr>
            <w:tcW w:type="dxa" w:w="208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5" w:lineRule="auto"/>
            </w:pPr>
            <w:r>
              <w:rPr>
                <w:b w:val="0"/>
                <w:color w:val="000000"/>
                <w:sz w:val="20"/>
              </w:rPr>
              <w:t>Jardim e natureza</w:t>
            </w:r>
          </w:p>
        </w:tc>
        <w:tc>
          <w:tcPr>
            <w:tcW w:type="dxa" w:w="712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5" w:lineRule="auto"/>
            </w:pPr>
            <w:r>
              <w:rPr>
                <w:b w:val="0"/>
                <w:color w:val="000000"/>
                <w:sz w:val="20"/>
              </w:rPr>
              <w:t>Regador abre a flor; consequências permanecem na sessão; palavras ligadas à ação visível.</w:t>
            </w:r>
          </w:p>
        </w:tc>
        <w:tc>
          <w:tcPr>
            <w:tcW w:type="dxa" w:w="95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5" w:lineRule="auto"/>
            </w:pPr>
            <w:r>
              <w:rPr>
                <w:b w:val="0"/>
                <w:color w:val="000000"/>
                <w:sz w:val="20"/>
              </w:rPr>
              <w:t>C</w:t>
            </w:r>
          </w:p>
        </w:tc>
      </w:tr>
      <w:tr>
        <w:trPr>
          <w:cantSplit/>
        </w:trPr>
        <w:tc>
          <w:tcPr>
            <w:tcW w:type="dxa" w:w="2088"/>
            <w:vAlign w:val="center"/>
            <w:shd w:fill="F1F4F5"/>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5" w:lineRule="auto"/>
            </w:pPr>
            <w:r>
              <w:rPr>
                <w:b w:val="0"/>
                <w:color w:val="000000"/>
                <w:sz w:val="20"/>
              </w:rPr>
              <w:t>Mimi, Tico, Belinha e Lolo</w:t>
            </w:r>
          </w:p>
        </w:tc>
        <w:tc>
          <w:tcPr>
            <w:tcW w:type="dxa" w:w="7128"/>
            <w:vAlign w:val="center"/>
            <w:shd w:fill="F1F4F5"/>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5" w:lineRule="auto"/>
            </w:pPr>
            <w:r>
              <w:rPr>
                <w:b w:val="0"/>
                <w:color w:val="000000"/>
                <w:sz w:val="20"/>
              </w:rPr>
              <w:t>Vaca, pintinho, ovelha e coelho com papéis próprios; vocalizações adequadas e revisadas.</w:t>
            </w:r>
          </w:p>
        </w:tc>
        <w:tc>
          <w:tcPr>
            <w:tcW w:type="dxa" w:w="950"/>
            <w:vAlign w:val="center"/>
            <w:shd w:fill="F1F4F5"/>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5" w:lineRule="auto"/>
            </w:pPr>
            <w:r>
              <w:rPr>
                <w:b w:val="0"/>
                <w:color w:val="000000"/>
                <w:sz w:val="20"/>
              </w:rPr>
              <w:t>C e D</w:t>
            </w:r>
          </w:p>
        </w:tc>
      </w:tr>
      <w:tr>
        <w:trPr>
          <w:cantSplit/>
        </w:trPr>
        <w:tc>
          <w:tcPr>
            <w:tcW w:type="dxa" w:w="208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5" w:lineRule="auto"/>
            </w:pPr>
            <w:r>
              <w:rPr>
                <w:b w:val="0"/>
                <w:color w:val="000000"/>
                <w:sz w:val="20"/>
              </w:rPr>
              <w:t>Bento</w:t>
            </w:r>
          </w:p>
        </w:tc>
        <w:tc>
          <w:tcPr>
            <w:tcW w:type="dxa" w:w="712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5" w:lineRule="auto"/>
            </w:pPr>
            <w:r>
              <w:rPr>
                <w:b w:val="0"/>
                <w:color w:val="000000"/>
                <w:sz w:val="20"/>
              </w:rPr>
              <w:t>Ursinho de brinquedo para faz de conta, sem confundir com animal real.</w:t>
            </w:r>
          </w:p>
        </w:tc>
        <w:tc>
          <w:tcPr>
            <w:tcW w:type="dxa" w:w="95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5" w:lineRule="auto"/>
            </w:pPr>
            <w:r>
              <w:rPr>
                <w:b w:val="0"/>
                <w:color w:val="000000"/>
                <w:sz w:val="20"/>
              </w:rPr>
              <w:t>E</w:t>
            </w:r>
          </w:p>
        </w:tc>
      </w:tr>
      <w:tr>
        <w:trPr>
          <w:cantSplit/>
        </w:trPr>
        <w:tc>
          <w:tcPr>
            <w:tcW w:type="dxa" w:w="2088"/>
            <w:vAlign w:val="center"/>
            <w:shd w:fill="F1F4F5"/>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5" w:lineRule="auto"/>
            </w:pPr>
            <w:r>
              <w:rPr>
                <w:b w:val="0"/>
                <w:color w:val="000000"/>
                <w:sz w:val="20"/>
              </w:rPr>
              <w:t>Poça, banho e toalha</w:t>
            </w:r>
          </w:p>
        </w:tc>
        <w:tc>
          <w:tcPr>
            <w:tcW w:type="dxa" w:w="7128"/>
            <w:vAlign w:val="center"/>
            <w:shd w:fill="F1F4F5"/>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5" w:lineRule="auto"/>
            </w:pPr>
            <w:r>
              <w:rPr>
                <w:b w:val="0"/>
                <w:color w:val="000000"/>
                <w:sz w:val="20"/>
              </w:rPr>
              <w:t>Água limpa onde toca; sujeira e secagem acompanham o gesto.</w:t>
            </w:r>
          </w:p>
        </w:tc>
        <w:tc>
          <w:tcPr>
            <w:tcW w:type="dxa" w:w="950"/>
            <w:vAlign w:val="center"/>
            <w:shd w:fill="F1F4F5"/>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5" w:lineRule="auto"/>
            </w:pPr>
            <w:r>
              <w:rPr>
                <w:b w:val="0"/>
                <w:color w:val="000000"/>
                <w:sz w:val="20"/>
              </w:rPr>
              <w:t>D</w:t>
            </w:r>
          </w:p>
        </w:tc>
      </w:tr>
      <w:tr>
        <w:trPr>
          <w:cantSplit/>
        </w:trPr>
        <w:tc>
          <w:tcPr>
            <w:tcW w:type="dxa" w:w="208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5" w:lineRule="auto"/>
            </w:pPr>
            <w:r>
              <w:rPr>
                <w:b w:val="0"/>
                <w:color w:val="000000"/>
                <w:sz w:val="20"/>
              </w:rPr>
              <w:t>Alimentos, roupas e descanso</w:t>
            </w:r>
          </w:p>
        </w:tc>
        <w:tc>
          <w:tcPr>
            <w:tcW w:type="dxa" w:w="712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5" w:lineRule="auto"/>
            </w:pPr>
            <w:r>
              <w:rPr>
                <w:b w:val="0"/>
                <w:color w:val="000000"/>
                <w:sz w:val="20"/>
              </w:rPr>
              <w:t>Escolhas simples, alimentação revisada e cuidado sem fome, culpa ou cobrança por ausência.</w:t>
            </w:r>
          </w:p>
        </w:tc>
        <w:tc>
          <w:tcPr>
            <w:tcW w:type="dxa" w:w="95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5" w:lineRule="auto"/>
            </w:pPr>
            <w:r>
              <w:rPr>
                <w:b w:val="0"/>
                <w:color w:val="000000"/>
                <w:sz w:val="20"/>
              </w:rPr>
              <w:t>D</w:t>
            </w:r>
          </w:p>
        </w:tc>
      </w:tr>
      <w:tr>
        <w:trPr>
          <w:cantSplit/>
        </w:trPr>
        <w:tc>
          <w:tcPr>
            <w:tcW w:type="dxa" w:w="2088"/>
            <w:vAlign w:val="center"/>
            <w:shd w:fill="F1F4F5"/>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5" w:lineRule="auto"/>
            </w:pPr>
            <w:r>
              <w:rPr>
                <w:b w:val="0"/>
                <w:color w:val="000000"/>
                <w:sz w:val="20"/>
              </w:rPr>
              <w:t>Percursos, túnel e rampa</w:t>
            </w:r>
          </w:p>
        </w:tc>
        <w:tc>
          <w:tcPr>
            <w:tcW w:type="dxa" w:w="7128"/>
            <w:vAlign w:val="center"/>
            <w:shd w:fill="F1F4F5"/>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5" w:lineRule="auto"/>
            </w:pPr>
            <w:r>
              <w:rPr>
                <w:b w:val="0"/>
                <w:color w:val="000000"/>
                <w:sz w:val="20"/>
              </w:rPr>
              <w:t>Destino tolerante, entradas claras, câmera estável e objetos recuperáveis.</w:t>
            </w:r>
          </w:p>
        </w:tc>
        <w:tc>
          <w:tcPr>
            <w:tcW w:type="dxa" w:w="950"/>
            <w:vAlign w:val="center"/>
            <w:shd w:fill="F1F4F5"/>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5" w:lineRule="auto"/>
            </w:pPr>
            <w:r>
              <w:rPr>
                <w:b w:val="0"/>
                <w:color w:val="000000"/>
                <w:sz w:val="20"/>
              </w:rPr>
              <w:t>D</w:t>
            </w:r>
          </w:p>
        </w:tc>
      </w:tr>
      <w:tr>
        <w:trPr>
          <w:cantSplit/>
        </w:trPr>
        <w:tc>
          <w:tcPr>
            <w:tcW w:type="dxa" w:w="208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5" w:lineRule="auto"/>
            </w:pPr>
            <w:r>
              <w:rPr>
                <w:b w:val="0"/>
                <w:color w:val="000000"/>
                <w:sz w:val="20"/>
              </w:rPr>
              <w:t>Água, barquinho e blocos</w:t>
            </w:r>
          </w:p>
        </w:tc>
        <w:tc>
          <w:tcPr>
            <w:tcW w:type="dxa" w:w="712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5" w:lineRule="auto"/>
            </w:pPr>
            <w:r>
              <w:rPr>
                <w:b w:val="0"/>
                <w:color w:val="000000"/>
                <w:sz w:val="20"/>
              </w:rPr>
              <w:t>Causa e efeito coerente; construção e experimentação sem precisão obrigatória.</w:t>
            </w:r>
          </w:p>
        </w:tc>
        <w:tc>
          <w:tcPr>
            <w:tcW w:type="dxa" w:w="95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5" w:lineRule="auto"/>
            </w:pPr>
            <w:r>
              <w:rPr>
                <w:b w:val="0"/>
                <w:color w:val="000000"/>
                <w:sz w:val="20"/>
              </w:rPr>
              <w:t>D</w:t>
            </w:r>
          </w:p>
        </w:tc>
      </w:tr>
      <w:tr>
        <w:trPr>
          <w:cantSplit/>
        </w:trPr>
        <w:tc>
          <w:tcPr>
            <w:tcW w:type="dxa" w:w="2088"/>
            <w:vAlign w:val="center"/>
            <w:shd w:fill="F1F4F5"/>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5" w:lineRule="auto"/>
            </w:pPr>
            <w:r>
              <w:rPr>
                <w:b w:val="0"/>
                <w:color w:val="000000"/>
                <w:sz w:val="20"/>
              </w:rPr>
              <w:t>Histórias e aprendizagem</w:t>
            </w:r>
          </w:p>
        </w:tc>
        <w:tc>
          <w:tcPr>
            <w:tcW w:type="dxa" w:w="7128"/>
            <w:vAlign w:val="center"/>
            <w:shd w:fill="F1F4F5"/>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5" w:lineRule="auto"/>
            </w:pPr>
            <w:r>
              <w:rPr>
                <w:b w:val="0"/>
                <w:color w:val="000000"/>
                <w:sz w:val="20"/>
              </w:rPr>
              <w:t>Convites opcionais; nomes, cores, tamanhos, pequenas quantidades e espaço durante o brincar.</w:t>
            </w:r>
          </w:p>
        </w:tc>
        <w:tc>
          <w:tcPr>
            <w:tcW w:type="dxa" w:w="950"/>
            <w:vAlign w:val="center"/>
            <w:shd w:fill="F1F4F5"/>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5" w:lineRule="auto"/>
            </w:pPr>
            <w:r>
              <w:rPr>
                <w:b w:val="0"/>
                <w:color w:val="000000"/>
                <w:sz w:val="20"/>
              </w:rPr>
              <w:t>C e D</w:t>
            </w:r>
          </w:p>
        </w:tc>
      </w:tr>
      <w:tr>
        <w:trPr>
          <w:cantSplit/>
        </w:trPr>
        <w:tc>
          <w:tcPr>
            <w:tcW w:type="dxa" w:w="208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5" w:lineRule="auto"/>
            </w:pPr>
            <w:r>
              <w:rPr>
                <w:b w:val="0"/>
                <w:color w:val="000000"/>
                <w:sz w:val="20"/>
              </w:rPr>
              <w:t>Ambientes e tranquilidade</w:t>
            </w:r>
          </w:p>
        </w:tc>
        <w:tc>
          <w:tcPr>
            <w:tcW w:type="dxa" w:w="712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5" w:lineRule="auto"/>
            </w:pPr>
            <w:r>
              <w:rPr>
                <w:b w:val="0"/>
                <w:color w:val="000000"/>
                <w:sz w:val="20"/>
              </w:rPr>
              <w:t>Casa, quintal, campinho, jardim, Casa da Música e cantinho tranquilo conectados por acessos estáveis.</w:t>
            </w:r>
          </w:p>
        </w:tc>
        <w:tc>
          <w:tcPr>
            <w:tcW w:type="dxa" w:w="95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5" w:lineRule="auto"/>
            </w:pPr>
            <w:r>
              <w:rPr>
                <w:b w:val="0"/>
                <w:color w:val="000000"/>
                <w:sz w:val="20"/>
              </w:rPr>
              <w:t>C e D</w:t>
            </w:r>
          </w:p>
        </w:tc>
      </w:tr>
    </w:tbl>
    <w:p/>
    <w:p>
      <w:r>
        <w:br w:type="page"/>
      </w:r>
    </w:p>
    <w:p>
      <w:pPr>
        <w:pStyle w:val="Heading1"/>
      </w:pPr>
      <w:r>
        <w:t>Ordem das entregas</w:t>
      </w:r>
    </w:p>
    <w:p>
      <w:r>
        <w:t>Cada etapa deve terminar com uma versão jogável e uma lista curta de evidências e pendências. Uma dificuldade de arte deve ser registrada e resolvida antes de multiplicar o mesmo defeito. As letras abaixo organizam a produção, sem prometer prazo ou cota fixa.</w:t>
      </w:r>
    </w:p>
    <w:p>
      <w:pPr>
        <w:pStyle w:val="Heading2"/>
      </w:pPr>
      <w:r>
        <w:t>A   Pippo convincente ao toque</w:t>
      </w:r>
    </w:p>
    <w:p>
      <w:r>
        <w:t>Prioridade imediata: caminhada refinada para esquerda e direita, destino pelo chão e carinho na cabeça e barriga. Depois, completar a biblioteca inicial de expressões e gestos sociais. Aceite: identidade preservada, apoio legível, interrupções coerentes e ações principais acessíveis no cenário. Não anunciar esta etapa como concluída com o atlas atual.</w:t>
      </w:r>
    </w:p>
    <w:p>
      <w:pPr>
        <w:pStyle w:val="Heading2"/>
      </w:pPr>
      <w:r>
        <w:t>B   A primeira troca musical</w:t>
      </w:r>
    </w:p>
    <w:p>
      <w:r>
        <w:t>Produzir tambor, teclado de oito notas e alternância com Pippo. O som do instrumento responde ao toque sem esperar a animação; a resposta de Pippo acontece na pausa e cede à criança. Melhorar o passe de bola e seu contato. Aceite: timbres e notas verificados, repetição sem fila e uma brincadeira completa que possa ser retomada.</w:t>
      </w:r>
    </w:p>
    <w:p>
      <w:pPr>
        <w:pStyle w:val="Heading2"/>
      </w:pPr>
      <w:r>
        <w:t>C   Um pequeno mundo conectado</w:t>
      </w:r>
    </w:p>
    <w:p>
      <w:r>
        <w:t>Ligar quintal, jardim e espaço musical; regar uma flor e encontrar os amigos previstos para o primeiro trecho. Distribuir apresentações curtas, vocalizações revisadas e pequenos convites entre as atividades. Aceite: sair de uma atividade não bloqueia outra; consequências visíveis são coerentes e permanecem na sessão.</w:t>
      </w:r>
    </w:p>
    <w:p>
      <w:pPr>
        <w:pStyle w:val="Heading2"/>
      </w:pPr>
      <w:r>
        <w:t>D   Ampliar o conteúdo preservado</w:t>
      </w:r>
    </w:p>
    <w:p>
      <w:r>
        <w:t>Completar ambientes, amigos, cuidados, basquete, percursos, água, barquinho, blocos, instrumentos adicionais, asas, voo, natação e ângulos necessários. Cada item entra quando seus recursos e sua interação passam pela mesma régua de qualidade. O primeiro lançamento exige revisar o escopo completo da especificação; não será inferido pela conclusão de A, B ou C.</w:t>
      </w:r>
    </w:p>
    <w:p>
      <w:pPr>
        <w:pStyle w:val="Heading2"/>
      </w:pPr>
      <w:r>
        <w:t>E   Expansões após a base funcionar</w:t>
      </w:r>
    </w:p>
    <w:p>
      <w:r>
        <w:t>Bento e conteúdos adicionais entram após revisão do núcleo. Eco de voz poderá ser estudado com ativação pelo responsável e política explícita de processamento. Inglês e outros idiomas exigem textos e áudio revisados. Conversa aberta com IA, microfone obrigatório, multiplayer e loja infantil permanecem fora do lançamento previsto.</w:t>
      </w:r>
    </w:p>
    <w:p>
      <w:pPr>
        <w:pStyle w:val="Heading2"/>
      </w:pPr>
      <w:r>
        <w:t>Situação real de partida</w:t>
      </w:r>
    </w:p>
    <w:p>
      <w:r>
        <w:t>Prévia publicada v4: recorte em 2,5D, piscada, olhar limitado, carinho por inclinação, estudos de passinhos, salto e agachamento, suavização de bordas, sombras e bola com ida e volta. A bola retorna por trajetória programada; não há chute animado. Ainda faltam caminhada com deslocamento, atuação por região, instrumentos, áudio, amigos, mundo conectado, offline e teste físico no iPhone.</w:t>
      </w:r>
    </w:p>
    <w:p>
      <w:r>
        <w:br w:type="page"/>
      </w:r>
    </w:p>
    <w:p>
      <w:pPr>
        <w:pStyle w:val="Heading1"/>
      </w:pPr>
      <w:r>
        <w:t>Qualidade e controle de produção</w:t>
      </w:r>
    </w:p>
    <w:p>
      <w:r>
        <w:t>Premium será um padrão de acabamento aplicado a cada entrega. Compilação, existência de um botão ou imagem bonita não comprovam uma brincadeira pronta. Os critérios abaixo são metas de aceite; os resultados precisam ser registrados por versão.</w:t>
      </w:r>
    </w:p>
    <w:tbl>
      <w:tblPr>
        <w:tblW w:type="auto" w:w="0"/>
        <w:jc w:val="center"/>
        <w:tblLayout w:type="fixed"/>
        <w:tblLook w:firstColumn="1" w:firstRow="1" w:lastColumn="0" w:lastRow="0" w:noHBand="0" w:noVBand="1" w:val="04A0"/>
      </w:tblPr>
      <w:tblGrid>
        <w:gridCol w:w="1800"/>
        <w:gridCol w:w="8366"/>
      </w:tblGrid>
      <w:tr>
        <w:trPr>
          <w:tblHeader/>
          <w:cantSplit/>
        </w:trPr>
        <w:tc>
          <w:tcPr>
            <w:tcW w:type="dxa" w:w="1800"/>
            <w:vAlign w:val="center"/>
            <w:shd w:fill="253C4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5" w:lineRule="auto"/>
            </w:pPr>
            <w:r>
              <w:rPr>
                <w:b/>
                <w:color w:val="FFFFFF"/>
                <w:sz w:val="20"/>
              </w:rPr>
              <w:t>Área</w:t>
            </w:r>
          </w:p>
        </w:tc>
        <w:tc>
          <w:tcPr>
            <w:tcW w:type="dxa" w:w="8366"/>
            <w:vAlign w:val="center"/>
            <w:shd w:fill="253C4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5" w:lineRule="auto"/>
            </w:pPr>
            <w:r>
              <w:rPr>
                <w:b/>
                <w:color w:val="FFFFFF"/>
                <w:sz w:val="20"/>
              </w:rPr>
              <w:t>Evidência exigida</w:t>
            </w:r>
          </w:p>
        </w:tc>
      </w:tr>
      <w:tr>
        <w:trPr>
          <w:cantSplit/>
        </w:trPr>
        <w:tc>
          <w:tcPr>
            <w:tcW w:type="dxa" w:w="1800"/>
            <w:vAlign w:val="center"/>
            <w:shd w:fill="F1F4F5"/>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5" w:lineRule="auto"/>
            </w:pPr>
            <w:r>
              <w:rPr>
                <w:b w:val="0"/>
                <w:color w:val="000000"/>
                <w:sz w:val="20"/>
              </w:rPr>
              <w:t>Fidelidade</w:t>
            </w:r>
          </w:p>
        </w:tc>
        <w:tc>
          <w:tcPr>
            <w:tcW w:type="dxa" w:w="8366"/>
            <w:vAlign w:val="center"/>
            <w:shd w:fill="F1F4F5"/>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5" w:lineRule="auto"/>
            </w:pPr>
            <w:r>
              <w:rPr>
                <w:b w:val="0"/>
                <w:color w:val="000000"/>
                <w:sz w:val="20"/>
              </w:rPr>
              <w:t>Comparação com referência aprovada em tamanho de jogo; olhos, bico, topete, cor e proporções consistentes.</w:t>
            </w:r>
          </w:p>
        </w:tc>
      </w:tr>
      <w:tr>
        <w:trPr>
          <w:cantSplit/>
        </w:trPr>
        <w:tc>
          <w:tcPr>
            <w:tcW w:type="dxa" w:w="180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5" w:lineRule="auto"/>
            </w:pPr>
            <w:r>
              <w:rPr>
                <w:b w:val="0"/>
                <w:color w:val="000000"/>
                <w:sz w:val="20"/>
              </w:rPr>
              <w:t>Animação</w:t>
            </w:r>
          </w:p>
        </w:tc>
        <w:tc>
          <w:tcPr>
            <w:tcW w:type="dxa" w:w="836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5" w:lineRule="auto"/>
            </w:pPr>
            <w:r>
              <w:rPr>
                <w:b w:val="0"/>
                <w:color w:val="000000"/>
                <w:sz w:val="20"/>
              </w:rPr>
              <w:t>Caminhada sem deslize perceptível, preparação e pouso legíveis; troca de ação sem teletransporte ou deformação.</w:t>
            </w:r>
          </w:p>
        </w:tc>
      </w:tr>
      <w:tr>
        <w:trPr>
          <w:cantSplit/>
        </w:trPr>
        <w:tc>
          <w:tcPr>
            <w:tcW w:type="dxa" w:w="1800"/>
            <w:vAlign w:val="center"/>
            <w:shd w:fill="F1F4F5"/>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5" w:lineRule="auto"/>
            </w:pPr>
            <w:r>
              <w:rPr>
                <w:b w:val="0"/>
                <w:color w:val="000000"/>
                <w:sz w:val="20"/>
              </w:rPr>
              <w:t>Toque</w:t>
            </w:r>
          </w:p>
        </w:tc>
        <w:tc>
          <w:tcPr>
            <w:tcW w:type="dxa" w:w="8366"/>
            <w:vAlign w:val="center"/>
            <w:shd w:fill="F1F4F5"/>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5" w:lineRule="auto"/>
            </w:pPr>
            <w:r>
              <w:rPr>
                <w:b w:val="0"/>
                <w:color w:val="000000"/>
                <w:sz w:val="20"/>
              </w:rPr>
              <w:t>Toda ação essencial funciona sem arrastar, leitura ou rapidez. Toques repetidos não acumulam filas.</w:t>
            </w:r>
          </w:p>
        </w:tc>
      </w:tr>
      <w:tr>
        <w:trPr>
          <w:cantSplit/>
        </w:trPr>
        <w:tc>
          <w:tcPr>
            <w:tcW w:type="dxa" w:w="180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5" w:lineRule="auto"/>
            </w:pPr>
            <w:r>
              <w:rPr>
                <w:b w:val="0"/>
                <w:color w:val="000000"/>
                <w:sz w:val="20"/>
              </w:rPr>
              <w:t>Áudio</w:t>
            </w:r>
          </w:p>
        </w:tc>
        <w:tc>
          <w:tcPr>
            <w:tcW w:type="dxa" w:w="836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5" w:lineRule="auto"/>
            </w:pPr>
            <w:r>
              <w:rPr>
                <w:b w:val="0"/>
                <w:color w:val="000000"/>
                <w:sz w:val="20"/>
              </w:rPr>
              <w:t>Cada tecla e peça tem som próprio; animal correto; voz não encobre som em destaque; volumes revisados.</w:t>
            </w:r>
          </w:p>
        </w:tc>
      </w:tr>
      <w:tr>
        <w:trPr>
          <w:cantSplit/>
        </w:trPr>
        <w:tc>
          <w:tcPr>
            <w:tcW w:type="dxa" w:w="1800"/>
            <w:vAlign w:val="center"/>
            <w:shd w:fill="F1F4F5"/>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5" w:lineRule="auto"/>
            </w:pPr>
            <w:r>
              <w:rPr>
                <w:b w:val="0"/>
                <w:color w:val="000000"/>
                <w:sz w:val="20"/>
              </w:rPr>
              <w:t>Desempenho</w:t>
            </w:r>
          </w:p>
        </w:tc>
        <w:tc>
          <w:tcPr>
            <w:tcW w:type="dxa" w:w="8366"/>
            <w:vAlign w:val="center"/>
            <w:shd w:fill="F1F4F5"/>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5" w:lineRule="auto"/>
            </w:pPr>
            <w:r>
              <w:rPr>
                <w:b w:val="0"/>
                <w:color w:val="000000"/>
                <w:sz w:val="20"/>
              </w:rPr>
              <w:t>Medir no aparelho mínimo escolhido: alvo de ao menos 30 quadros por segundo e resposta visual até 100 ms na maioria dos toques. Ainda não comprovados.</w:t>
            </w:r>
          </w:p>
        </w:tc>
      </w:tr>
      <w:tr>
        <w:trPr>
          <w:cantSplit/>
        </w:trPr>
        <w:tc>
          <w:tcPr>
            <w:tcW w:type="dxa" w:w="180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5" w:lineRule="auto"/>
            </w:pPr>
            <w:r>
              <w:rPr>
                <w:b w:val="0"/>
                <w:color w:val="000000"/>
                <w:sz w:val="20"/>
              </w:rPr>
              <w:t>Recuperação</w:t>
            </w:r>
          </w:p>
        </w:tc>
        <w:tc>
          <w:tcPr>
            <w:tcW w:type="dxa" w:w="836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5" w:lineRule="auto"/>
            </w:pPr>
            <w:r>
              <w:rPr>
                <w:b w:val="0"/>
                <w:color w:val="000000"/>
                <w:sz w:val="20"/>
              </w:rPr>
              <w:t>Pausa, bloqueio, aba oculta, interrupção e retorno preservam uma situação coerente, sem fila antiga.</w:t>
            </w:r>
          </w:p>
        </w:tc>
      </w:tr>
      <w:tr>
        <w:trPr>
          <w:cantSplit/>
        </w:trPr>
        <w:tc>
          <w:tcPr>
            <w:tcW w:type="dxa" w:w="1800"/>
            <w:vAlign w:val="center"/>
            <w:shd w:fill="F1F4F5"/>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5" w:lineRule="auto"/>
            </w:pPr>
            <w:r>
              <w:rPr>
                <w:b w:val="0"/>
                <w:color w:val="000000"/>
                <w:sz w:val="20"/>
              </w:rPr>
              <w:t>Offline e acesso adulto</w:t>
            </w:r>
          </w:p>
        </w:tc>
        <w:tc>
          <w:tcPr>
            <w:tcW w:type="dxa" w:w="8366"/>
            <w:vAlign w:val="center"/>
            <w:shd w:fill="F1F4F5"/>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5" w:lineRule="auto"/>
            </w:pPr>
            <w:r>
              <w:rPr>
                <w:b w:val="0"/>
                <w:color w:val="000000"/>
                <w:sz w:val="20"/>
              </w:rPr>
              <w:t>Validar download completo, falta de espaço, recurso ausente e abertura sem conexão antes de anunciar offline. Ajustes fora da brincadeira.</w:t>
            </w:r>
          </w:p>
        </w:tc>
      </w:tr>
      <w:tr>
        <w:trPr>
          <w:cantSplit/>
        </w:trPr>
        <w:tc>
          <w:tcPr>
            <w:tcW w:type="dxa" w:w="180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5" w:lineRule="auto"/>
            </w:pPr>
            <w:r>
              <w:rPr>
                <w:b w:val="0"/>
                <w:color w:val="000000"/>
                <w:sz w:val="20"/>
              </w:rPr>
              <w:t>Uso com famílias</w:t>
            </w:r>
          </w:p>
        </w:tc>
        <w:tc>
          <w:tcPr>
            <w:tcW w:type="dxa" w:w="836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5" w:lineRule="auto"/>
            </w:pPr>
            <w:r>
              <w:rPr>
                <w:b w:val="0"/>
                <w:color w:val="000000"/>
                <w:sz w:val="20"/>
              </w:rPr>
              <w:t>Observar compreensão e conforto com responsável; registrar problemas e revisões, sem alegar benefício de desenvolvimento não demonstrado.</w:t>
            </w:r>
          </w:p>
        </w:tc>
      </w:tr>
    </w:tbl>
    <w:p/>
    <w:p>
      <w:pPr>
        <w:pStyle w:val="Heading2"/>
      </w:pPr>
      <w:r>
        <w:t>Preservar a cota e o orçamento</w:t>
      </w:r>
    </w:p>
    <w:p>
      <w:r>
        <w:t>Reutilizar arte aprovada e manter uma ficha fixa de identidade. Antes de gerar, definir ação, ângulo, quadros necessários e critérios de aceite. Gerar apenas o lote que resolve a próxima atividade. Avaliar esse lote no tamanho do jogo antes de pedir mais variações. Evitar regenerar cenários ou personagens já aprovados.</w:t>
      </w:r>
    </w:p>
    <w:p>
      <w:r>
        <w:t>Usar programação para estado, toque, trajetória, sombra e transições compatíveis com os recursos. Arte ausente continua como pendência: não deformar um recorte para fingir uma atuação concluída. Testes essenciais permanecem; repetições sem mudança ou dúvida nova são evitadas.</w:t>
      </w:r>
    </w:p>
    <w:p>
      <w:r>
        <w:t>Produção atual sem contratação de serviço pago ou API por sessão. Não há estimativa confiável da cota restante. Novos custos e compromissos comerciais exigem decisão específica; receitas ou vendas não estão projetadas neste documento.</w:t>
      </w:r>
    </w:p>
    <w:p>
      <w:r>
        <w:br w:type="page"/>
      </w:r>
    </w:p>
    <w:p>
      <w:pPr>
        <w:pStyle w:val="Heading1"/>
      </w:pPr>
      <w:r>
        <w:t>Decisões e continuidade</w:t>
      </w:r>
    </w:p>
    <w:p>
      <w:pPr>
        <w:pStyle w:val="Heading2"/>
      </w:pPr>
      <w:r>
        <w:t>Como este adendo se relaciona com os documentos anteriores</w:t>
      </w:r>
    </w:p>
    <w:p>
      <w:r>
        <w:t>Fontes preservadas: 01_CHAT_Guia_de_Decisoes_Mundo_Pippo.docx, 02_WORK_CODEX_Especificacao_Mundo_Pippo.docx e 03_WORK_CODEX_Prompt_de_Execucao_Mundo_Pippo.docx, versão 1.1. A cópia 02_WORK_CODEX_Especificacao_Mundo_Pippo(1).docx também foi consultada. Não foram sobrescritas nesta entrega.</w:t>
      </w:r>
    </w:p>
    <w:p>
      <w:r>
        <w:t>Os documentos antigos pedem personagens 3D. A decisão posterior do usuário autorizou o caminho em 2,5D para preservar identidade e viabilizar a produção. Esse caminho orienta a prévia atual; requisitos de gestos, ângulos, contato e exploração permanecem. Qualquer limitação concreta deve ser registrada, sem declarar rotação livre ou 3D completo.</w:t>
      </w:r>
    </w:p>
    <w:p>
      <w:r>
        <w:t>R01 a R15 permanecem: modo livre; Pippo companheiro e voz; nomes e espécies; vocalizações naturais; instrumentos próprios; toque simples; troca livre; aprendizagem contextual; pausa e ajustes; ausência de cobrança; offline verificável; privacidade e licenças; marca configurável; localização coerente; português revisado. Este resumo não substitui a matriz técnica detalhada de aceite.</w:t>
      </w:r>
    </w:p>
    <w:p>
      <w:pPr>
        <w:pStyle w:val="Heading2"/>
      </w:pPr>
      <w:r>
        <w:t>Registro desta direção</w:t>
      </w:r>
    </w:p>
    <w:p>
      <w:r>
        <w:t>Data: 27/10/2026. Pedido: documentar estratégia e diferencial, melhorar a execução e preservar ideias anteriores. Direção registrada: atuação convincente ao toque, reciprocidade musical e continuidade do quintal. Impacto: produção por etapas A a E e novos critérios de qualidade. Não altera público, coleta de dados ou modelo comercial. A hipótese de vantagem competitiva ainda precisa de teste.</w:t>
      </w:r>
    </w:p>
    <w:p>
      <w:r>
        <w:t>Manter nomes comerciais como provisórios; a pesquisa anterior registrou uso de Pippo no segmento infantil. Não afirmar disponibilidade de marca. Preservar núcleo sem microfone, câmera, anúncios, rastreadores comerciais, cadastro infantil ou conversa aberta com IA. Funcionamento offline e futuros idiomas continuam pendentes de validação.</w:t>
      </w:r>
    </w:p>
    <w:p>
      <w:pPr>
        <w:pStyle w:val="Heading2"/>
      </w:pPr>
      <w:r>
        <w:t>Instrução para a próxima execução</w:t>
      </w:r>
    </w:p>
    <w:p>
      <w:r>
        <w:t>Retomar a etapa A a partir da prévia v4 e desta estratégia. Preservar os assets aprovados; produzir o menor conjunto necessário para caminhada nos dois sentidos e carinho convincente. Executar a interação no cenário, testar interrupções e apresentar versão real. Relatar exatamente o que mudou, o que foi verificado e o que depende de nova arte. Não reabrir a estratégia inteira a cada tarefa.</w:t>
      </w:r>
    </w:p>
    <w:p>
      <w:pPr>
        <w:pStyle w:val="Heading2"/>
      </w:pPr>
      <w:r>
        <w:t>Referências de mercado consultadas nesta conversa</w:t>
      </w:r>
    </w:p>
    <w:p>
      <w:pPr>
        <w:spacing w:after="80"/>
      </w:pPr>
      <w:r>
        <w:rPr>
          <w:sz w:val="18"/>
        </w:rPr>
        <w:t>[1] Outfit7. My Talking Tom 2 Reworks Its Backyard Into a Playable World. Comunicado de 04/06/2026. globenewswire.com/news-release/2026/06/04/3306674/0/en/my-talking-tom-2-reworks-its-backyard-into-a-playable-world.html</w:t>
      </w:r>
    </w:p>
    <w:p>
      <w:pPr>
        <w:spacing w:after="80"/>
      </w:pPr>
      <w:r>
        <w:rPr>
          <w:sz w:val="18"/>
        </w:rPr>
        <w:t>[2] My Talking Tom 2. Gameplay. https://mytalkingtom2.com/gameplay</w:t>
      </w:r>
    </w:p>
    <w:p>
      <w:pPr>
        <w:spacing w:after="80"/>
      </w:pPr>
      <w:r>
        <w:rPr>
          <w:sz w:val="18"/>
        </w:rPr>
        <w:t>[3] Minha Talking Angela 2. Jogabilidade. https://mytalkingangela2.com/pt/gameplay</w:t>
      </w:r>
    </w:p>
    <w:p>
      <w:pPr>
        <w:spacing w:after="80"/>
      </w:pPr>
      <w:r>
        <w:rPr>
          <w:sz w:val="18"/>
        </w:rPr>
        <w:t>[4] Toca Boca. Introducing Character Movements. https://tocaboca.helpshift.com/hc/en/3-toca-boca-world/faq/253-introducing-character-movements/</w:t>
      </w:r>
    </w:p>
    <w:p>
      <w:pPr>
        <w:spacing w:after="80"/>
      </w:pPr>
      <w:r>
        <w:rPr>
          <w:sz w:val="18"/>
        </w:rPr>
        <w:t>[5] Sago Mini. World. https://sagomini.com/world/</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Estratégia v1.0   •   27 de outubro de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color w:val="000000"/>
        <w:sz w:val="16"/>
      </w:rPr>
      <w:t>MUNDO PIPPO   /   DIREÇÃO DE PRODUTO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40"/>
      <w:outlineLvl w:val="0"/>
    </w:pPr>
    <w:rPr>
      <w:rFonts w:asciiTheme="majorHAnsi" w:eastAsiaTheme="majorEastAsia" w:hAnsiTheme="majorHAnsi" w:cstheme="majorBidi" w:ascii="Calibri" w:hAnsi="Calibri"/>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180" w:after="14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contextualSpacing/>
    </w:pPr>
    <w:rPr>
      <w:rFonts w:asciiTheme="majorHAnsi" w:eastAsiaTheme="majorEastAsia" w:hAnsiTheme="majorHAnsi" w:cstheme="majorBidi" w:ascii="Calibri" w:hAnsi="Calibr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Estratégia e diferenciação do Mundo Pippo</dc:title>
  <dc:subject>Diferencial de produto, ideias preservadas e critérios de qualidade</dc:subject>
  <dc:creator>Projeto Mundo Pippo</dc:creator>
  <cp:keywords/>
  <dc:description>generated by python-docx</dc:description>
  <cp:lastModifiedBy/>
  <cp:revision>1</cp:revision>
  <dcterms:created xsi:type="dcterms:W3CDTF">2013-12-23T23:15:00Z</dcterms:created>
  <dcterms:modified xsi:type="dcterms:W3CDTF">2013-12-23T23:15:00Z</dcterms:modified>
  <cp:category/>
</cp:coreProperties>
</file>