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4E7" w:rsidRDefault="00D647DF" w:rsidP="00D647DF">
      <w:pPr>
        <w:jc w:val="center"/>
        <w:rPr>
          <w:rFonts w:ascii="Helvetica" w:hAnsi="Helvetica"/>
          <w:b/>
          <w:sz w:val="28"/>
          <w:szCs w:val="28"/>
        </w:rPr>
      </w:pPr>
      <w:r w:rsidRPr="00D647DF">
        <w:rPr>
          <w:rFonts w:ascii="Helvetica" w:hAnsi="Helvetica"/>
          <w:b/>
          <w:sz w:val="28"/>
          <w:szCs w:val="28"/>
        </w:rPr>
        <w:t>Comprehensive concept to commissioning report on electric bus operations</w:t>
      </w:r>
    </w:p>
    <w:p w:rsidR="006C211A" w:rsidRDefault="006C211A" w:rsidP="00D647DF">
      <w:pPr>
        <w:jc w:val="center"/>
        <w:rPr>
          <w:rFonts w:ascii="Helvetica" w:hAnsi="Helvetica"/>
          <w:b/>
          <w:sz w:val="28"/>
          <w:szCs w:val="28"/>
        </w:rPr>
      </w:pPr>
    </w:p>
    <w:p w:rsidR="006C211A" w:rsidRDefault="003E2880" w:rsidP="006C211A">
      <w:pPr>
        <w:rPr>
          <w:rFonts w:ascii="Helvetica" w:hAnsi="Helvetica"/>
          <w:sz w:val="28"/>
          <w:szCs w:val="28"/>
        </w:rPr>
      </w:pPr>
      <w:r>
        <w:rPr>
          <w:rFonts w:ascii="Helvetica" w:hAnsi="Helvetica"/>
          <w:sz w:val="28"/>
          <w:szCs w:val="28"/>
        </w:rPr>
        <w:t>Abstract</w:t>
      </w:r>
    </w:p>
    <w:p w:rsidR="003E2880" w:rsidRDefault="003E2880" w:rsidP="006C211A">
      <w:pPr>
        <w:rPr>
          <w:rFonts w:ascii="Helvetica" w:hAnsi="Helvetica"/>
          <w:sz w:val="28"/>
          <w:szCs w:val="28"/>
        </w:rPr>
      </w:pPr>
    </w:p>
    <w:p w:rsidR="003E2880" w:rsidRPr="006C211A" w:rsidRDefault="003E2880" w:rsidP="006C211A">
      <w:pPr>
        <w:rPr>
          <w:rFonts w:ascii="Helvetica" w:hAnsi="Helvetica"/>
          <w:sz w:val="28"/>
          <w:szCs w:val="28"/>
        </w:rPr>
      </w:pPr>
      <w:r>
        <w:rPr>
          <w:rFonts w:ascii="Helvetica" w:hAnsi="Helvetica"/>
          <w:sz w:val="28"/>
          <w:szCs w:val="28"/>
        </w:rPr>
        <w:t>Introduction</w:t>
      </w:r>
    </w:p>
    <w:p w:rsidR="00D647DF" w:rsidRDefault="00D647DF" w:rsidP="00D647DF">
      <w:pPr>
        <w:rPr>
          <w:rFonts w:ascii="Helvetica" w:hAnsi="Helvetica"/>
          <w:b/>
          <w:sz w:val="28"/>
          <w:szCs w:val="28"/>
        </w:rPr>
      </w:pPr>
    </w:p>
    <w:p w:rsidR="005424A9" w:rsidRDefault="005424A9" w:rsidP="00D647DF">
      <w:pPr>
        <w:rPr>
          <w:rFonts w:ascii="Helvetica" w:hAnsi="Helvetica"/>
          <w:b/>
          <w:sz w:val="28"/>
          <w:szCs w:val="28"/>
        </w:rPr>
      </w:pPr>
    </w:p>
    <w:p w:rsidR="005424A9" w:rsidRDefault="005424A9" w:rsidP="005424A9">
      <w:pPr>
        <w:pStyle w:val="Default"/>
        <w:rPr>
          <w:sz w:val="22"/>
          <w:szCs w:val="22"/>
        </w:rPr>
      </w:pPr>
      <w:r>
        <w:rPr>
          <w:b/>
          <w:bCs/>
          <w:sz w:val="22"/>
          <w:szCs w:val="22"/>
        </w:rPr>
        <w:t xml:space="preserve">B. Battery Electric Vehicles (BEVs) </w:t>
      </w:r>
    </w:p>
    <w:p w:rsidR="005424A9" w:rsidRDefault="005424A9" w:rsidP="005424A9">
      <w:pPr>
        <w:rPr>
          <w:sz w:val="20"/>
          <w:szCs w:val="20"/>
        </w:rPr>
      </w:pPr>
      <w:r>
        <w:rPr>
          <w:sz w:val="20"/>
          <w:szCs w:val="20"/>
        </w:rPr>
        <w:t>Various types of electric buses have been demonstrated globally. The Trolleybus is a type of electric bus powered by overhead electric lines. The “</w:t>
      </w:r>
      <w:proofErr w:type="spellStart"/>
      <w:r>
        <w:rPr>
          <w:sz w:val="20"/>
          <w:szCs w:val="20"/>
        </w:rPr>
        <w:t>Gapbus</w:t>
      </w:r>
      <w:proofErr w:type="spellEnd"/>
      <w:r>
        <w:rPr>
          <w:sz w:val="20"/>
          <w:szCs w:val="20"/>
        </w:rPr>
        <w:t xml:space="preserve">” (another electric bus) is powered by electric lines embedded underground (Wikipedia 2015). This report considers BE buses for analysis. Figure </w:t>
      </w:r>
      <w:r>
        <w:t xml:space="preserve">2.7 </w:t>
      </w:r>
      <w:r>
        <w:rPr>
          <w:sz w:val="20"/>
          <w:szCs w:val="20"/>
        </w:rPr>
        <w:t>provides the schematic of power generation and transmission in BE buses. In a BE bus, the on-board battery provides the entire energy needed for bus operations. Unlike hybrid buses, BE buses have only one energy source in the form of battery and a single energy transmission path. The motor/generator is also used to recharge the battery during deceleration and braking. The battery size and type must be selected to meet the range and power requirements of these buses. BE bus batteries are typically larger than the batteries used in hybrid buses. Therefore, the energy efficiency of the vehicle is very high. With use of clean renewable sources such as solar and wind energy, BE buses would emit minimal quantities of GHGs. Prototypes with on-roof solar Photovoltaic (PV) panels have been attempted; however, the total energy provided by these panels is insufficient to fully charge the battery (Wikipedia 2015).</w:t>
      </w:r>
    </w:p>
    <w:p w:rsidR="005424A9" w:rsidRDefault="005424A9" w:rsidP="005424A9">
      <w:pPr>
        <w:rPr>
          <w:sz w:val="20"/>
          <w:szCs w:val="20"/>
        </w:rPr>
      </w:pPr>
    </w:p>
    <w:p w:rsidR="005424A9" w:rsidRDefault="005424A9" w:rsidP="005424A9">
      <w:pPr>
        <w:rPr>
          <w:rFonts w:ascii="Helvetica" w:hAnsi="Helvetica"/>
          <w:b/>
          <w:sz w:val="28"/>
          <w:szCs w:val="28"/>
        </w:rPr>
      </w:pPr>
      <w:r>
        <w:rPr>
          <w:rFonts w:ascii="Helvetica" w:hAnsi="Helvetica"/>
          <w:b/>
          <w:noProof/>
          <w:sz w:val="28"/>
          <w:szCs w:val="28"/>
        </w:rPr>
        <w:lastRenderedPageBreak/>
        <w:drawing>
          <wp:inline distT="0" distB="0" distL="0" distR="0">
            <wp:extent cx="5943600" cy="3298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98602"/>
                    </a:xfrm>
                    <a:prstGeom prst="rect">
                      <a:avLst/>
                    </a:prstGeom>
                    <a:noFill/>
                    <a:ln>
                      <a:noFill/>
                    </a:ln>
                  </pic:spPr>
                </pic:pic>
              </a:graphicData>
            </a:graphic>
          </wp:inline>
        </w:drawing>
      </w:r>
    </w:p>
    <w:p w:rsidR="005424A9" w:rsidRPr="005424A9" w:rsidRDefault="005424A9" w:rsidP="005424A9">
      <w:pPr>
        <w:rPr>
          <w:rFonts w:ascii="Helvetica" w:hAnsi="Helvetica"/>
          <w:sz w:val="28"/>
          <w:szCs w:val="28"/>
        </w:rPr>
      </w:pPr>
    </w:p>
    <w:p w:rsidR="005424A9" w:rsidRDefault="005424A9" w:rsidP="005424A9">
      <w:pPr>
        <w:rPr>
          <w:rFonts w:ascii="Helvetica" w:hAnsi="Helvetica"/>
          <w:sz w:val="28"/>
          <w:szCs w:val="28"/>
        </w:rPr>
      </w:pPr>
    </w:p>
    <w:p w:rsidR="005424A9" w:rsidRDefault="005424A9" w:rsidP="005424A9">
      <w:pPr>
        <w:pStyle w:val="Default"/>
        <w:rPr>
          <w:sz w:val="20"/>
          <w:szCs w:val="20"/>
        </w:rPr>
      </w:pPr>
      <w:r>
        <w:rPr>
          <w:sz w:val="20"/>
          <w:szCs w:val="20"/>
        </w:rPr>
        <w:t xml:space="preserve">Application of BE buses: city-drive conditions. </w:t>
      </w:r>
    </w:p>
    <w:p w:rsidR="005424A9" w:rsidRDefault="005424A9" w:rsidP="005424A9">
      <w:pPr>
        <w:pStyle w:val="Default"/>
        <w:rPr>
          <w:sz w:val="20"/>
          <w:szCs w:val="20"/>
        </w:rPr>
      </w:pPr>
      <w:r>
        <w:rPr>
          <w:sz w:val="20"/>
          <w:szCs w:val="20"/>
        </w:rPr>
        <w:t xml:space="preserve">The current generation of BEVs has a lower range (distance covered in-between charges) due to battery limitations. After the predetermined range is covered, BEVs cannot be refueled in minutes like conventional vehicles; this leads to range anxiety issues. The current charging time is about 5 h for typical BEVs. This limits its long-range transport applications. Therefore, </w:t>
      </w:r>
      <w:proofErr w:type="gramStart"/>
      <w:r>
        <w:rPr>
          <w:sz w:val="20"/>
          <w:szCs w:val="20"/>
        </w:rPr>
        <w:t>BE</w:t>
      </w:r>
      <w:proofErr w:type="gramEnd"/>
      <w:r>
        <w:rPr>
          <w:sz w:val="20"/>
          <w:szCs w:val="20"/>
        </w:rPr>
        <w:t xml:space="preserve"> buses have better utility in city-drive conditions. State-of-the-art LIBs require significant improvement in relation to energy density to meet the light-weighting aspects of EVs. Moreover, the battery is the biggest component of the total cost of these vehicles.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6"/>
        <w:gridCol w:w="3346"/>
      </w:tblGrid>
      <w:tr w:rsidR="005424A9" w:rsidTr="005424A9">
        <w:trPr>
          <w:trHeight w:val="110"/>
        </w:trPr>
        <w:tc>
          <w:tcPr>
            <w:tcW w:w="3346" w:type="dxa"/>
          </w:tcPr>
          <w:p w:rsidR="005424A9" w:rsidRDefault="005424A9">
            <w:pPr>
              <w:pStyle w:val="Default"/>
              <w:rPr>
                <w:sz w:val="22"/>
                <w:szCs w:val="22"/>
              </w:rPr>
            </w:pPr>
            <w:r>
              <w:rPr>
                <w:b/>
                <w:bCs/>
                <w:sz w:val="18"/>
                <w:szCs w:val="18"/>
              </w:rPr>
              <w:t xml:space="preserve">Table 2.7 Advantages and disadvantages a of BEV </w:t>
            </w:r>
            <w:r>
              <w:rPr>
                <w:b/>
                <w:bCs/>
                <w:sz w:val="22"/>
                <w:szCs w:val="22"/>
              </w:rPr>
              <w:t xml:space="preserve">Advantages </w:t>
            </w:r>
          </w:p>
        </w:tc>
        <w:tc>
          <w:tcPr>
            <w:tcW w:w="3346" w:type="dxa"/>
          </w:tcPr>
          <w:p w:rsidR="005424A9" w:rsidRDefault="005424A9">
            <w:pPr>
              <w:pStyle w:val="Default"/>
              <w:rPr>
                <w:sz w:val="22"/>
                <w:szCs w:val="22"/>
              </w:rPr>
            </w:pPr>
            <w:r>
              <w:rPr>
                <w:b/>
                <w:bCs/>
                <w:sz w:val="22"/>
                <w:szCs w:val="22"/>
              </w:rPr>
              <w:t xml:space="preserve">Disadvantages </w:t>
            </w:r>
          </w:p>
        </w:tc>
      </w:tr>
      <w:tr w:rsidR="005424A9" w:rsidTr="005424A9">
        <w:trPr>
          <w:trHeight w:val="99"/>
        </w:trPr>
        <w:tc>
          <w:tcPr>
            <w:tcW w:w="3346" w:type="dxa"/>
          </w:tcPr>
          <w:p w:rsidR="005424A9" w:rsidRDefault="005424A9">
            <w:pPr>
              <w:pStyle w:val="Default"/>
              <w:rPr>
                <w:sz w:val="20"/>
                <w:szCs w:val="20"/>
              </w:rPr>
            </w:pPr>
            <w:r>
              <w:rPr>
                <w:sz w:val="20"/>
                <w:szCs w:val="20"/>
              </w:rPr>
              <w:t xml:space="preserve">Less expensive than HEVs </w:t>
            </w:r>
          </w:p>
        </w:tc>
        <w:tc>
          <w:tcPr>
            <w:tcW w:w="3346" w:type="dxa"/>
          </w:tcPr>
          <w:p w:rsidR="005424A9" w:rsidRDefault="005424A9">
            <w:pPr>
              <w:pStyle w:val="Default"/>
              <w:rPr>
                <w:sz w:val="20"/>
                <w:szCs w:val="20"/>
              </w:rPr>
            </w:pPr>
            <w:r>
              <w:rPr>
                <w:sz w:val="20"/>
                <w:szCs w:val="20"/>
              </w:rPr>
              <w:t xml:space="preserve">Limited range </w:t>
            </w:r>
          </w:p>
        </w:tc>
      </w:tr>
      <w:tr w:rsidR="005424A9" w:rsidTr="005424A9">
        <w:trPr>
          <w:trHeight w:val="99"/>
        </w:trPr>
        <w:tc>
          <w:tcPr>
            <w:tcW w:w="3346" w:type="dxa"/>
          </w:tcPr>
          <w:p w:rsidR="005424A9" w:rsidRDefault="005424A9">
            <w:pPr>
              <w:pStyle w:val="Default"/>
              <w:rPr>
                <w:sz w:val="20"/>
                <w:szCs w:val="20"/>
              </w:rPr>
            </w:pPr>
            <w:r>
              <w:rPr>
                <w:sz w:val="20"/>
                <w:szCs w:val="20"/>
              </w:rPr>
              <w:t xml:space="preserve">Zero requirement of fuel </w:t>
            </w:r>
          </w:p>
        </w:tc>
        <w:tc>
          <w:tcPr>
            <w:tcW w:w="3346" w:type="dxa"/>
          </w:tcPr>
          <w:p w:rsidR="005424A9" w:rsidRDefault="005424A9">
            <w:pPr>
              <w:pStyle w:val="Default"/>
              <w:rPr>
                <w:sz w:val="20"/>
                <w:szCs w:val="20"/>
              </w:rPr>
            </w:pPr>
            <w:r>
              <w:rPr>
                <w:sz w:val="20"/>
                <w:szCs w:val="20"/>
              </w:rPr>
              <w:t xml:space="preserve">Long charging time </w:t>
            </w:r>
          </w:p>
        </w:tc>
      </w:tr>
      <w:tr w:rsidR="005424A9" w:rsidTr="005424A9">
        <w:trPr>
          <w:trHeight w:val="99"/>
        </w:trPr>
        <w:tc>
          <w:tcPr>
            <w:tcW w:w="3346" w:type="dxa"/>
          </w:tcPr>
          <w:p w:rsidR="005424A9" w:rsidRDefault="005424A9">
            <w:pPr>
              <w:pStyle w:val="Default"/>
              <w:rPr>
                <w:sz w:val="20"/>
                <w:szCs w:val="20"/>
              </w:rPr>
            </w:pPr>
            <w:r>
              <w:rPr>
                <w:sz w:val="20"/>
                <w:szCs w:val="20"/>
              </w:rPr>
              <w:t xml:space="preserve">Highest well-to-wheel efficiency </w:t>
            </w:r>
          </w:p>
        </w:tc>
        <w:tc>
          <w:tcPr>
            <w:tcW w:w="3346" w:type="dxa"/>
          </w:tcPr>
          <w:p w:rsidR="005424A9" w:rsidRDefault="005424A9">
            <w:pPr>
              <w:pStyle w:val="Default"/>
              <w:rPr>
                <w:sz w:val="20"/>
                <w:szCs w:val="20"/>
              </w:rPr>
            </w:pPr>
            <w:r>
              <w:rPr>
                <w:sz w:val="20"/>
                <w:szCs w:val="20"/>
              </w:rPr>
              <w:t xml:space="preserve">NA </w:t>
            </w:r>
          </w:p>
        </w:tc>
      </w:tr>
    </w:tbl>
    <w:p w:rsidR="005424A9" w:rsidRDefault="005424A9" w:rsidP="005424A9">
      <w:pPr>
        <w:ind w:firstLine="720"/>
        <w:rPr>
          <w:rFonts w:ascii="Helvetica" w:hAnsi="Helvetica"/>
          <w:sz w:val="28"/>
          <w:szCs w:val="28"/>
        </w:rPr>
      </w:pPr>
    </w:p>
    <w:p w:rsidR="005424A9" w:rsidRDefault="005424A9" w:rsidP="005424A9">
      <w:pPr>
        <w:pStyle w:val="Default"/>
        <w:rPr>
          <w:sz w:val="20"/>
          <w:szCs w:val="20"/>
        </w:rPr>
      </w:pPr>
      <w:r>
        <w:rPr>
          <w:sz w:val="20"/>
          <w:szCs w:val="20"/>
        </w:rPr>
        <w:t>According to a study by Aalto University, a diesel bus has more energy distribution losses than an electric bus (</w:t>
      </w:r>
      <w:proofErr w:type="spellStart"/>
      <w:r>
        <w:rPr>
          <w:sz w:val="20"/>
          <w:szCs w:val="20"/>
        </w:rPr>
        <w:t>Lajunen</w:t>
      </w:r>
      <w:proofErr w:type="spellEnd"/>
      <w:r>
        <w:rPr>
          <w:sz w:val="20"/>
          <w:szCs w:val="20"/>
        </w:rPr>
        <w:t xml:space="preserve"> 2015). Therefore, a BE bus is more efficient in terms of a well-to-wheel efficiency comparison. After considering conversion and transmission losses, electric buses showcase more energy efficiency overall, especially in stop-and-go traffic, where regenerative braking minimizes energy wastes. Table 2.9 represents the quantum of energy losses in diesel and BE buses. The energy consumption of a diesel bus is determined to be 3.64 kWh/km and that of a BE bus to be 1.02 kWh/km (weight of the buses being 14,250 kg) (</w:t>
      </w:r>
      <w:proofErr w:type="spellStart"/>
      <w:r>
        <w:rPr>
          <w:sz w:val="20"/>
          <w:szCs w:val="20"/>
        </w:rPr>
        <w:t>Lajunen</w:t>
      </w:r>
      <w:proofErr w:type="spellEnd"/>
      <w:r>
        <w:rPr>
          <w:sz w:val="20"/>
          <w:szCs w:val="20"/>
        </w:rPr>
        <w:t xml:space="preserve"> 2015). </w:t>
      </w:r>
    </w:p>
    <w:p w:rsidR="00385549" w:rsidRDefault="00385549" w:rsidP="005424A9">
      <w:pPr>
        <w:pStyle w:val="Default"/>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2664"/>
        <w:gridCol w:w="2664"/>
      </w:tblGrid>
      <w:tr w:rsidR="005424A9" w:rsidTr="005424A9">
        <w:trPr>
          <w:trHeight w:val="110"/>
        </w:trPr>
        <w:tc>
          <w:tcPr>
            <w:tcW w:w="2664" w:type="dxa"/>
          </w:tcPr>
          <w:p w:rsidR="005424A9" w:rsidRDefault="00385549">
            <w:pPr>
              <w:pStyle w:val="Default"/>
              <w:rPr>
                <w:sz w:val="22"/>
                <w:szCs w:val="22"/>
              </w:rPr>
            </w:pPr>
            <w:r>
              <w:rPr>
                <w:b/>
                <w:bCs/>
                <w:sz w:val="18"/>
                <w:szCs w:val="18"/>
              </w:rPr>
              <w:t xml:space="preserve"> </w:t>
            </w:r>
          </w:p>
        </w:tc>
        <w:tc>
          <w:tcPr>
            <w:tcW w:w="2664" w:type="dxa"/>
          </w:tcPr>
          <w:p w:rsidR="005424A9" w:rsidRDefault="005424A9">
            <w:pPr>
              <w:pStyle w:val="Default"/>
              <w:rPr>
                <w:sz w:val="22"/>
                <w:szCs w:val="22"/>
              </w:rPr>
            </w:pPr>
            <w:r>
              <w:rPr>
                <w:b/>
                <w:bCs/>
                <w:sz w:val="22"/>
                <w:szCs w:val="22"/>
              </w:rPr>
              <w:t>Diesel Bus (</w:t>
            </w:r>
            <w:proofErr w:type="spellStart"/>
            <w:r>
              <w:rPr>
                <w:b/>
                <w:bCs/>
                <w:sz w:val="22"/>
                <w:szCs w:val="22"/>
              </w:rPr>
              <w:t>Wh</w:t>
            </w:r>
            <w:proofErr w:type="spellEnd"/>
            <w:r>
              <w:rPr>
                <w:b/>
                <w:bCs/>
                <w:sz w:val="22"/>
                <w:szCs w:val="22"/>
              </w:rPr>
              <w:t xml:space="preserve">/km) </w:t>
            </w:r>
          </w:p>
        </w:tc>
        <w:tc>
          <w:tcPr>
            <w:tcW w:w="2664" w:type="dxa"/>
          </w:tcPr>
          <w:p w:rsidR="005424A9" w:rsidRDefault="005424A9">
            <w:pPr>
              <w:pStyle w:val="Default"/>
              <w:rPr>
                <w:sz w:val="22"/>
                <w:szCs w:val="22"/>
              </w:rPr>
            </w:pPr>
            <w:r>
              <w:rPr>
                <w:b/>
                <w:bCs/>
                <w:sz w:val="22"/>
                <w:szCs w:val="22"/>
              </w:rPr>
              <w:t>BE Bus (</w:t>
            </w:r>
            <w:proofErr w:type="spellStart"/>
            <w:r>
              <w:rPr>
                <w:b/>
                <w:bCs/>
                <w:sz w:val="22"/>
                <w:szCs w:val="22"/>
              </w:rPr>
              <w:t>Wh</w:t>
            </w:r>
            <w:proofErr w:type="spellEnd"/>
            <w:r>
              <w:rPr>
                <w:b/>
                <w:bCs/>
                <w:sz w:val="22"/>
                <w:szCs w:val="22"/>
              </w:rPr>
              <w:t xml:space="preserve">/km) </w:t>
            </w:r>
          </w:p>
        </w:tc>
      </w:tr>
      <w:tr w:rsidR="005424A9" w:rsidTr="005424A9">
        <w:trPr>
          <w:trHeight w:val="99"/>
        </w:trPr>
        <w:tc>
          <w:tcPr>
            <w:tcW w:w="2664" w:type="dxa"/>
          </w:tcPr>
          <w:p w:rsidR="005424A9" w:rsidRDefault="005424A9">
            <w:pPr>
              <w:pStyle w:val="Default"/>
              <w:rPr>
                <w:sz w:val="20"/>
                <w:szCs w:val="20"/>
              </w:rPr>
            </w:pPr>
            <w:r>
              <w:rPr>
                <w:sz w:val="20"/>
                <w:szCs w:val="20"/>
              </w:rPr>
              <w:t xml:space="preserve">Aerodynamic losses </w:t>
            </w:r>
          </w:p>
        </w:tc>
        <w:tc>
          <w:tcPr>
            <w:tcW w:w="2664" w:type="dxa"/>
          </w:tcPr>
          <w:p w:rsidR="005424A9" w:rsidRDefault="005424A9">
            <w:pPr>
              <w:pStyle w:val="Default"/>
              <w:rPr>
                <w:sz w:val="20"/>
                <w:szCs w:val="20"/>
              </w:rPr>
            </w:pPr>
            <w:r>
              <w:rPr>
                <w:sz w:val="20"/>
                <w:szCs w:val="20"/>
              </w:rPr>
              <w:t xml:space="preserve">90 </w:t>
            </w:r>
          </w:p>
        </w:tc>
        <w:tc>
          <w:tcPr>
            <w:tcW w:w="2664" w:type="dxa"/>
          </w:tcPr>
          <w:p w:rsidR="005424A9" w:rsidRDefault="005424A9">
            <w:pPr>
              <w:pStyle w:val="Default"/>
              <w:rPr>
                <w:sz w:val="20"/>
                <w:szCs w:val="20"/>
              </w:rPr>
            </w:pPr>
            <w:r>
              <w:rPr>
                <w:sz w:val="20"/>
                <w:szCs w:val="20"/>
              </w:rPr>
              <w:t xml:space="preserve">90 </w:t>
            </w:r>
          </w:p>
        </w:tc>
      </w:tr>
      <w:tr w:rsidR="005424A9" w:rsidTr="005424A9">
        <w:trPr>
          <w:trHeight w:val="99"/>
        </w:trPr>
        <w:tc>
          <w:tcPr>
            <w:tcW w:w="2664" w:type="dxa"/>
          </w:tcPr>
          <w:p w:rsidR="005424A9" w:rsidRDefault="005424A9">
            <w:pPr>
              <w:pStyle w:val="Default"/>
              <w:rPr>
                <w:sz w:val="20"/>
                <w:szCs w:val="20"/>
              </w:rPr>
            </w:pPr>
            <w:r>
              <w:rPr>
                <w:sz w:val="20"/>
                <w:szCs w:val="20"/>
              </w:rPr>
              <w:t xml:space="preserve">Braking losses </w:t>
            </w:r>
          </w:p>
        </w:tc>
        <w:tc>
          <w:tcPr>
            <w:tcW w:w="2664" w:type="dxa"/>
          </w:tcPr>
          <w:p w:rsidR="005424A9" w:rsidRDefault="005424A9">
            <w:pPr>
              <w:pStyle w:val="Default"/>
              <w:rPr>
                <w:sz w:val="20"/>
                <w:szCs w:val="20"/>
              </w:rPr>
            </w:pPr>
            <w:r>
              <w:rPr>
                <w:sz w:val="20"/>
                <w:szCs w:val="20"/>
              </w:rPr>
              <w:t xml:space="preserve">370 </w:t>
            </w:r>
          </w:p>
        </w:tc>
        <w:tc>
          <w:tcPr>
            <w:tcW w:w="2664" w:type="dxa"/>
          </w:tcPr>
          <w:p w:rsidR="005424A9" w:rsidRDefault="005424A9">
            <w:pPr>
              <w:pStyle w:val="Default"/>
              <w:rPr>
                <w:sz w:val="20"/>
                <w:szCs w:val="20"/>
              </w:rPr>
            </w:pPr>
            <w:r>
              <w:rPr>
                <w:sz w:val="20"/>
                <w:szCs w:val="20"/>
              </w:rPr>
              <w:t xml:space="preserve">20 </w:t>
            </w:r>
          </w:p>
        </w:tc>
      </w:tr>
      <w:tr w:rsidR="005424A9" w:rsidTr="005424A9">
        <w:trPr>
          <w:trHeight w:val="99"/>
        </w:trPr>
        <w:tc>
          <w:tcPr>
            <w:tcW w:w="2664" w:type="dxa"/>
          </w:tcPr>
          <w:p w:rsidR="005424A9" w:rsidRDefault="005424A9">
            <w:pPr>
              <w:pStyle w:val="Default"/>
              <w:rPr>
                <w:sz w:val="20"/>
                <w:szCs w:val="20"/>
              </w:rPr>
            </w:pPr>
            <w:r>
              <w:rPr>
                <w:sz w:val="20"/>
                <w:szCs w:val="20"/>
              </w:rPr>
              <w:t xml:space="preserve">Wheels losses </w:t>
            </w:r>
          </w:p>
        </w:tc>
        <w:tc>
          <w:tcPr>
            <w:tcW w:w="2664" w:type="dxa"/>
          </w:tcPr>
          <w:p w:rsidR="005424A9" w:rsidRDefault="005424A9">
            <w:pPr>
              <w:pStyle w:val="Default"/>
              <w:rPr>
                <w:sz w:val="20"/>
                <w:szCs w:val="20"/>
              </w:rPr>
            </w:pPr>
            <w:r>
              <w:rPr>
                <w:sz w:val="20"/>
                <w:szCs w:val="20"/>
              </w:rPr>
              <w:t xml:space="preserve">350 </w:t>
            </w:r>
          </w:p>
        </w:tc>
        <w:tc>
          <w:tcPr>
            <w:tcW w:w="2664" w:type="dxa"/>
          </w:tcPr>
          <w:p w:rsidR="005424A9" w:rsidRDefault="005424A9">
            <w:pPr>
              <w:pStyle w:val="Default"/>
              <w:rPr>
                <w:sz w:val="20"/>
                <w:szCs w:val="20"/>
              </w:rPr>
            </w:pPr>
            <w:r>
              <w:rPr>
                <w:sz w:val="20"/>
                <w:szCs w:val="20"/>
              </w:rPr>
              <w:t xml:space="preserve">350 </w:t>
            </w:r>
          </w:p>
        </w:tc>
      </w:tr>
      <w:tr w:rsidR="005424A9" w:rsidTr="005424A9">
        <w:trPr>
          <w:trHeight w:val="99"/>
        </w:trPr>
        <w:tc>
          <w:tcPr>
            <w:tcW w:w="2664" w:type="dxa"/>
          </w:tcPr>
          <w:p w:rsidR="005424A9" w:rsidRDefault="005424A9">
            <w:pPr>
              <w:pStyle w:val="Default"/>
              <w:rPr>
                <w:sz w:val="20"/>
                <w:szCs w:val="20"/>
              </w:rPr>
            </w:pPr>
            <w:r>
              <w:rPr>
                <w:sz w:val="20"/>
                <w:szCs w:val="20"/>
              </w:rPr>
              <w:lastRenderedPageBreak/>
              <w:t xml:space="preserve">Transmission losses </w:t>
            </w:r>
          </w:p>
        </w:tc>
        <w:tc>
          <w:tcPr>
            <w:tcW w:w="2664" w:type="dxa"/>
          </w:tcPr>
          <w:p w:rsidR="005424A9" w:rsidRDefault="005424A9">
            <w:pPr>
              <w:pStyle w:val="Default"/>
              <w:rPr>
                <w:sz w:val="20"/>
                <w:szCs w:val="20"/>
              </w:rPr>
            </w:pPr>
            <w:r>
              <w:rPr>
                <w:sz w:val="20"/>
                <w:szCs w:val="20"/>
              </w:rPr>
              <w:t xml:space="preserve">130 </w:t>
            </w:r>
          </w:p>
        </w:tc>
        <w:tc>
          <w:tcPr>
            <w:tcW w:w="2664" w:type="dxa"/>
          </w:tcPr>
          <w:p w:rsidR="005424A9" w:rsidRDefault="005424A9">
            <w:pPr>
              <w:pStyle w:val="Default"/>
              <w:rPr>
                <w:sz w:val="20"/>
                <w:szCs w:val="20"/>
              </w:rPr>
            </w:pPr>
            <w:r>
              <w:rPr>
                <w:sz w:val="20"/>
                <w:szCs w:val="20"/>
              </w:rPr>
              <w:t xml:space="preserve">270 </w:t>
            </w:r>
          </w:p>
        </w:tc>
      </w:tr>
      <w:tr w:rsidR="005424A9" w:rsidTr="005424A9">
        <w:trPr>
          <w:trHeight w:val="99"/>
        </w:trPr>
        <w:tc>
          <w:tcPr>
            <w:tcW w:w="2664" w:type="dxa"/>
          </w:tcPr>
          <w:p w:rsidR="005424A9" w:rsidRDefault="005424A9">
            <w:pPr>
              <w:pStyle w:val="Default"/>
              <w:rPr>
                <w:sz w:val="20"/>
                <w:szCs w:val="20"/>
              </w:rPr>
            </w:pPr>
            <w:r>
              <w:rPr>
                <w:sz w:val="20"/>
                <w:szCs w:val="20"/>
              </w:rPr>
              <w:t xml:space="preserve">Ancillary equipment losses </w:t>
            </w:r>
          </w:p>
        </w:tc>
        <w:tc>
          <w:tcPr>
            <w:tcW w:w="2664" w:type="dxa"/>
          </w:tcPr>
          <w:p w:rsidR="005424A9" w:rsidRDefault="005424A9">
            <w:pPr>
              <w:pStyle w:val="Default"/>
              <w:rPr>
                <w:sz w:val="20"/>
                <w:szCs w:val="20"/>
              </w:rPr>
            </w:pPr>
            <w:r>
              <w:rPr>
                <w:sz w:val="20"/>
                <w:szCs w:val="20"/>
              </w:rPr>
              <w:t xml:space="preserve">480 </w:t>
            </w:r>
          </w:p>
        </w:tc>
        <w:tc>
          <w:tcPr>
            <w:tcW w:w="2664" w:type="dxa"/>
          </w:tcPr>
          <w:p w:rsidR="005424A9" w:rsidRDefault="005424A9">
            <w:pPr>
              <w:pStyle w:val="Default"/>
              <w:rPr>
                <w:sz w:val="20"/>
                <w:szCs w:val="20"/>
              </w:rPr>
            </w:pPr>
            <w:r>
              <w:rPr>
                <w:sz w:val="20"/>
                <w:szCs w:val="20"/>
              </w:rPr>
              <w:t xml:space="preserve">270 </w:t>
            </w:r>
          </w:p>
        </w:tc>
      </w:tr>
      <w:tr w:rsidR="005424A9" w:rsidTr="005424A9">
        <w:trPr>
          <w:trHeight w:val="99"/>
        </w:trPr>
        <w:tc>
          <w:tcPr>
            <w:tcW w:w="2664" w:type="dxa"/>
          </w:tcPr>
          <w:p w:rsidR="005424A9" w:rsidRDefault="005424A9">
            <w:pPr>
              <w:pStyle w:val="Default"/>
              <w:rPr>
                <w:sz w:val="20"/>
                <w:szCs w:val="20"/>
              </w:rPr>
            </w:pPr>
            <w:r>
              <w:rPr>
                <w:sz w:val="20"/>
                <w:szCs w:val="20"/>
              </w:rPr>
              <w:t xml:space="preserve">Engine/battery losses </w:t>
            </w:r>
          </w:p>
        </w:tc>
        <w:tc>
          <w:tcPr>
            <w:tcW w:w="2664" w:type="dxa"/>
          </w:tcPr>
          <w:p w:rsidR="005424A9" w:rsidRDefault="005424A9">
            <w:pPr>
              <w:pStyle w:val="Default"/>
              <w:rPr>
                <w:sz w:val="20"/>
                <w:szCs w:val="20"/>
              </w:rPr>
            </w:pPr>
            <w:r>
              <w:rPr>
                <w:sz w:val="20"/>
                <w:szCs w:val="20"/>
              </w:rPr>
              <w:t xml:space="preserve">2,220 </w:t>
            </w:r>
          </w:p>
        </w:tc>
        <w:tc>
          <w:tcPr>
            <w:tcW w:w="2664" w:type="dxa"/>
          </w:tcPr>
          <w:p w:rsidR="005424A9" w:rsidRDefault="005424A9">
            <w:pPr>
              <w:pStyle w:val="Default"/>
              <w:rPr>
                <w:sz w:val="20"/>
                <w:szCs w:val="20"/>
              </w:rPr>
            </w:pPr>
            <w:r>
              <w:rPr>
                <w:sz w:val="20"/>
                <w:szCs w:val="20"/>
              </w:rPr>
              <w:t xml:space="preserve">20 </w:t>
            </w:r>
          </w:p>
        </w:tc>
      </w:tr>
      <w:tr w:rsidR="005424A9" w:rsidTr="005424A9">
        <w:trPr>
          <w:trHeight w:val="99"/>
        </w:trPr>
        <w:tc>
          <w:tcPr>
            <w:tcW w:w="2664" w:type="dxa"/>
          </w:tcPr>
          <w:p w:rsidR="005424A9" w:rsidRDefault="005424A9">
            <w:pPr>
              <w:pStyle w:val="Default"/>
              <w:rPr>
                <w:sz w:val="20"/>
                <w:szCs w:val="20"/>
              </w:rPr>
            </w:pPr>
            <w:r>
              <w:rPr>
                <w:b/>
                <w:bCs/>
                <w:sz w:val="20"/>
                <w:szCs w:val="20"/>
              </w:rPr>
              <w:t xml:space="preserve">Total consumption </w:t>
            </w:r>
          </w:p>
        </w:tc>
        <w:tc>
          <w:tcPr>
            <w:tcW w:w="2664" w:type="dxa"/>
          </w:tcPr>
          <w:p w:rsidR="005424A9" w:rsidRDefault="005424A9">
            <w:pPr>
              <w:pStyle w:val="Default"/>
              <w:rPr>
                <w:sz w:val="20"/>
                <w:szCs w:val="20"/>
              </w:rPr>
            </w:pPr>
            <w:r>
              <w:rPr>
                <w:b/>
                <w:bCs/>
                <w:sz w:val="20"/>
                <w:szCs w:val="20"/>
              </w:rPr>
              <w:t xml:space="preserve">3,640 </w:t>
            </w:r>
          </w:p>
        </w:tc>
        <w:tc>
          <w:tcPr>
            <w:tcW w:w="2664" w:type="dxa"/>
          </w:tcPr>
          <w:p w:rsidR="005424A9" w:rsidRDefault="005424A9">
            <w:pPr>
              <w:pStyle w:val="Default"/>
              <w:rPr>
                <w:sz w:val="20"/>
                <w:szCs w:val="20"/>
              </w:rPr>
            </w:pPr>
            <w:r>
              <w:rPr>
                <w:b/>
                <w:bCs/>
                <w:sz w:val="20"/>
                <w:szCs w:val="20"/>
              </w:rPr>
              <w:t xml:space="preserve">1,020 </w:t>
            </w:r>
          </w:p>
        </w:tc>
      </w:tr>
    </w:tbl>
    <w:p w:rsidR="005424A9" w:rsidRDefault="005424A9"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Default="00560B5F" w:rsidP="005424A9">
      <w:pPr>
        <w:ind w:firstLine="720"/>
        <w:rPr>
          <w:rFonts w:ascii="Helvetica" w:hAnsi="Helvetica"/>
          <w:sz w:val="28"/>
          <w:szCs w:val="28"/>
        </w:rPr>
      </w:pPr>
    </w:p>
    <w:p w:rsidR="00560B5F" w:rsidRPr="00560B5F" w:rsidRDefault="00560B5F" w:rsidP="00560B5F">
      <w:pPr>
        <w:ind w:firstLine="720"/>
        <w:rPr>
          <w:rFonts w:ascii="Helvetica" w:hAnsi="Helvetica"/>
          <w:sz w:val="28"/>
          <w:szCs w:val="28"/>
        </w:rPr>
      </w:pPr>
      <w:r w:rsidRPr="00560B5F">
        <w:rPr>
          <w:rFonts w:ascii="Helvetica" w:hAnsi="Helvetica"/>
          <w:sz w:val="28"/>
          <w:szCs w:val="28"/>
        </w:rPr>
        <w:lastRenderedPageBreak/>
        <w:t>OPPORTUNITY PAGES GOVERNMENT PRIVATE SECTOR CIVIL SOCIETY</w:t>
      </w:r>
    </w:p>
    <w:p w:rsidR="00560B5F" w:rsidRPr="00560B5F" w:rsidRDefault="00560B5F" w:rsidP="00560B5F">
      <w:pPr>
        <w:ind w:firstLine="720"/>
        <w:rPr>
          <w:rFonts w:ascii="Helvetica" w:hAnsi="Helvetica"/>
          <w:sz w:val="28"/>
          <w:szCs w:val="28"/>
        </w:rPr>
      </w:pPr>
      <w:r w:rsidRPr="00560B5F">
        <w:rPr>
          <w:rFonts w:ascii="Helvetica" w:hAnsi="Helvetica"/>
          <w:sz w:val="28"/>
          <w:szCs w:val="28"/>
        </w:rPr>
        <w:t>1. Interoperable transport data: central data sharing institution and</w:t>
      </w:r>
    </w:p>
    <w:p w:rsidR="00560B5F" w:rsidRPr="00560B5F" w:rsidRDefault="00560B5F" w:rsidP="00560B5F">
      <w:pPr>
        <w:ind w:firstLine="720"/>
        <w:rPr>
          <w:rFonts w:ascii="Helvetica" w:hAnsi="Helvetica"/>
          <w:sz w:val="28"/>
          <w:szCs w:val="28"/>
        </w:rPr>
      </w:pPr>
      <w:proofErr w:type="gramStart"/>
      <w:r w:rsidRPr="00560B5F">
        <w:rPr>
          <w:rFonts w:ascii="Helvetica" w:hAnsi="Helvetica"/>
          <w:sz w:val="28"/>
          <w:szCs w:val="28"/>
        </w:rPr>
        <w:t>unified</w:t>
      </w:r>
      <w:proofErr w:type="gramEnd"/>
      <w:r w:rsidRPr="00560B5F">
        <w:rPr>
          <w:rFonts w:ascii="Helvetica" w:hAnsi="Helvetica"/>
          <w:sz w:val="28"/>
          <w:szCs w:val="28"/>
        </w:rPr>
        <w:t xml:space="preserve"> metropolitan planning authority 52–55 </w:t>
      </w:r>
      <w:r w:rsidRPr="00560B5F">
        <w:rPr>
          <w:rFonts w:ascii="Helvetica" w:eastAsia="MS Gothic" w:hAnsi="Helvetica" w:cs="MS Gothic" w:hint="eastAsia"/>
          <w:sz w:val="28"/>
          <w:szCs w:val="28"/>
        </w:rPr>
        <w:t>✓</w:t>
      </w:r>
      <w:r w:rsidRPr="00560B5F">
        <w:rPr>
          <w:rFonts w:ascii="Helvetica" w:hAnsi="Helvetica"/>
          <w:sz w:val="28"/>
          <w:szCs w:val="28"/>
        </w:rPr>
        <w:t xml:space="preserve"> </w:t>
      </w:r>
      <w:r w:rsidRPr="00560B5F">
        <w:rPr>
          <w:rFonts w:ascii="Helvetica" w:eastAsia="MS Gothic" w:hAnsi="Helvetica" w:cs="MS Gothic" w:hint="eastAsia"/>
          <w:sz w:val="28"/>
          <w:szCs w:val="28"/>
        </w:rPr>
        <w:t>✓</w:t>
      </w:r>
    </w:p>
    <w:p w:rsidR="00560B5F" w:rsidRPr="00560B5F" w:rsidRDefault="00560B5F" w:rsidP="00560B5F">
      <w:pPr>
        <w:ind w:firstLine="720"/>
        <w:rPr>
          <w:rFonts w:ascii="Helvetica" w:hAnsi="Helvetica"/>
          <w:sz w:val="28"/>
          <w:szCs w:val="28"/>
        </w:rPr>
      </w:pPr>
      <w:r w:rsidRPr="00560B5F">
        <w:rPr>
          <w:rFonts w:ascii="Helvetica" w:hAnsi="Helvetica"/>
          <w:sz w:val="28"/>
          <w:szCs w:val="28"/>
        </w:rPr>
        <w:t xml:space="preserve">2. Metropolitan planning </w:t>
      </w:r>
      <w:proofErr w:type="gramStart"/>
      <w:r w:rsidRPr="00560B5F">
        <w:rPr>
          <w:rFonts w:ascii="Helvetica" w:hAnsi="Helvetica"/>
          <w:sz w:val="28"/>
          <w:szCs w:val="28"/>
        </w:rPr>
        <w:t>councils</w:t>
      </w:r>
      <w:proofErr w:type="gramEnd"/>
      <w:r w:rsidRPr="00560B5F">
        <w:rPr>
          <w:rFonts w:ascii="Helvetica" w:hAnsi="Helvetica"/>
          <w:sz w:val="28"/>
          <w:szCs w:val="28"/>
        </w:rPr>
        <w:t xml:space="preserve"> 56–59 </w:t>
      </w:r>
      <w:r w:rsidRPr="00560B5F">
        <w:rPr>
          <w:rFonts w:ascii="Helvetica" w:eastAsia="MS Gothic" w:hAnsi="Helvetica" w:cs="MS Gothic" w:hint="eastAsia"/>
          <w:sz w:val="28"/>
          <w:szCs w:val="28"/>
        </w:rPr>
        <w:t>✓</w:t>
      </w:r>
    </w:p>
    <w:p w:rsidR="00560B5F" w:rsidRPr="00560B5F" w:rsidRDefault="00560B5F" w:rsidP="00560B5F">
      <w:pPr>
        <w:ind w:firstLine="720"/>
        <w:rPr>
          <w:rFonts w:ascii="Helvetica" w:hAnsi="Helvetica"/>
          <w:sz w:val="28"/>
          <w:szCs w:val="28"/>
        </w:rPr>
      </w:pPr>
      <w:r w:rsidRPr="00560B5F">
        <w:rPr>
          <w:rFonts w:ascii="Helvetica" w:hAnsi="Helvetica"/>
          <w:sz w:val="28"/>
          <w:szCs w:val="28"/>
        </w:rPr>
        <w:t xml:space="preserve">3. Networked city-level innovation and incubation </w:t>
      </w:r>
      <w:proofErr w:type="spellStart"/>
      <w:r w:rsidRPr="00560B5F">
        <w:rPr>
          <w:rFonts w:ascii="Helvetica" w:hAnsi="Helvetica"/>
          <w:sz w:val="28"/>
          <w:szCs w:val="28"/>
        </w:rPr>
        <w:t>centres</w:t>
      </w:r>
      <w:proofErr w:type="spellEnd"/>
      <w:r w:rsidRPr="00560B5F">
        <w:rPr>
          <w:rFonts w:ascii="Helvetica" w:hAnsi="Helvetica"/>
          <w:sz w:val="28"/>
          <w:szCs w:val="28"/>
        </w:rPr>
        <w:t xml:space="preserve"> 60–63 </w:t>
      </w:r>
      <w:r w:rsidRPr="00560B5F">
        <w:rPr>
          <w:rFonts w:ascii="Helvetica" w:eastAsia="MS Gothic" w:hAnsi="Helvetica" w:cs="MS Gothic" w:hint="eastAsia"/>
          <w:sz w:val="28"/>
          <w:szCs w:val="28"/>
        </w:rPr>
        <w:t>✓</w:t>
      </w:r>
      <w:r w:rsidRPr="00560B5F">
        <w:rPr>
          <w:rFonts w:ascii="Helvetica" w:hAnsi="Helvetica"/>
          <w:sz w:val="28"/>
          <w:szCs w:val="28"/>
        </w:rPr>
        <w:t xml:space="preserve"> </w:t>
      </w:r>
      <w:r w:rsidRPr="00560B5F">
        <w:rPr>
          <w:rFonts w:ascii="Helvetica" w:eastAsia="MS Gothic" w:hAnsi="Helvetica" w:cs="MS Gothic" w:hint="eastAsia"/>
          <w:sz w:val="28"/>
          <w:szCs w:val="28"/>
        </w:rPr>
        <w:t>✓</w:t>
      </w:r>
      <w:r w:rsidRPr="00560B5F">
        <w:rPr>
          <w:rFonts w:ascii="Helvetica" w:hAnsi="Helvetica"/>
          <w:sz w:val="28"/>
          <w:szCs w:val="28"/>
        </w:rPr>
        <w:t xml:space="preserve"> </w:t>
      </w:r>
      <w:r w:rsidRPr="00560B5F">
        <w:rPr>
          <w:rFonts w:ascii="Helvetica" w:eastAsia="MS Gothic" w:hAnsi="Helvetica" w:cs="MS Gothic" w:hint="eastAsia"/>
          <w:sz w:val="28"/>
          <w:szCs w:val="28"/>
        </w:rPr>
        <w:t>✓</w:t>
      </w:r>
    </w:p>
    <w:p w:rsidR="00560B5F" w:rsidRPr="00560B5F" w:rsidRDefault="00560B5F" w:rsidP="00560B5F">
      <w:pPr>
        <w:ind w:firstLine="720"/>
        <w:rPr>
          <w:rFonts w:ascii="Helvetica" w:hAnsi="Helvetica"/>
          <w:sz w:val="28"/>
          <w:szCs w:val="28"/>
        </w:rPr>
      </w:pPr>
      <w:r w:rsidRPr="00560B5F">
        <w:rPr>
          <w:rFonts w:ascii="Helvetica" w:hAnsi="Helvetica"/>
          <w:sz w:val="28"/>
          <w:szCs w:val="28"/>
        </w:rPr>
        <w:t xml:space="preserve">4. </w:t>
      </w:r>
      <w:proofErr w:type="spellStart"/>
      <w:r w:rsidRPr="00560B5F">
        <w:rPr>
          <w:rFonts w:ascii="Helvetica" w:hAnsi="Helvetica"/>
          <w:sz w:val="28"/>
          <w:szCs w:val="28"/>
        </w:rPr>
        <w:t>Feebates</w:t>
      </w:r>
      <w:proofErr w:type="spellEnd"/>
      <w:r w:rsidRPr="00560B5F">
        <w:rPr>
          <w:rFonts w:ascii="Helvetica" w:hAnsi="Helvetica"/>
          <w:sz w:val="28"/>
          <w:szCs w:val="28"/>
        </w:rPr>
        <w:t xml:space="preserve"> 64–67 </w:t>
      </w:r>
      <w:r w:rsidRPr="00560B5F">
        <w:rPr>
          <w:rFonts w:ascii="Helvetica" w:eastAsia="MS Gothic" w:hAnsi="Helvetica" w:cs="MS Gothic" w:hint="eastAsia"/>
          <w:sz w:val="28"/>
          <w:szCs w:val="28"/>
        </w:rPr>
        <w:t>✓</w:t>
      </w:r>
      <w:r w:rsidRPr="00560B5F">
        <w:rPr>
          <w:rFonts w:ascii="Helvetica" w:hAnsi="Helvetica"/>
          <w:sz w:val="28"/>
          <w:szCs w:val="28"/>
        </w:rPr>
        <w:t xml:space="preserve"> </w:t>
      </w:r>
      <w:r w:rsidRPr="00560B5F">
        <w:rPr>
          <w:rFonts w:ascii="Helvetica" w:eastAsia="MS Gothic" w:hAnsi="Helvetica" w:cs="MS Gothic" w:hint="eastAsia"/>
          <w:sz w:val="28"/>
          <w:szCs w:val="28"/>
        </w:rPr>
        <w:t>✓</w:t>
      </w:r>
    </w:p>
    <w:p w:rsidR="00560B5F" w:rsidRPr="00560B5F" w:rsidRDefault="00560B5F" w:rsidP="00560B5F">
      <w:pPr>
        <w:ind w:firstLine="720"/>
        <w:rPr>
          <w:rFonts w:ascii="Helvetica" w:hAnsi="Helvetica"/>
          <w:sz w:val="28"/>
          <w:szCs w:val="28"/>
        </w:rPr>
      </w:pPr>
      <w:r w:rsidRPr="00560B5F">
        <w:rPr>
          <w:rFonts w:ascii="Helvetica" w:hAnsi="Helvetica"/>
          <w:sz w:val="28"/>
          <w:szCs w:val="28"/>
        </w:rPr>
        <w:t xml:space="preserve">5. Zero Emission </w:t>
      </w:r>
      <w:proofErr w:type="gramStart"/>
      <w:r w:rsidRPr="00560B5F">
        <w:rPr>
          <w:rFonts w:ascii="Helvetica" w:hAnsi="Helvetica"/>
          <w:sz w:val="28"/>
          <w:szCs w:val="28"/>
        </w:rPr>
        <w:t>Vehicle</w:t>
      </w:r>
      <w:proofErr w:type="gramEnd"/>
      <w:r w:rsidRPr="00560B5F">
        <w:rPr>
          <w:rFonts w:ascii="Helvetica" w:hAnsi="Helvetica"/>
          <w:sz w:val="28"/>
          <w:szCs w:val="28"/>
        </w:rPr>
        <w:t xml:space="preserve"> (ZEV) credits 68–71 </w:t>
      </w:r>
      <w:r w:rsidRPr="00560B5F">
        <w:rPr>
          <w:rFonts w:ascii="Helvetica" w:eastAsia="MS Gothic" w:hAnsi="Helvetica" w:cs="MS Gothic" w:hint="eastAsia"/>
          <w:sz w:val="28"/>
          <w:szCs w:val="28"/>
        </w:rPr>
        <w:t>✓</w:t>
      </w:r>
      <w:r w:rsidRPr="00560B5F">
        <w:rPr>
          <w:rFonts w:ascii="Helvetica" w:hAnsi="Helvetica"/>
          <w:sz w:val="28"/>
          <w:szCs w:val="28"/>
        </w:rPr>
        <w:t xml:space="preserve"> </w:t>
      </w:r>
      <w:r w:rsidRPr="00560B5F">
        <w:rPr>
          <w:rFonts w:ascii="Helvetica" w:eastAsia="MS Gothic" w:hAnsi="Helvetica" w:cs="MS Gothic" w:hint="eastAsia"/>
          <w:sz w:val="28"/>
          <w:szCs w:val="28"/>
        </w:rPr>
        <w:t>✓</w:t>
      </w:r>
    </w:p>
    <w:p w:rsidR="00560B5F" w:rsidRPr="00560B5F" w:rsidRDefault="00560B5F" w:rsidP="00560B5F">
      <w:pPr>
        <w:ind w:firstLine="720"/>
        <w:rPr>
          <w:rFonts w:ascii="Helvetica" w:hAnsi="Helvetica"/>
          <w:sz w:val="28"/>
          <w:szCs w:val="28"/>
        </w:rPr>
      </w:pPr>
      <w:r w:rsidRPr="00560B5F">
        <w:rPr>
          <w:rFonts w:ascii="Helvetica" w:hAnsi="Helvetica"/>
          <w:sz w:val="28"/>
          <w:szCs w:val="28"/>
        </w:rPr>
        <w:t>6. Policies that encourage Mobility as a Service (</w:t>
      </w:r>
      <w:proofErr w:type="spellStart"/>
      <w:r w:rsidRPr="00560B5F">
        <w:rPr>
          <w:rFonts w:ascii="Helvetica" w:hAnsi="Helvetica"/>
          <w:sz w:val="28"/>
          <w:szCs w:val="28"/>
        </w:rPr>
        <w:t>MaaS</w:t>
      </w:r>
      <w:proofErr w:type="spellEnd"/>
      <w:r w:rsidRPr="00560B5F">
        <w:rPr>
          <w:rFonts w:ascii="Helvetica" w:hAnsi="Helvetica"/>
          <w:sz w:val="28"/>
          <w:szCs w:val="28"/>
        </w:rPr>
        <w:t xml:space="preserve">) 72–75 </w:t>
      </w:r>
      <w:r w:rsidRPr="00560B5F">
        <w:rPr>
          <w:rFonts w:ascii="Helvetica" w:eastAsia="MS Gothic" w:hAnsi="Helvetica" w:cs="MS Gothic" w:hint="eastAsia"/>
          <w:sz w:val="28"/>
          <w:szCs w:val="28"/>
        </w:rPr>
        <w:t>✓</w:t>
      </w:r>
    </w:p>
    <w:p w:rsidR="00560B5F" w:rsidRPr="00560B5F" w:rsidRDefault="00560B5F" w:rsidP="00560B5F">
      <w:pPr>
        <w:ind w:firstLine="720"/>
        <w:rPr>
          <w:rFonts w:ascii="Helvetica" w:hAnsi="Helvetica"/>
          <w:sz w:val="28"/>
          <w:szCs w:val="28"/>
        </w:rPr>
      </w:pPr>
      <w:r w:rsidRPr="00560B5F">
        <w:rPr>
          <w:rFonts w:ascii="Helvetica" w:hAnsi="Helvetica"/>
          <w:sz w:val="28"/>
          <w:szCs w:val="28"/>
        </w:rPr>
        <w:t>7. Regulations that enable Electric Vehicle Supply Equipment (EVSE)</w:t>
      </w:r>
    </w:p>
    <w:p w:rsidR="00560B5F" w:rsidRPr="00560B5F" w:rsidRDefault="00560B5F" w:rsidP="00560B5F">
      <w:pPr>
        <w:ind w:firstLine="720"/>
        <w:rPr>
          <w:rFonts w:ascii="Helvetica" w:hAnsi="Helvetica"/>
          <w:sz w:val="28"/>
          <w:szCs w:val="28"/>
        </w:rPr>
      </w:pPr>
      <w:proofErr w:type="gramStart"/>
      <w:r w:rsidRPr="00560B5F">
        <w:rPr>
          <w:rFonts w:ascii="Helvetica" w:hAnsi="Helvetica"/>
          <w:sz w:val="28"/>
          <w:szCs w:val="28"/>
        </w:rPr>
        <w:t>deployment</w:t>
      </w:r>
      <w:proofErr w:type="gramEnd"/>
      <w:r w:rsidRPr="00560B5F">
        <w:rPr>
          <w:rFonts w:ascii="Helvetica" w:hAnsi="Helvetica"/>
          <w:sz w:val="28"/>
          <w:szCs w:val="28"/>
        </w:rPr>
        <w:t xml:space="preserve"> and Vehicle-Grid Integration (VGI) 76–79 </w:t>
      </w:r>
      <w:r w:rsidRPr="00560B5F">
        <w:rPr>
          <w:rFonts w:ascii="Helvetica" w:eastAsia="MS Gothic" w:hAnsi="Helvetica" w:cs="MS Gothic" w:hint="eastAsia"/>
          <w:sz w:val="28"/>
          <w:szCs w:val="28"/>
        </w:rPr>
        <w:t>✓</w:t>
      </w:r>
      <w:r w:rsidRPr="00560B5F">
        <w:rPr>
          <w:rFonts w:ascii="Helvetica" w:hAnsi="Helvetica"/>
          <w:sz w:val="28"/>
          <w:szCs w:val="28"/>
        </w:rPr>
        <w:t xml:space="preserve"> </w:t>
      </w:r>
      <w:r w:rsidRPr="00560B5F">
        <w:rPr>
          <w:rFonts w:ascii="Helvetica" w:eastAsia="MS Gothic" w:hAnsi="Helvetica" w:cs="MS Gothic" w:hint="eastAsia"/>
          <w:sz w:val="28"/>
          <w:szCs w:val="28"/>
        </w:rPr>
        <w:t>✓</w:t>
      </w:r>
    </w:p>
    <w:p w:rsidR="00560B5F" w:rsidRPr="00560B5F" w:rsidRDefault="00560B5F" w:rsidP="00560B5F">
      <w:pPr>
        <w:ind w:firstLine="720"/>
        <w:rPr>
          <w:rFonts w:ascii="Helvetica" w:hAnsi="Helvetica"/>
          <w:sz w:val="28"/>
          <w:szCs w:val="28"/>
        </w:rPr>
      </w:pPr>
      <w:r w:rsidRPr="00560B5F">
        <w:rPr>
          <w:rFonts w:ascii="Helvetica" w:hAnsi="Helvetica"/>
          <w:sz w:val="28"/>
          <w:szCs w:val="28"/>
        </w:rPr>
        <w:t>8. Manufacturer consortium for batteries, common components,</w:t>
      </w:r>
    </w:p>
    <w:p w:rsidR="00560B5F" w:rsidRPr="00560B5F" w:rsidRDefault="00560B5F" w:rsidP="00560B5F">
      <w:pPr>
        <w:ind w:firstLine="720"/>
        <w:rPr>
          <w:rFonts w:ascii="Helvetica" w:hAnsi="Helvetica"/>
          <w:sz w:val="28"/>
          <w:szCs w:val="28"/>
        </w:rPr>
      </w:pPr>
      <w:proofErr w:type="gramStart"/>
      <w:r w:rsidRPr="00560B5F">
        <w:rPr>
          <w:rFonts w:ascii="Helvetica" w:hAnsi="Helvetica"/>
          <w:sz w:val="28"/>
          <w:szCs w:val="28"/>
        </w:rPr>
        <w:t>and</w:t>
      </w:r>
      <w:proofErr w:type="gramEnd"/>
      <w:r w:rsidRPr="00560B5F">
        <w:rPr>
          <w:rFonts w:ascii="Helvetica" w:hAnsi="Helvetica"/>
          <w:sz w:val="28"/>
          <w:szCs w:val="28"/>
        </w:rPr>
        <w:t xml:space="preserve"> platforms </w:t>
      </w:r>
      <w:bookmarkStart w:id="0" w:name="_GoBack"/>
      <w:r w:rsidRPr="00560B5F">
        <w:rPr>
          <w:rFonts w:ascii="Helvetica" w:hAnsi="Helvetica"/>
          <w:sz w:val="28"/>
          <w:szCs w:val="28"/>
        </w:rPr>
        <w:t xml:space="preserve">80–83 </w:t>
      </w:r>
      <w:bookmarkEnd w:id="0"/>
      <w:r w:rsidRPr="00560B5F">
        <w:rPr>
          <w:rFonts w:ascii="Helvetica" w:eastAsia="MS Gothic" w:hAnsi="Helvetica" w:cs="MS Gothic" w:hint="eastAsia"/>
          <w:sz w:val="28"/>
          <w:szCs w:val="28"/>
        </w:rPr>
        <w:t>✓</w:t>
      </w:r>
      <w:r w:rsidRPr="00560B5F">
        <w:rPr>
          <w:rFonts w:ascii="Helvetica" w:hAnsi="Helvetica"/>
          <w:sz w:val="28"/>
          <w:szCs w:val="28"/>
        </w:rPr>
        <w:t xml:space="preserve"> </w:t>
      </w:r>
      <w:r w:rsidRPr="00560B5F">
        <w:rPr>
          <w:rFonts w:ascii="Helvetica" w:eastAsia="MS Gothic" w:hAnsi="Helvetica" w:cs="MS Gothic" w:hint="eastAsia"/>
          <w:sz w:val="28"/>
          <w:szCs w:val="28"/>
        </w:rPr>
        <w:t>✓</w:t>
      </w:r>
    </w:p>
    <w:p w:rsidR="00560B5F" w:rsidRPr="00560B5F" w:rsidRDefault="00560B5F" w:rsidP="00560B5F">
      <w:pPr>
        <w:ind w:firstLine="720"/>
        <w:rPr>
          <w:rFonts w:ascii="Helvetica" w:hAnsi="Helvetica"/>
          <w:sz w:val="28"/>
          <w:szCs w:val="28"/>
        </w:rPr>
      </w:pPr>
      <w:r w:rsidRPr="00560B5F">
        <w:rPr>
          <w:rFonts w:ascii="Helvetica" w:hAnsi="Helvetica"/>
          <w:sz w:val="28"/>
          <w:szCs w:val="28"/>
        </w:rPr>
        <w:t xml:space="preserve">9. Integrated transport hubs 84–87 </w:t>
      </w:r>
      <w:r w:rsidRPr="00560B5F">
        <w:rPr>
          <w:rFonts w:ascii="Helvetica" w:eastAsia="MS Gothic" w:hAnsi="Helvetica" w:cs="MS Gothic" w:hint="eastAsia"/>
          <w:sz w:val="28"/>
          <w:szCs w:val="28"/>
        </w:rPr>
        <w:t>✓</w:t>
      </w:r>
    </w:p>
    <w:p w:rsidR="00560B5F" w:rsidRPr="00560B5F" w:rsidRDefault="00560B5F" w:rsidP="00560B5F">
      <w:pPr>
        <w:ind w:firstLine="720"/>
        <w:rPr>
          <w:rFonts w:ascii="Helvetica" w:hAnsi="Helvetica"/>
          <w:sz w:val="28"/>
          <w:szCs w:val="28"/>
        </w:rPr>
      </w:pPr>
      <w:r w:rsidRPr="00560B5F">
        <w:rPr>
          <w:rFonts w:ascii="Helvetica" w:hAnsi="Helvetica"/>
          <w:sz w:val="28"/>
          <w:szCs w:val="28"/>
        </w:rPr>
        <w:t xml:space="preserve">10. Enhanced fiscal incentives 88–91 </w:t>
      </w:r>
      <w:r w:rsidRPr="00560B5F">
        <w:rPr>
          <w:rFonts w:ascii="Helvetica" w:eastAsia="MS Gothic" w:hAnsi="Helvetica" w:cs="MS Gothic" w:hint="eastAsia"/>
          <w:sz w:val="28"/>
          <w:szCs w:val="28"/>
        </w:rPr>
        <w:t>✓</w:t>
      </w:r>
    </w:p>
    <w:p w:rsidR="00560B5F" w:rsidRPr="00560B5F" w:rsidRDefault="00560B5F" w:rsidP="00560B5F">
      <w:pPr>
        <w:ind w:firstLine="720"/>
        <w:rPr>
          <w:rFonts w:ascii="Helvetica" w:hAnsi="Helvetica"/>
          <w:sz w:val="28"/>
          <w:szCs w:val="28"/>
        </w:rPr>
      </w:pPr>
      <w:r w:rsidRPr="00560B5F">
        <w:rPr>
          <w:rFonts w:ascii="Helvetica" w:hAnsi="Helvetica"/>
          <w:sz w:val="28"/>
          <w:szCs w:val="28"/>
        </w:rPr>
        <w:t xml:space="preserve">11. </w:t>
      </w:r>
      <w:proofErr w:type="spellStart"/>
      <w:r w:rsidRPr="00560B5F">
        <w:rPr>
          <w:rFonts w:ascii="Helvetica" w:hAnsi="Helvetica"/>
          <w:sz w:val="28"/>
          <w:szCs w:val="28"/>
        </w:rPr>
        <w:t>Nonfiscal</w:t>
      </w:r>
      <w:proofErr w:type="spellEnd"/>
      <w:r w:rsidRPr="00560B5F">
        <w:rPr>
          <w:rFonts w:ascii="Helvetica" w:hAnsi="Helvetica"/>
          <w:sz w:val="28"/>
          <w:szCs w:val="28"/>
        </w:rPr>
        <w:t xml:space="preserve"> incentives 92–95 </w:t>
      </w:r>
      <w:r w:rsidRPr="00560B5F">
        <w:rPr>
          <w:rFonts w:ascii="Helvetica" w:eastAsia="MS Gothic" w:hAnsi="Helvetica" w:cs="MS Gothic" w:hint="eastAsia"/>
          <w:sz w:val="28"/>
          <w:szCs w:val="28"/>
        </w:rPr>
        <w:t>✓</w:t>
      </w:r>
    </w:p>
    <w:p w:rsidR="00560B5F" w:rsidRPr="005424A9" w:rsidRDefault="00560B5F" w:rsidP="00560B5F">
      <w:pPr>
        <w:ind w:firstLine="720"/>
        <w:rPr>
          <w:rFonts w:ascii="Helvetica" w:hAnsi="Helvetica"/>
          <w:sz w:val="28"/>
          <w:szCs w:val="28"/>
        </w:rPr>
      </w:pPr>
      <w:r w:rsidRPr="00560B5F">
        <w:rPr>
          <w:rFonts w:ascii="Helvetica" w:hAnsi="Helvetica"/>
          <w:sz w:val="28"/>
          <w:szCs w:val="28"/>
        </w:rPr>
        <w:t xml:space="preserve">12. Standardized, smart, swappable batteries for 2- and 3-wheelers 96–99 </w:t>
      </w:r>
      <w:r w:rsidRPr="00560B5F">
        <w:rPr>
          <w:rFonts w:ascii="Helvetica" w:eastAsia="MS Gothic" w:hAnsi="Helvetica" w:cs="MS Gothic" w:hint="eastAsia"/>
          <w:sz w:val="28"/>
          <w:szCs w:val="28"/>
        </w:rPr>
        <w:t>✓</w:t>
      </w:r>
      <w:r w:rsidRPr="00560B5F">
        <w:rPr>
          <w:rFonts w:ascii="Helvetica" w:hAnsi="Helvetica"/>
          <w:sz w:val="28"/>
          <w:szCs w:val="28"/>
        </w:rPr>
        <w:t xml:space="preserve"> </w:t>
      </w:r>
      <w:r w:rsidRPr="00560B5F">
        <w:rPr>
          <w:rFonts w:ascii="Helvetica" w:eastAsia="MS Gothic" w:hAnsi="Helvetica" w:cs="MS Gothic" w:hint="eastAsia"/>
          <w:sz w:val="28"/>
          <w:szCs w:val="28"/>
        </w:rPr>
        <w:t>✓</w:t>
      </w:r>
    </w:p>
    <w:sectPr w:rsidR="00560B5F" w:rsidRPr="00542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748"/>
    <w:rsid w:val="00067ADA"/>
    <w:rsid w:val="002874CB"/>
    <w:rsid w:val="00385549"/>
    <w:rsid w:val="003E2880"/>
    <w:rsid w:val="005424A9"/>
    <w:rsid w:val="00560B5F"/>
    <w:rsid w:val="006C211A"/>
    <w:rsid w:val="00707515"/>
    <w:rsid w:val="007F6360"/>
    <w:rsid w:val="00A474E7"/>
    <w:rsid w:val="00D5164F"/>
    <w:rsid w:val="00D647DF"/>
    <w:rsid w:val="00E0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24A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42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4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24A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42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4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1</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Pradeep Ram</dc:creator>
  <cp:keywords/>
  <dc:description/>
  <cp:lastModifiedBy>A Pradeep Ram</cp:lastModifiedBy>
  <cp:revision>7</cp:revision>
  <dcterms:created xsi:type="dcterms:W3CDTF">2017-12-14T12:46:00Z</dcterms:created>
  <dcterms:modified xsi:type="dcterms:W3CDTF">2017-12-20T13:27:00Z</dcterms:modified>
</cp:coreProperties>
</file>