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eastAsia="zh-CN"/>
        </w:rPr>
      </w:pPr>
      <w:r>
        <w:rPr>
          <w:rFonts w:hint="eastAsia"/>
          <w:sz w:val="28"/>
          <w:szCs w:val="28"/>
          <w:lang w:val="en-US" w:eastAsia="zh-CN"/>
        </w:rPr>
        <w:t>分子动力学模拟（</w:t>
      </w:r>
      <w:r>
        <w:rPr>
          <w:rFonts w:hint="eastAsia" w:ascii="宋体" w:hAnsi="宋体" w:eastAsia="宋体" w:cs="宋体"/>
          <w:b/>
          <w:bCs/>
          <w:color w:val="000000"/>
          <w:kern w:val="0"/>
          <w:sz w:val="28"/>
          <w:szCs w:val="28"/>
          <w:lang w:val="en-US" w:eastAsia="zh-CN" w:bidi="ar"/>
        </w:rPr>
        <w:t>Molecular Dynamics Simulation</w:t>
      </w:r>
      <w:r>
        <w:rPr>
          <w:rFonts w:hint="eastAsia"/>
          <w:sz w:val="28"/>
          <w:szCs w:val="28"/>
          <w:lang w:val="en-US" w:eastAsia="zh-CN"/>
        </w:rPr>
        <w:t>，</w:t>
      </w:r>
      <w:r>
        <w:rPr>
          <w:rFonts w:hint="eastAsia" w:ascii="宋体" w:hAnsi="宋体" w:eastAsia="宋体" w:cs="宋体"/>
          <w:b/>
          <w:bCs/>
          <w:color w:val="000000"/>
          <w:kern w:val="0"/>
          <w:sz w:val="28"/>
          <w:szCs w:val="28"/>
          <w:lang w:val="en-US" w:eastAsia="zh-CN" w:bidi="ar"/>
        </w:rPr>
        <w:t>MD</w:t>
      </w:r>
      <w:r>
        <w:rPr>
          <w:rFonts w:hint="eastAsia"/>
          <w:sz w:val="28"/>
          <w:szCs w:val="28"/>
          <w:lang w:val="en-US" w:eastAsia="zh-CN"/>
        </w:rPr>
        <w:t>）结果报告</w:t>
      </w:r>
    </w:p>
    <w:p>
      <w:pPr>
        <w:jc w:val="left"/>
        <w:rPr>
          <w:rFonts w:hint="eastAsia"/>
          <w:b/>
          <w:bCs/>
          <w:sz w:val="28"/>
          <w:szCs w:val="28"/>
          <w:lang w:val="en-US" w:eastAsia="zh-CN"/>
        </w:rPr>
      </w:pPr>
      <w:r>
        <w:rPr>
          <w:rFonts w:hint="eastAsia"/>
          <w:b/>
          <w:bCs/>
          <w:sz w:val="28"/>
          <w:szCs w:val="28"/>
          <w:lang w:val="en-US" w:eastAsia="zh-CN"/>
        </w:rPr>
        <w:t>结果：</w:t>
      </w: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结合能力</w:t>
      </w:r>
    </w:p>
    <w:p>
      <w:pPr>
        <w:keepNext w:val="0"/>
        <w:keepLines w:val="0"/>
        <w:widowControl/>
        <w:suppressLineNumbers w:val="0"/>
        <w:jc w:val="left"/>
        <w:rPr>
          <w:rFonts w:hint="default" w:ascii="宋体" w:hAnsi="宋体" w:eastAsia="宋体" w:cs="宋体"/>
          <w:b/>
          <w:bCs/>
          <w:lang w:val="en-US" w:eastAsia="zh-CN"/>
        </w:rPr>
      </w:pPr>
      <w:r>
        <w:rPr>
          <w:rFonts w:hint="eastAsia" w:ascii="宋体" w:hAnsi="宋体" w:eastAsia="宋体" w:cs="宋体"/>
          <w:b/>
          <w:bCs/>
          <w:lang w:val="en-US" w:eastAsia="zh-CN"/>
        </w:rPr>
        <w:t>1、</w:t>
      </w:r>
      <w:r>
        <w:rPr>
          <w:rFonts w:hint="default" w:ascii="宋体" w:hAnsi="宋体" w:eastAsia="宋体" w:cs="宋体"/>
          <w:b/>
          <w:bCs/>
          <w:lang w:val="en-US" w:eastAsia="zh-CN"/>
        </w:rPr>
        <w:t xml:space="preserve">结合自由能 </w:t>
      </w:r>
    </w:p>
    <w:p>
      <w:pPr>
        <w:keepNext w:val="0"/>
        <w:keepLines w:val="0"/>
        <w:widowControl/>
        <w:numPr>
          <w:ilvl w:val="0"/>
          <w:numId w:val="0"/>
        </w:numPr>
        <w:suppressLineNumbers w:val="0"/>
        <w:jc w:val="center"/>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3055620" cy="693420"/>
            <wp:effectExtent l="0" t="0" r="7620" b="7620"/>
            <wp:docPr id="1" name="图片 1" descr="1699673362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673362189"/>
                    <pic:cNvPicPr>
                      <a:picLocks noChangeAspect="1"/>
                    </pic:cNvPicPr>
                  </pic:nvPicPr>
                  <pic:blipFill>
                    <a:blip r:embed="rId4"/>
                    <a:stretch>
                      <a:fillRect/>
                    </a:stretch>
                  </pic:blipFill>
                  <pic:spPr>
                    <a:xfrm>
                      <a:off x="0" y="0"/>
                      <a:ext cx="3055620" cy="693420"/>
                    </a:xfrm>
                    <a:prstGeom prst="rect">
                      <a:avLst/>
                    </a:prstGeom>
                  </pic:spPr>
                </pic:pic>
              </a:graphicData>
            </a:graphic>
          </wp:inline>
        </w:drawing>
      </w:r>
    </w:p>
    <w:p>
      <w:pPr>
        <w:keepNext w:val="0"/>
        <w:keepLines w:val="0"/>
        <w:widowControl/>
        <w:numPr>
          <w:ilvl w:val="0"/>
          <w:numId w:val="0"/>
        </w:numPr>
        <w:suppressLineNumbers w:val="0"/>
        <w:jc w:val="center"/>
        <w:rPr>
          <w:rFonts w:hint="default" w:ascii="宋体" w:hAnsi="宋体" w:cs="宋体" w:eastAsiaTheme="minorEastAsia"/>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表 1 复现结果（</w:t>
      </w:r>
      <w:r>
        <w:rPr>
          <w:rFonts w:hint="eastAsia"/>
        </w:rPr>
        <w:t>jz</w:t>
      </w:r>
      <w:r>
        <w:rPr>
          <w:rFonts w:hint="eastAsia"/>
          <w:lang w:val="en-US" w:eastAsia="zh-CN"/>
        </w:rPr>
        <w:t>4</w:t>
      </w:r>
      <w:r>
        <w:rPr>
          <w:rFonts w:hint="eastAsia" w:ascii="宋体" w:hAnsi="宋体" w:eastAsia="宋体" w:cs="宋体"/>
          <w:color w:val="000000"/>
          <w:kern w:val="0"/>
          <w:sz w:val="21"/>
          <w:szCs w:val="21"/>
          <w:lang w:val="en-US" w:eastAsia="zh-CN" w:bidi="ar"/>
        </w:rPr>
        <w:t>）</w:t>
      </w:r>
    </w:p>
    <w:tbl>
      <w:tblPr>
        <w:tblStyle w:val="5"/>
        <w:tblW w:w="9172"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271"/>
        <w:gridCol w:w="1642"/>
        <w:gridCol w:w="1549"/>
        <w:gridCol w:w="1514"/>
        <w:gridCol w:w="1517"/>
        <w:gridCol w:w="167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trHeight w:val="51" w:hRule="atLeast"/>
          <w:jc w:val="center"/>
        </w:trPr>
        <w:tc>
          <w:tcPr>
            <w:tcW w:w="1271" w:type="dxa"/>
            <w:tcBorders>
              <w:bottom w:val="single" w:color="auto" w:sz="4" w:space="0"/>
            </w:tcBorders>
            <w:vAlign w:val="center"/>
          </w:tcPr>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化合物</w:t>
            </w:r>
          </w:p>
        </w:tc>
        <w:tc>
          <w:tcPr>
            <w:tcW w:w="1642" w:type="dxa"/>
            <w:tcBorders>
              <w:bottom w:val="single" w:color="auto" w:sz="4" w:space="0"/>
            </w:tcBorders>
            <w:vAlign w:val="center"/>
          </w:tcPr>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范德华力</w:t>
            </w:r>
            <w:r>
              <w:rPr>
                <w:rFonts w:hint="default" w:ascii="Times New Roman" w:hAnsi="Times New Roman" w:eastAsia="宋体" w:cs="Times New Roman"/>
                <w:color w:val="000000"/>
                <w:kern w:val="0"/>
                <w:sz w:val="18"/>
                <w:szCs w:val="18"/>
                <w:lang w:val="en-US" w:eastAsia="zh-CN" w:bidi="ar"/>
              </w:rPr>
              <w:t>/(kJ·mol</w:t>
            </w:r>
            <w:r>
              <w:rPr>
                <w:rFonts w:hint="default" w:ascii="Times New Roman" w:hAnsi="Times New Roman" w:eastAsia="宋体" w:cs="Times New Roman"/>
                <w:color w:val="000000"/>
                <w:kern w:val="0"/>
                <w:sz w:val="12"/>
                <w:szCs w:val="12"/>
                <w:lang w:val="en-US" w:eastAsia="zh-CN" w:bidi="ar"/>
              </w:rPr>
              <w:t xml:space="preserve">−1 </w:t>
            </w:r>
            <w:r>
              <w:rPr>
                <w:rFonts w:hint="default" w:ascii="Times New Roman" w:hAnsi="Times New Roman" w:eastAsia="宋体" w:cs="Times New Roman"/>
                <w:color w:val="000000"/>
                <w:kern w:val="0"/>
                <w:sz w:val="18"/>
                <w:szCs w:val="18"/>
                <w:lang w:val="en-US" w:eastAsia="zh-CN" w:bidi="ar"/>
              </w:rPr>
              <w:t>)</w:t>
            </w:r>
          </w:p>
        </w:tc>
        <w:tc>
          <w:tcPr>
            <w:tcW w:w="1549" w:type="dxa"/>
            <w:tcBorders>
              <w:bottom w:val="single" w:color="auto" w:sz="4" w:space="0"/>
            </w:tcBorders>
            <w:vAlign w:val="center"/>
          </w:tcPr>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静电势能</w:t>
            </w:r>
            <w:r>
              <w:rPr>
                <w:rFonts w:hint="default" w:ascii="Times New Roman" w:hAnsi="Times New Roman" w:eastAsia="宋体" w:cs="Times New Roman"/>
                <w:color w:val="000000"/>
                <w:kern w:val="0"/>
                <w:sz w:val="18"/>
                <w:szCs w:val="18"/>
                <w:lang w:val="en-US" w:eastAsia="zh-CN" w:bidi="ar"/>
              </w:rPr>
              <w:t>/(kJ·mol</w:t>
            </w:r>
            <w:r>
              <w:rPr>
                <w:rFonts w:hint="default" w:ascii="Times New Roman" w:hAnsi="Times New Roman" w:eastAsia="宋体" w:cs="Times New Roman"/>
                <w:color w:val="000000"/>
                <w:kern w:val="0"/>
                <w:sz w:val="12"/>
                <w:szCs w:val="12"/>
                <w:lang w:val="en-US" w:eastAsia="zh-CN" w:bidi="ar"/>
              </w:rPr>
              <w:t xml:space="preserve">−1 </w:t>
            </w:r>
            <w:r>
              <w:rPr>
                <w:rFonts w:hint="default" w:ascii="Times New Roman" w:hAnsi="Times New Roman" w:eastAsia="宋体" w:cs="Times New Roman"/>
                <w:color w:val="000000"/>
                <w:kern w:val="0"/>
                <w:sz w:val="18"/>
                <w:szCs w:val="18"/>
                <w:lang w:val="en-US" w:eastAsia="zh-CN" w:bidi="ar"/>
              </w:rPr>
              <w:t>)</w:t>
            </w:r>
          </w:p>
        </w:tc>
        <w:tc>
          <w:tcPr>
            <w:tcW w:w="1514" w:type="dxa"/>
            <w:tcBorders>
              <w:bottom w:val="single" w:color="auto" w:sz="4" w:space="0"/>
            </w:tcBorders>
            <w:vAlign w:val="center"/>
          </w:tcPr>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极性溶剂化作</w:t>
            </w:r>
            <w:r>
              <w:rPr>
                <w:rFonts w:hint="default" w:ascii="Times New Roman" w:hAnsi="Times New Roman" w:eastAsia="宋体" w:cs="Times New Roman"/>
                <w:color w:val="000000"/>
                <w:kern w:val="0"/>
                <w:sz w:val="18"/>
                <w:szCs w:val="18"/>
                <w:lang w:val="en-US" w:eastAsia="zh-CN" w:bidi="ar"/>
              </w:rPr>
              <w:t>/</w:t>
            </w:r>
          </w:p>
          <w:p>
            <w:pPr>
              <w:keepNext w:val="0"/>
              <w:keepLines w:val="0"/>
              <w:widowControl/>
              <w:suppressLineNumbers w:val="0"/>
              <w:jc w:val="center"/>
            </w:pPr>
            <w:r>
              <w:rPr>
                <w:rFonts w:hint="default" w:ascii="Times New Roman" w:hAnsi="Times New Roman" w:eastAsia="宋体" w:cs="Times New Roman"/>
                <w:color w:val="000000"/>
                <w:kern w:val="0"/>
                <w:sz w:val="18"/>
                <w:szCs w:val="18"/>
                <w:lang w:val="en-US" w:eastAsia="zh-CN" w:bidi="ar"/>
              </w:rPr>
              <w:t>(kJ·mol</w:t>
            </w:r>
            <w:r>
              <w:rPr>
                <w:rFonts w:hint="default" w:ascii="Times New Roman" w:hAnsi="Times New Roman" w:eastAsia="宋体" w:cs="Times New Roman"/>
                <w:color w:val="000000"/>
                <w:kern w:val="0"/>
                <w:sz w:val="12"/>
                <w:szCs w:val="12"/>
                <w:lang w:val="en-US" w:eastAsia="zh-CN" w:bidi="ar"/>
              </w:rPr>
              <w:t xml:space="preserve">−1 </w:t>
            </w:r>
            <w:r>
              <w:rPr>
                <w:rFonts w:hint="default" w:ascii="Times New Roman" w:hAnsi="Times New Roman" w:eastAsia="宋体" w:cs="Times New Roman"/>
                <w:color w:val="000000"/>
                <w:kern w:val="0"/>
                <w:sz w:val="18"/>
                <w:szCs w:val="18"/>
                <w:lang w:val="en-US" w:eastAsia="zh-CN" w:bidi="ar"/>
              </w:rPr>
              <w:t>)</w:t>
            </w:r>
          </w:p>
        </w:tc>
        <w:tc>
          <w:tcPr>
            <w:tcW w:w="1517" w:type="dxa"/>
            <w:tcBorders>
              <w:bottom w:val="single" w:color="auto" w:sz="4" w:space="0"/>
            </w:tcBorders>
            <w:vAlign w:val="center"/>
          </w:tcPr>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溶剂可及表面积能量</w:t>
            </w:r>
            <w:r>
              <w:rPr>
                <w:rFonts w:hint="default" w:ascii="Times New Roman" w:hAnsi="Times New Roman" w:eastAsia="宋体" w:cs="Times New Roman"/>
                <w:color w:val="000000"/>
                <w:kern w:val="0"/>
                <w:sz w:val="18"/>
                <w:szCs w:val="18"/>
                <w:lang w:val="en-US" w:eastAsia="zh-CN" w:bidi="ar"/>
              </w:rPr>
              <w:t>/</w:t>
            </w:r>
          </w:p>
          <w:p>
            <w:pPr>
              <w:keepNext w:val="0"/>
              <w:keepLines w:val="0"/>
              <w:widowControl/>
              <w:suppressLineNumbers w:val="0"/>
              <w:jc w:val="center"/>
            </w:pPr>
            <w:r>
              <w:rPr>
                <w:rFonts w:hint="default" w:ascii="Times New Roman" w:hAnsi="Times New Roman" w:eastAsia="宋体" w:cs="Times New Roman"/>
                <w:color w:val="000000"/>
                <w:kern w:val="0"/>
                <w:sz w:val="18"/>
                <w:szCs w:val="18"/>
                <w:lang w:val="en-US" w:eastAsia="zh-CN" w:bidi="ar"/>
              </w:rPr>
              <w:t>(kJ·mol</w:t>
            </w:r>
            <w:r>
              <w:rPr>
                <w:rFonts w:hint="default" w:ascii="Times New Roman" w:hAnsi="Times New Roman" w:eastAsia="宋体" w:cs="Times New Roman"/>
                <w:color w:val="000000"/>
                <w:kern w:val="0"/>
                <w:sz w:val="12"/>
                <w:szCs w:val="12"/>
                <w:lang w:val="en-US" w:eastAsia="zh-CN" w:bidi="ar"/>
              </w:rPr>
              <w:t xml:space="preserve">−1 </w:t>
            </w:r>
            <w:r>
              <w:rPr>
                <w:rFonts w:hint="default" w:ascii="Times New Roman" w:hAnsi="Times New Roman" w:eastAsia="宋体" w:cs="Times New Roman"/>
                <w:color w:val="000000"/>
                <w:kern w:val="0"/>
                <w:sz w:val="18"/>
                <w:szCs w:val="18"/>
                <w:lang w:val="en-US" w:eastAsia="zh-CN" w:bidi="ar"/>
              </w:rPr>
              <w:t>)</w:t>
            </w:r>
          </w:p>
        </w:tc>
        <w:tc>
          <w:tcPr>
            <w:tcW w:w="1679" w:type="dxa"/>
            <w:tcBorders>
              <w:bottom w:val="single" w:color="auto" w:sz="4" w:space="0"/>
            </w:tcBorders>
            <w:vAlign w:val="center"/>
          </w:tcPr>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结合自由能</w:t>
            </w:r>
            <w:r>
              <w:rPr>
                <w:rFonts w:hint="default" w:ascii="Times New Roman" w:hAnsi="Times New Roman" w:eastAsia="宋体" w:cs="Times New Roman"/>
                <w:color w:val="000000"/>
                <w:kern w:val="0"/>
                <w:sz w:val="18"/>
                <w:szCs w:val="18"/>
                <w:lang w:val="en-US" w:eastAsia="zh-CN" w:bidi="ar"/>
              </w:rPr>
              <w:t>/</w:t>
            </w:r>
          </w:p>
          <w:p>
            <w:pPr>
              <w:keepNext w:val="0"/>
              <w:keepLines w:val="0"/>
              <w:widowControl/>
              <w:suppressLineNumbers w:val="0"/>
              <w:jc w:val="center"/>
            </w:pPr>
            <w:r>
              <w:rPr>
                <w:rFonts w:hint="default" w:ascii="Times New Roman" w:hAnsi="Times New Roman" w:eastAsia="宋体" w:cs="Times New Roman"/>
                <w:color w:val="000000"/>
                <w:kern w:val="0"/>
                <w:sz w:val="18"/>
                <w:szCs w:val="18"/>
                <w:lang w:val="en-US" w:eastAsia="zh-CN" w:bidi="ar"/>
              </w:rPr>
              <w:t>(kJ·mol</w:t>
            </w:r>
            <w:r>
              <w:rPr>
                <w:rFonts w:hint="default" w:ascii="Times New Roman" w:hAnsi="Times New Roman" w:eastAsia="宋体" w:cs="Times New Roman"/>
                <w:color w:val="000000"/>
                <w:kern w:val="0"/>
                <w:sz w:val="12"/>
                <w:szCs w:val="12"/>
                <w:lang w:val="en-US" w:eastAsia="zh-CN" w:bidi="ar"/>
              </w:rPr>
              <w:t xml:space="preserve">−1 </w:t>
            </w:r>
            <w:r>
              <w:rPr>
                <w:rFonts w:hint="default" w:ascii="Times New Roman" w:hAnsi="Times New Roman" w:eastAsia="宋体" w:cs="Times New Roman"/>
                <w:color w:val="000000"/>
                <w:kern w:val="0"/>
                <w:sz w:val="18"/>
                <w:szCs w:val="18"/>
                <w:lang w:val="en-US" w:eastAsia="zh-CN" w:bidi="ar"/>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7" w:hRule="atLeast"/>
          <w:jc w:val="center"/>
        </w:trPr>
        <w:tc>
          <w:tcPr>
            <w:tcW w:w="1271" w:type="dxa"/>
            <w:tcBorders>
              <w:top w:val="nil"/>
            </w:tcBorders>
            <w:vAlign w:val="center"/>
          </w:tcPr>
          <w:p>
            <w:pPr>
              <w:spacing w:line="360" w:lineRule="auto"/>
              <w:jc w:val="center"/>
              <w:rPr>
                <w:rFonts w:hint="eastAsia" w:eastAsiaTheme="minorEastAsia"/>
                <w:lang w:eastAsia="zh-CN"/>
              </w:rPr>
            </w:pPr>
            <w:r>
              <w:rPr>
                <w:rFonts w:hint="eastAsia"/>
              </w:rPr>
              <w:t>jz4</w:t>
            </w:r>
          </w:p>
        </w:tc>
        <w:tc>
          <w:tcPr>
            <w:tcW w:w="1642" w:type="dxa"/>
            <w:tcBorders>
              <w:top w:val="nil"/>
            </w:tcBorders>
            <w:vAlign w:val="center"/>
          </w:tcPr>
          <w:p>
            <w:pPr>
              <w:spacing w:line="360" w:lineRule="auto"/>
              <w:jc w:val="center"/>
              <w:rPr>
                <w:rFonts w:hint="default"/>
                <w:lang w:val="en-US" w:eastAsia="zh-CN"/>
              </w:rPr>
            </w:pPr>
            <w:r>
              <w:rPr>
                <w:rFonts w:hint="eastAsia"/>
              </w:rPr>
              <w:t>-25.97</w:t>
            </w:r>
            <w:r>
              <w:rPr>
                <w:rFonts w:hint="eastAsia"/>
                <w:lang w:val="en-US" w:eastAsia="zh-CN"/>
              </w:rPr>
              <w:t>±1.87</w:t>
            </w:r>
          </w:p>
        </w:tc>
        <w:tc>
          <w:tcPr>
            <w:tcW w:w="1549" w:type="dxa"/>
            <w:tcBorders>
              <w:top w:val="nil"/>
            </w:tcBorders>
            <w:vAlign w:val="center"/>
          </w:tcPr>
          <w:p>
            <w:pPr>
              <w:spacing w:line="360" w:lineRule="auto"/>
              <w:jc w:val="center"/>
              <w:rPr>
                <w:rFonts w:hint="eastAsia"/>
              </w:rPr>
            </w:pPr>
            <w:r>
              <w:rPr>
                <w:rFonts w:hint="eastAsia"/>
                <w:lang w:val="en-US" w:eastAsia="zh-CN"/>
              </w:rPr>
              <w:t xml:space="preserve">-5.22±2.43 </w:t>
            </w:r>
          </w:p>
        </w:tc>
        <w:tc>
          <w:tcPr>
            <w:tcW w:w="1514" w:type="dxa"/>
            <w:tcBorders>
              <w:top w:val="nil"/>
            </w:tcBorders>
            <w:vAlign w:val="center"/>
          </w:tcPr>
          <w:p>
            <w:pPr>
              <w:spacing w:line="360" w:lineRule="auto"/>
              <w:jc w:val="center"/>
              <w:rPr>
                <w:rFonts w:hint="default"/>
                <w:lang w:val="en-US"/>
              </w:rPr>
            </w:pPr>
            <w:r>
              <w:rPr>
                <w:rFonts w:hint="eastAsia"/>
                <w:lang w:val="en-US" w:eastAsia="zh-CN"/>
              </w:rPr>
              <w:t xml:space="preserve"> 17.27±1.64</w:t>
            </w:r>
          </w:p>
        </w:tc>
        <w:tc>
          <w:tcPr>
            <w:tcW w:w="1517" w:type="dxa"/>
            <w:tcBorders>
              <w:top w:val="nil"/>
            </w:tcBorders>
            <w:vAlign w:val="center"/>
          </w:tcPr>
          <w:p>
            <w:pPr>
              <w:spacing w:line="360" w:lineRule="auto"/>
              <w:jc w:val="center"/>
              <w:rPr>
                <w:rFonts w:hint="default"/>
                <w:lang w:val="en-US"/>
              </w:rPr>
            </w:pPr>
            <w:r>
              <w:rPr>
                <w:rFonts w:hint="eastAsia"/>
                <w:lang w:val="en-US" w:eastAsia="zh-CN"/>
              </w:rPr>
              <w:t>26.68±1.98</w:t>
            </w:r>
          </w:p>
        </w:tc>
        <w:tc>
          <w:tcPr>
            <w:tcW w:w="1679" w:type="dxa"/>
            <w:tcBorders>
              <w:top w:val="nil"/>
            </w:tcBorders>
            <w:vAlign w:val="center"/>
          </w:tcPr>
          <w:p>
            <w:pPr>
              <w:spacing w:line="360" w:lineRule="auto"/>
              <w:jc w:val="center"/>
              <w:rPr>
                <w:rFonts w:hint="default"/>
                <w:lang w:val="en-US"/>
              </w:rPr>
            </w:pPr>
            <w:r>
              <w:rPr>
                <w:rFonts w:hint="eastAsia"/>
                <w:lang w:val="en-US" w:eastAsia="zh-CN"/>
              </w:rPr>
              <w:t>-4.51±2.49</w:t>
            </w:r>
          </w:p>
        </w:tc>
      </w:tr>
    </w:tbl>
    <w:p>
      <w:pPr>
        <w:keepNext w:val="0"/>
        <w:keepLines w:val="0"/>
        <w:widowControl/>
        <w:numPr>
          <w:ilvl w:val="0"/>
          <w:numId w:val="0"/>
        </w:numPr>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解释：</w:t>
      </w:r>
      <w:r>
        <w:rPr>
          <w:rFonts w:hint="default" w:ascii="宋体" w:hAnsi="宋体" w:eastAsia="宋体" w:cs="宋体"/>
          <w:color w:val="000000"/>
          <w:kern w:val="0"/>
          <w:sz w:val="21"/>
          <w:szCs w:val="21"/>
          <w:lang w:val="en-US" w:eastAsia="zh-CN" w:bidi="ar"/>
        </w:rPr>
        <w:t>可以更准确地反映靶蛋白与小分子（受体-配体）的结合方式。负值表示小分子与靶蛋白具有结合亲和力，值越低表示结合力越强</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复合物的稳定性</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2、均方根偏差（root mean square deviation，RMSD）</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解释：</w:t>
      </w:r>
      <w:r>
        <w:rPr>
          <w:rFonts w:hint="eastAsia" w:ascii="宋体" w:hAnsi="宋体" w:eastAsia="宋体" w:cs="宋体"/>
          <w:color w:val="000000"/>
          <w:kern w:val="0"/>
          <w:sz w:val="21"/>
          <w:szCs w:val="21"/>
          <w:lang w:val="en-US" w:eastAsia="zh-CN" w:bidi="ar"/>
        </w:rPr>
        <w:t xml:space="preserve">分子动力学模拟的 </w:t>
      </w:r>
      <w:r>
        <w:rPr>
          <w:rFonts w:hint="default" w:ascii="Times New Roman" w:hAnsi="Times New Roman" w:eastAsia="宋体" w:cs="Times New Roman"/>
          <w:color w:val="000000"/>
          <w:kern w:val="0"/>
          <w:sz w:val="21"/>
          <w:szCs w:val="21"/>
          <w:lang w:val="en-US" w:eastAsia="zh-CN" w:bidi="ar"/>
        </w:rPr>
        <w:t xml:space="preserve">RMSD </w:t>
      </w:r>
      <w:r>
        <w:rPr>
          <w:rFonts w:hint="eastAsia" w:ascii="宋体" w:hAnsi="宋体" w:eastAsia="宋体" w:cs="宋体"/>
          <w:color w:val="000000"/>
          <w:kern w:val="0"/>
          <w:sz w:val="21"/>
          <w:szCs w:val="21"/>
          <w:lang w:val="en-US" w:eastAsia="zh-CN" w:bidi="ar"/>
        </w:rPr>
        <w:t>可反映受体</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配体复合物的运动过程，复合物的 </w:t>
      </w:r>
      <w:r>
        <w:rPr>
          <w:rFonts w:hint="default" w:ascii="Times New Roman" w:hAnsi="Times New Roman" w:eastAsia="宋体" w:cs="Times New Roman"/>
          <w:color w:val="000000"/>
          <w:kern w:val="0"/>
          <w:sz w:val="21"/>
          <w:szCs w:val="21"/>
          <w:lang w:val="en-US" w:eastAsia="zh-CN" w:bidi="ar"/>
        </w:rPr>
        <w:t xml:space="preserve">RMSD </w:t>
      </w:r>
      <w:r>
        <w:rPr>
          <w:rFonts w:hint="eastAsia" w:ascii="宋体" w:hAnsi="宋体" w:eastAsia="宋体" w:cs="宋体"/>
          <w:color w:val="000000"/>
          <w:kern w:val="0"/>
          <w:sz w:val="21"/>
          <w:szCs w:val="21"/>
          <w:lang w:val="en-US" w:eastAsia="zh-CN" w:bidi="ar"/>
        </w:rPr>
        <w:t>越大，波动越剧烈，则不稳定性越高；相反则复合物体系越稳定。</w:t>
      </w:r>
    </w:p>
    <w:p>
      <w:pPr>
        <w:keepNext w:val="0"/>
        <w:keepLines w:val="0"/>
        <w:widowControl/>
        <w:numPr>
          <w:ilvl w:val="0"/>
          <w:numId w:val="0"/>
        </w:numPr>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 1 均方根误差（</w:t>
      </w:r>
      <w:r>
        <w:rPr>
          <w:rFonts w:hint="eastAsia"/>
        </w:rPr>
        <w:t>jz</w:t>
      </w:r>
      <w:r>
        <w:rPr>
          <w:rFonts w:hint="eastAsia"/>
          <w:lang w:val="en-US" w:eastAsia="zh-CN"/>
        </w:rPr>
        <w:t>4</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74310" cy="1883410"/>
            <wp:effectExtent l="0" t="0" r="13970" b="6350"/>
            <wp:docPr id="2" name="图片 2" descr="rm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msd"/>
                    <pic:cNvPicPr>
                      <a:picLocks noChangeAspect="1"/>
                    </pic:cNvPicPr>
                  </pic:nvPicPr>
                  <pic:blipFill>
                    <a:blip r:embed="rId5"/>
                    <a:stretch>
                      <a:fillRect/>
                    </a:stretch>
                  </pic:blipFill>
                  <pic:spPr>
                    <a:xfrm>
                      <a:off x="0" y="0"/>
                      <a:ext cx="5274310" cy="188341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蛋白质残基的稳定性</w:t>
      </w: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3、均方根波动（root mean square fluctuation，RMSF）</w:t>
      </w:r>
      <w:r>
        <w:rPr>
          <w:rFonts w:hint="default" w:ascii="Times New Roman" w:hAnsi="Times New Roman" w:eastAsia="宋体" w:cs="Times New Roman"/>
          <w:color w:val="000000"/>
          <w:kern w:val="0"/>
          <w:sz w:val="21"/>
          <w:szCs w:val="21"/>
          <w:lang w:val="en-US" w:eastAsia="zh-CN" w:bidi="ar"/>
        </w:rPr>
        <w:t>RMSF</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0.2 nm</w:t>
      </w:r>
      <w:r>
        <w:rPr>
          <w:rFonts w:hint="eastAsia" w:ascii="Times New Roman" w:hAnsi="Times New Roman" w:eastAsia="宋体" w:cs="Times New Roman"/>
          <w:color w:val="000000"/>
          <w:kern w:val="0"/>
          <w:sz w:val="21"/>
          <w:szCs w:val="21"/>
          <w:lang w:val="en-US" w:eastAsia="zh-CN" w:bidi="ar"/>
        </w:rPr>
        <w:t xml:space="preserve"> 为较低波动</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b/>
          <w:bCs/>
          <w:color w:val="000000"/>
          <w:kern w:val="0"/>
          <w:sz w:val="21"/>
          <w:szCs w:val="21"/>
          <w:lang w:val="en-US" w:eastAsia="zh-CN" w:bidi="ar"/>
        </w:rPr>
        <w:t>解释：</w:t>
      </w:r>
      <w:r>
        <w:rPr>
          <w:rFonts w:hint="default" w:ascii="宋体" w:hAnsi="宋体" w:eastAsia="宋体" w:cs="宋体"/>
          <w:color w:val="000000"/>
          <w:kern w:val="0"/>
          <w:sz w:val="21"/>
          <w:szCs w:val="21"/>
          <w:lang w:val="en-US" w:eastAsia="zh-CN" w:bidi="ar"/>
        </w:rPr>
        <w:t>目标蛋白在残基水平上的稳定性</w:t>
      </w:r>
      <w:r>
        <w:rPr>
          <w:rFonts w:hint="eastAsia" w:ascii="宋体" w:hAnsi="宋体" w:eastAsia="宋体" w:cs="宋体"/>
          <w:color w:val="000000"/>
          <w:kern w:val="0"/>
          <w:sz w:val="21"/>
          <w:szCs w:val="21"/>
          <w:lang w:val="en-US" w:eastAsia="zh-CN" w:bidi="ar"/>
        </w:rPr>
        <w:t>，这是</w:t>
      </w:r>
      <w:r>
        <w:rPr>
          <w:rFonts w:hint="default" w:ascii="宋体" w:hAnsi="宋体" w:eastAsia="宋体" w:cs="宋体"/>
          <w:color w:val="000000"/>
          <w:kern w:val="0"/>
          <w:sz w:val="21"/>
          <w:szCs w:val="21"/>
          <w:lang w:val="en-US" w:eastAsia="zh-CN" w:bidi="ar"/>
        </w:rPr>
        <w:t>为了探索大分子蛋白在残基水平上的局部波动，用以反映蛋白质在分子动力学模拟过程中的灵活性。通常药物与蛋白质结合后，蛋白质的柔性降低，从而达到稳定蛋白质的作用，发挥酶促作用。复合物的 RMSF 峰值与谷值位置基本相同，表明起效部位近似，可能是通过类似的机制发挥功效的。</w:t>
      </w:r>
    </w:p>
    <w:p>
      <w:pPr>
        <w:keepNext w:val="0"/>
        <w:keepLines w:val="0"/>
        <w:widowControl/>
        <w:numPr>
          <w:ilvl w:val="0"/>
          <w:numId w:val="0"/>
        </w:numPr>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 2 均方根波动（</w:t>
      </w:r>
      <w:r>
        <w:rPr>
          <w:rFonts w:hint="eastAsia"/>
        </w:rPr>
        <w:t>jz</w:t>
      </w:r>
      <w:r>
        <w:rPr>
          <w:rFonts w:hint="eastAsia"/>
          <w:lang w:val="en-US" w:eastAsia="zh-CN"/>
        </w:rPr>
        <w:t>4</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5274310" cy="1883410"/>
            <wp:effectExtent l="0" t="0" r="13970" b="6350"/>
            <wp:docPr id="4" name="图片 4" descr="rm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msf"/>
                    <pic:cNvPicPr>
                      <a:picLocks noChangeAspect="1"/>
                    </pic:cNvPicPr>
                  </pic:nvPicPr>
                  <pic:blipFill>
                    <a:blip r:embed="rId6"/>
                    <a:stretch>
                      <a:fillRect/>
                    </a:stretch>
                  </pic:blipFill>
                  <pic:spPr>
                    <a:xfrm>
                      <a:off x="0" y="0"/>
                      <a:ext cx="5274310" cy="1883410"/>
                    </a:xfrm>
                    <a:prstGeom prst="rect">
                      <a:avLst/>
                    </a:prstGeom>
                  </pic:spPr>
                </pic:pic>
              </a:graphicData>
            </a:graphic>
          </wp:inline>
        </w:drawing>
      </w: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相互作用方式</w:t>
      </w: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4、</w:t>
      </w:r>
      <w:r>
        <w:rPr>
          <w:rFonts w:hint="default" w:ascii="宋体" w:hAnsi="宋体" w:eastAsia="宋体" w:cs="宋体"/>
          <w:b/>
          <w:bCs/>
          <w:color w:val="000000"/>
          <w:kern w:val="0"/>
          <w:sz w:val="21"/>
          <w:szCs w:val="21"/>
          <w:lang w:val="en-US" w:eastAsia="zh-CN" w:bidi="ar"/>
        </w:rPr>
        <w:t xml:space="preserve">氢键分析 </w:t>
      </w:r>
      <w:r>
        <w:rPr>
          <w:rFonts w:hint="eastAsia" w:ascii="宋体" w:hAnsi="宋体" w:eastAsia="宋体" w:cs="宋体"/>
          <w:b/>
          <w:bCs/>
          <w:color w:val="000000"/>
          <w:kern w:val="0"/>
          <w:sz w:val="21"/>
          <w:szCs w:val="21"/>
          <w:lang w:val="en-US" w:eastAsia="zh-CN" w:bidi="ar"/>
        </w:rPr>
        <w:t>（hydrogen bonding interaction，H-bond）</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解释：</w:t>
      </w:r>
      <w:r>
        <w:rPr>
          <w:rFonts w:hint="default" w:ascii="宋体" w:hAnsi="宋体" w:eastAsia="宋体" w:cs="宋体"/>
          <w:color w:val="000000"/>
          <w:kern w:val="0"/>
          <w:sz w:val="21"/>
          <w:szCs w:val="21"/>
          <w:lang w:val="en-US" w:eastAsia="zh-CN" w:bidi="ar"/>
        </w:rPr>
        <w:t>氢键是最强的非共价结合相互作用之一。氢键数量越多，则证明结合效果越好。结果</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表明，</w:t>
      </w:r>
      <w:r>
        <w:rPr>
          <w:rFonts w:hint="eastAsia" w:ascii="宋体" w:hAnsi="宋体" w:eastAsia="宋体" w:cs="宋体"/>
          <w:color w:val="000000"/>
          <w:kern w:val="0"/>
          <w:sz w:val="21"/>
          <w:szCs w:val="21"/>
          <w:lang w:val="en-US" w:eastAsia="zh-CN" w:bidi="ar"/>
        </w:rPr>
        <w:t>判断</w:t>
      </w:r>
      <w:r>
        <w:rPr>
          <w:rFonts w:hint="default" w:ascii="宋体" w:hAnsi="宋体" w:eastAsia="宋体" w:cs="宋体"/>
          <w:color w:val="000000"/>
          <w:kern w:val="0"/>
          <w:sz w:val="21"/>
          <w:szCs w:val="21"/>
          <w:lang w:val="en-US" w:eastAsia="zh-CN" w:bidi="ar"/>
        </w:rPr>
        <w:t>相互作用</w:t>
      </w:r>
      <w:r>
        <w:rPr>
          <w:rFonts w:hint="eastAsia" w:ascii="宋体" w:hAnsi="宋体" w:eastAsia="宋体" w:cs="宋体"/>
          <w:color w:val="000000"/>
          <w:kern w:val="0"/>
          <w:sz w:val="21"/>
          <w:szCs w:val="21"/>
          <w:lang w:val="en-US" w:eastAsia="zh-CN" w:bidi="ar"/>
        </w:rPr>
        <w:t>是否</w:t>
      </w:r>
      <w:r>
        <w:rPr>
          <w:rFonts w:hint="default" w:ascii="宋体" w:hAnsi="宋体" w:eastAsia="宋体" w:cs="宋体"/>
          <w:color w:val="000000"/>
          <w:kern w:val="0"/>
          <w:sz w:val="21"/>
          <w:szCs w:val="21"/>
          <w:lang w:val="en-US" w:eastAsia="zh-CN" w:bidi="ar"/>
        </w:rPr>
        <w:t xml:space="preserve">以氢键为主。 </w:t>
      </w:r>
      <w:r>
        <w:rPr>
          <w:rFonts w:hint="eastAsia" w:ascii="宋体" w:hAnsi="宋体" w:eastAsia="宋体" w:cs="宋体"/>
          <w:color w:val="000000"/>
          <w:kern w:val="0"/>
          <w:sz w:val="21"/>
          <w:szCs w:val="21"/>
          <w:lang w:val="en-US" w:eastAsia="zh-CN" w:bidi="ar"/>
        </w:rPr>
        <w:t>其他氢键数量少的可能是</w:t>
      </w:r>
      <w:r>
        <w:rPr>
          <w:rFonts w:hint="default" w:ascii="宋体" w:hAnsi="宋体" w:eastAsia="宋体" w:cs="宋体"/>
          <w:color w:val="000000"/>
          <w:kern w:val="0"/>
          <w:sz w:val="21"/>
          <w:szCs w:val="21"/>
          <w:lang w:val="en-US" w:eastAsia="zh-CN" w:bidi="ar"/>
        </w:rPr>
        <w:t>疏水作用发生的。</w:t>
      </w:r>
    </w:p>
    <w:p>
      <w:pPr>
        <w:keepNext w:val="0"/>
        <w:keepLines w:val="0"/>
        <w:widowControl/>
        <w:numPr>
          <w:ilvl w:val="0"/>
          <w:numId w:val="0"/>
        </w:numPr>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 3 均方根波动（</w:t>
      </w:r>
      <w:r>
        <w:rPr>
          <w:rFonts w:hint="eastAsia"/>
        </w:rPr>
        <w:t>jz</w:t>
      </w:r>
      <w:r>
        <w:rPr>
          <w:rFonts w:hint="eastAsia"/>
          <w:lang w:val="en-US" w:eastAsia="zh-CN"/>
        </w:rPr>
        <w:t>4</w:t>
      </w:r>
      <w:r>
        <w:rPr>
          <w:rFonts w:hint="eastAsia" w:ascii="宋体" w:hAnsi="宋体" w:eastAsia="宋体" w:cs="宋体"/>
          <w:color w:val="000000"/>
          <w:kern w:val="0"/>
          <w:sz w:val="21"/>
          <w:szCs w:val="21"/>
          <w:lang w:val="en-US" w:eastAsia="zh-CN" w:bidi="ar"/>
        </w:rPr>
        <w:t>）</w:t>
      </w:r>
    </w:p>
    <w:p>
      <w:pPr>
        <w:keepNext w:val="0"/>
        <w:keepLines w:val="0"/>
        <w:widowControl/>
        <w:numPr>
          <w:ilvl w:val="0"/>
          <w:numId w:val="0"/>
        </w:numPr>
        <w:suppressLineNumbers w:val="0"/>
        <w:jc w:val="center"/>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5274310" cy="1883410"/>
            <wp:effectExtent l="0" t="0" r="13970" b="6350"/>
            <wp:docPr id="6" name="图片 6" descr="hb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bond"/>
                    <pic:cNvPicPr>
                      <a:picLocks noChangeAspect="1"/>
                    </pic:cNvPicPr>
                  </pic:nvPicPr>
                  <pic:blipFill>
                    <a:blip r:embed="rId7"/>
                    <a:stretch>
                      <a:fillRect/>
                    </a:stretch>
                  </pic:blipFill>
                  <pic:spPr>
                    <a:xfrm>
                      <a:off x="0" y="0"/>
                      <a:ext cx="5274310" cy="1883410"/>
                    </a:xfrm>
                    <a:prstGeom prst="rect">
                      <a:avLst/>
                    </a:prstGeom>
                  </pic:spPr>
                </pic:pic>
              </a:graphicData>
            </a:graphic>
          </wp:inline>
        </w:drawing>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复合物结合的紧密程度</w:t>
      </w:r>
    </w:p>
    <w:p>
      <w:pPr>
        <w:keepNext w:val="0"/>
        <w:keepLines w:val="0"/>
        <w:widowControl/>
        <w:numPr>
          <w:ilvl w:val="0"/>
          <w:numId w:val="1"/>
        </w:numPr>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回转半径（</w:t>
      </w:r>
      <w:r>
        <w:rPr>
          <w:rFonts w:hint="default" w:ascii="宋体" w:hAnsi="宋体" w:eastAsia="宋体" w:cs="宋体"/>
          <w:b/>
          <w:bCs/>
          <w:color w:val="000000"/>
          <w:kern w:val="0"/>
          <w:sz w:val="21"/>
          <w:szCs w:val="21"/>
          <w:lang w:val="en-US" w:eastAsia="zh-CN" w:bidi="ar"/>
        </w:rPr>
        <w:t>radius of gyration</w:t>
      </w:r>
      <w:r>
        <w:rPr>
          <w:rFonts w:hint="eastAsia" w:ascii="宋体" w:hAnsi="宋体" w:eastAsia="宋体" w:cs="宋体"/>
          <w:b/>
          <w:bCs/>
          <w:color w:val="000000"/>
          <w:kern w:val="0"/>
          <w:sz w:val="21"/>
          <w:szCs w:val="21"/>
          <w:lang w:val="en-US" w:eastAsia="zh-CN" w:bidi="ar"/>
        </w:rPr>
        <w:t>，</w:t>
      </w:r>
      <w:r>
        <w:rPr>
          <w:rFonts w:hint="default" w:ascii="宋体" w:hAnsi="宋体" w:eastAsia="宋体" w:cs="宋体"/>
          <w:b/>
          <w:bCs/>
          <w:color w:val="000000"/>
          <w:kern w:val="0"/>
          <w:sz w:val="21"/>
          <w:szCs w:val="21"/>
          <w:lang w:val="en-US" w:eastAsia="zh-CN" w:bidi="ar"/>
        </w:rPr>
        <w:t>ROG</w:t>
      </w:r>
      <w:r>
        <w:rPr>
          <w:rFonts w:hint="eastAsia" w:ascii="宋体" w:hAnsi="宋体" w:eastAsia="宋体" w:cs="宋体"/>
          <w:b/>
          <w:bCs/>
          <w:color w:val="000000"/>
          <w:kern w:val="0"/>
          <w:sz w:val="21"/>
          <w:szCs w:val="21"/>
          <w:lang w:val="en-US" w:eastAsia="zh-CN" w:bidi="ar"/>
        </w:rPr>
        <w:t>）</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解释：</w:t>
      </w:r>
      <w:r>
        <w:rPr>
          <w:rFonts w:hint="eastAsia" w:ascii="宋体" w:hAnsi="宋体" w:eastAsia="宋体" w:cs="宋体"/>
          <w:color w:val="000000"/>
          <w:kern w:val="0"/>
          <w:sz w:val="21"/>
          <w:szCs w:val="21"/>
          <w:lang w:val="en-US" w:eastAsia="zh-CN" w:bidi="ar"/>
        </w:rPr>
        <w:t xml:space="preserve">分析 </w:t>
      </w:r>
      <w:r>
        <w:rPr>
          <w:rFonts w:hint="default" w:ascii="Times New Roman" w:hAnsi="Times New Roman" w:eastAsia="宋体" w:cs="Times New Roman"/>
          <w:color w:val="000000"/>
          <w:kern w:val="0"/>
          <w:sz w:val="21"/>
          <w:szCs w:val="21"/>
          <w:lang w:val="en-US" w:eastAsia="zh-CN" w:bidi="ar"/>
        </w:rPr>
        <w:t xml:space="preserve">ROG </w:t>
      </w:r>
      <w:r>
        <w:rPr>
          <w:rFonts w:hint="eastAsia" w:ascii="宋体" w:hAnsi="宋体" w:eastAsia="宋体" w:cs="宋体"/>
          <w:color w:val="000000"/>
          <w:kern w:val="0"/>
          <w:sz w:val="21"/>
          <w:szCs w:val="21"/>
          <w:lang w:val="en-US" w:eastAsia="zh-CN" w:bidi="ar"/>
        </w:rPr>
        <w:t>反映了受体</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配体结合的紧密性，并能反映结合体系的约束程度。</w:t>
      </w:r>
    </w:p>
    <w:p>
      <w:pPr>
        <w:keepNext w:val="0"/>
        <w:keepLines w:val="0"/>
        <w:widowControl/>
        <w:numPr>
          <w:ilvl w:val="0"/>
          <w:numId w:val="0"/>
        </w:numPr>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 4 回转半径（</w:t>
      </w:r>
      <w:r>
        <w:rPr>
          <w:rFonts w:hint="eastAsia"/>
        </w:rPr>
        <w:t>jz</w:t>
      </w:r>
      <w:r>
        <w:rPr>
          <w:rFonts w:hint="eastAsia"/>
          <w:lang w:val="en-US" w:eastAsia="zh-CN"/>
        </w:rPr>
        <w:t>4</w:t>
      </w:r>
      <w:r>
        <w:rPr>
          <w:rFonts w:hint="eastAsia" w:ascii="宋体" w:hAnsi="宋体" w:eastAsia="宋体" w:cs="宋体"/>
          <w:color w:val="000000"/>
          <w:kern w:val="0"/>
          <w:sz w:val="21"/>
          <w:szCs w:val="21"/>
          <w:lang w:val="en-US" w:eastAsia="zh-CN" w:bidi="ar"/>
        </w:rPr>
        <w:t>）</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74310" cy="1883410"/>
            <wp:effectExtent l="0" t="0" r="13970" b="6350"/>
            <wp:docPr id="5" name="图片 5" descr="rg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gyr"/>
                    <pic:cNvPicPr>
                      <a:picLocks noChangeAspect="1"/>
                    </pic:cNvPicPr>
                  </pic:nvPicPr>
                  <pic:blipFill>
                    <a:blip r:embed="rId8"/>
                    <a:stretch>
                      <a:fillRect/>
                    </a:stretch>
                  </pic:blipFill>
                  <pic:spPr>
                    <a:xfrm>
                      <a:off x="0" y="0"/>
                      <a:ext cx="5274310" cy="1883410"/>
                    </a:xfrm>
                    <a:prstGeom prst="rect">
                      <a:avLst/>
                    </a:prstGeom>
                  </pic:spPr>
                </pic:pic>
              </a:graphicData>
            </a:graphic>
          </wp:inline>
        </w:drawing>
      </w:r>
    </w:p>
    <w:p>
      <w:pPr>
        <w:jc w:val="both"/>
        <w:rPr>
          <w:rFonts w:hint="eastAsia"/>
        </w:rPr>
      </w:pPr>
    </w:p>
    <w:p>
      <w:pPr>
        <w:jc w:val="both"/>
        <w:rPr>
          <w:rFonts w:hint="eastAsia"/>
        </w:rPr>
      </w:pPr>
    </w:p>
    <w:p>
      <w:pPr>
        <w:jc w:val="both"/>
        <w:rPr>
          <w:rFonts w:hint="eastAsia"/>
        </w:rPr>
      </w:pPr>
    </w:p>
    <w:p>
      <w:pPr>
        <w:jc w:val="both"/>
        <w:rPr>
          <w:rFonts w:hint="eastAsia"/>
          <w:b/>
          <w:bCs/>
          <w:lang w:val="en-US" w:eastAsia="zh-CN"/>
        </w:rPr>
      </w:pPr>
      <w:r>
        <w:rPr>
          <w:rFonts w:hint="eastAsia"/>
          <w:b/>
          <w:bCs/>
          <w:lang w:val="en-US" w:eastAsia="zh-CN"/>
        </w:rPr>
        <w:t>名词解释：</w:t>
      </w:r>
    </w:p>
    <w:p>
      <w:pPr>
        <w:jc w:val="both"/>
        <w:rPr>
          <w:rFonts w:hint="eastAsia" w:ascii="宋体" w:hAnsi="宋体" w:eastAsia="宋体" w:cs="宋体"/>
          <w:color w:val="000000"/>
          <w:kern w:val="0"/>
          <w:sz w:val="21"/>
          <w:szCs w:val="21"/>
          <w:lang w:val="en-US" w:eastAsia="zh-CN" w:bidi="ar"/>
        </w:rPr>
      </w:pPr>
      <w:r>
        <w:rPr>
          <w:rFonts w:ascii="宋体" w:hAnsi="宋体" w:eastAsia="宋体" w:cs="宋体"/>
          <w:sz w:val="24"/>
          <w:szCs w:val="24"/>
        </w:rPr>
        <w:br w:type="textWrapping"/>
      </w:r>
      <w:r>
        <w:rPr>
          <w:rFonts w:hint="eastAsia" w:ascii="宋体" w:hAnsi="宋体" w:eastAsia="宋体" w:cs="宋体"/>
          <w:color w:val="000000"/>
          <w:kern w:val="0"/>
          <w:sz w:val="21"/>
          <w:szCs w:val="21"/>
          <w:lang w:val="en-US" w:eastAsia="zh-CN" w:bidi="ar"/>
        </w:rPr>
        <w:t>π-π键（pi-pi键）是指两个芳香环之间的相互作用，其中π电子云相互重叠。这种键通常发生在含有共轭系统的分子中，如芳香化合物。π-π键是一种非共价相互作用，其中相互作用的主要驱动力是π电子云的相互吸引力。</w:t>
      </w:r>
    </w:p>
    <w:p>
      <w:pPr>
        <w:jc w:val="both"/>
        <w:rPr>
          <w:rFonts w:hint="eastAsia" w:ascii="宋体" w:hAnsi="宋体" w:eastAsia="宋体" w:cs="宋体"/>
          <w:color w:val="000000"/>
          <w:kern w:val="0"/>
          <w:sz w:val="21"/>
          <w:szCs w:val="21"/>
          <w:lang w:val="en-US" w:eastAsia="zh-CN" w:bidi="ar"/>
        </w:rPr>
      </w:pPr>
    </w:p>
    <w:p>
      <w:pPr>
        <w:jc w:val="both"/>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结合亲水性小分子： 蛋白质表面通常具有疏水区域，而很多小分子药物则是亲水性的。在分子对接中，疏水作用可以促使小分子药物朝着蛋白质的疏水区域移动，以最小化与水的相互作用，从而增强蛋白质与小分子的结合</w:t>
      </w:r>
      <w:r>
        <w:rPr>
          <w:rFonts w:hint="eastAsia" w:ascii="宋体" w:hAnsi="宋体" w:eastAsia="宋体" w:cs="宋体"/>
          <w:color w:val="000000"/>
          <w:kern w:val="0"/>
          <w:sz w:val="21"/>
          <w:szCs w:val="21"/>
          <w:lang w:val="en-US" w:eastAsia="zh-CN" w:bidi="ar"/>
        </w:rPr>
        <w:t>。</w:t>
      </w:r>
    </w:p>
    <w:p>
      <w:pPr>
        <w:jc w:val="both"/>
        <w:rPr>
          <w:rFonts w:hint="eastAsia" w:ascii="宋体" w:hAnsi="宋体" w:eastAsia="宋体" w:cs="宋体"/>
          <w:color w:val="000000"/>
          <w:kern w:val="0"/>
          <w:sz w:val="21"/>
          <w:szCs w:val="21"/>
          <w:lang w:val="en-US" w:eastAsia="zh-CN" w:bidi="ar"/>
        </w:rPr>
      </w:pPr>
    </w:p>
    <w:p>
      <w:pPr>
        <w:jc w:val="both"/>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形成疏水核心： 在蛋白质-小分子复合物中，疏水残基可能会通过疏水作用形成疏水核心。这种核心在一定程度上增强了蛋白质的结构稳定性，因为这种排除水的方式有助于降低系统的自由能。蛋白质折叠： 疏水作用也参与了蛋白质的折叠过程。蛋白质在折叠过程中通常会使疏水残基躲避水分子，形成疏水核心，这有助于蛋白质结构的稳定。</w:t>
      </w:r>
    </w:p>
    <w:p>
      <w:pPr>
        <w:jc w:val="both"/>
        <w:rPr>
          <w:rFonts w:hint="eastAsia" w:ascii="宋体" w:hAnsi="宋体" w:eastAsia="宋体" w:cs="宋体"/>
          <w:color w:val="000000"/>
          <w:kern w:val="0"/>
          <w:sz w:val="21"/>
          <w:szCs w:val="21"/>
          <w:lang w:val="en-US" w:eastAsia="zh-CN" w:bidi="ar"/>
        </w:rPr>
      </w:pPr>
    </w:p>
    <w:p>
      <w:pPr>
        <w:jc w:val="both"/>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预测结合位点： 通过对蛋白质结构中的疏水区域进行分析，可以预测分子对接时可能的结合位点。药物设计中的一项重要目标就是使小分子药物与蛋白质的疏水区域相互作用，从而实现更牢固的结合。</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"Pi-alkyl" 指的是 π电子云（通常来自芳香环或双键）与烷基基团之间的相互作用。</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"Pi-pi" 指的是两个芳香环之间 π电子云的相互作用。</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范德华力（van der Waals forces）是一种分子间相互作用力，是由于分子间诱导的极短暂的极性而产生的。这种相互作用是分子之间的一种弱吸引力，通常在相对较近的距离内发生。</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范德华力包括两种主要类型：</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分子间的London强散射力（London Dispersion Forces）： 这是由于电子云的瞬时极性而引起的相互作用。即使在没有永久电荷的非极性分子中，电子的运动也可以导致短暂的极性，从而产生相互吸引的London力。</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取向力（Orientation Forces）： 这种相互作用发生在有极性分子的情况下，其中分子的永久电偶极矩可以与邻近分子的电场相互作用。这种取向力通常比London力更强。</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范德华力是分子之间相互作用的主要成分之一，特别是在非极性分子之间。虽然这种力比共价键和离子键弱，但在大量分子集体中的累积效应可以产生显著的影响，影响物质的物理和化学性质，如沸点、溶解度等。</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bookmarkStart w:id="0" w:name="_GoBack"/>
      <w:bookmarkEnd w:id="0"/>
    </w:p>
    <w:p>
      <w:pPr>
        <w:jc w:val="both"/>
        <w:rPr>
          <w:rFonts w:hint="default" w:ascii="宋体" w:hAnsi="宋体" w:eastAsia="宋体" w:cs="宋体"/>
          <w:b/>
          <w:bCs/>
          <w:color w:val="000000"/>
          <w:kern w:val="0"/>
          <w:sz w:val="21"/>
          <w:szCs w:val="21"/>
          <w:lang w:val="en-US" w:eastAsia="zh-CN" w:bidi="ar"/>
        </w:rPr>
      </w:pPr>
      <w:r>
        <w:rPr>
          <w:rFonts w:hint="default" w:ascii="宋体" w:hAnsi="宋体" w:eastAsia="宋体" w:cs="宋体"/>
          <w:b/>
          <w:bCs/>
          <w:color w:val="000000"/>
          <w:kern w:val="0"/>
          <w:sz w:val="21"/>
          <w:szCs w:val="21"/>
          <w:lang w:val="en-US" w:eastAsia="zh-CN" w:bidi="ar"/>
        </w:rPr>
        <w:t>这些相互作用在化学和生物学中扮演着重要的角色，影响着分子的结构、性质和功能。以下是这些相互作用的简要说明：</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范德华力（van der Waals forces）： 范德华力包括分子间的London强散射力和取向力。它是分子之间的弱相互作用，影响分子的稳定性和物理性质，如沸点和溶解度。</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π-σ键： π-σ键是指 π电子云与σ键（单键）之间的相互作用。这种键有助于分子的立体结构和电子分布。</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π-烷基键： π-烷基键是π电子与烷基（碳氢链）之间的相互作用。这种键对于分子之间的叠合和相互作用至关重要。</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π-阳离子键： π-阳离子键是指π电子与带正电的阳离子之间的相互作用。它在有机化学中常用于描述芳香物质和阳离子之间的结合。</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碳氢相互作用： 碳氢相互作用是指烷基（碳氢链）与π电子之间的相互作用。这种相互作用在生物分子的立体结构和蛋白质-小分子结合中具有重要作用。</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酰胺-π叠加作用： 酰胺-π叠加作用是酰胺基团与π电子系统之间的相互作用。在生物学中，这种作用可能涉及蛋白质和核酸结构中的相互作用。</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常规氢键： 常规氢键是指氢原子与较电负的原子（通常是氧、氮或氟）之间的相互作用。氢键在生物分子的稳定性、蛋白质折叠和配体结合中发挥关键作用。</w:t>
      </w:r>
    </w:p>
    <w:p>
      <w:pPr>
        <w:jc w:val="both"/>
        <w:rPr>
          <w:rFonts w:hint="default" w:ascii="宋体" w:hAnsi="宋体" w:eastAsia="宋体" w:cs="宋体"/>
          <w:color w:val="000000"/>
          <w:kern w:val="0"/>
          <w:sz w:val="21"/>
          <w:szCs w:val="21"/>
          <w:lang w:val="en-US" w:eastAsia="zh-CN" w:bidi="ar"/>
        </w:rPr>
      </w:pPr>
    </w:p>
    <w:p>
      <w:pPr>
        <w:jc w:val="both"/>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这些相互作用在分子和生物体系中的形成和稳定性方面都起着关键的作用，对于理解分子的结构和性质，以及药物和生物分子的相互作用机制都至关重要。</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386A98"/>
    <w:multiLevelType w:val="singleLevel"/>
    <w:tmpl w:val="7A386A98"/>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mZGI0YTNiMzJhZWNlZTZlNDg1OTJhZjdhZWNlYmYifQ=="/>
  </w:docVars>
  <w:rsids>
    <w:rsidRoot w:val="00000000"/>
    <w:rsid w:val="1CC3787E"/>
    <w:rsid w:val="28B14EC3"/>
    <w:rsid w:val="298015A5"/>
    <w:rsid w:val="305D0692"/>
    <w:rsid w:val="3E1A317D"/>
    <w:rsid w:val="72457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Char"/>
    <w:link w:val="2"/>
    <w:uiPriority w:val="0"/>
    <w:rPr>
      <w:b/>
      <w:kern w:val="44"/>
      <w:sz w:val="44"/>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2023-11-11T03:13:00Z</dcterms:created>
  <dc:creator>79403</dc:creator>
  <cp:lastModifiedBy>79403</cp:lastModifiedBy>
  <dcterms:modified xsi:type="dcterms:W3CDTF">2023-11-29T11:00:53Z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723BB8AB83304FD5906E8995B4988654_13</vt:lpwstr>
  </property>
</Properties>
</file>