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C47" w:rsidRPr="00AA49B7" w:rsidRDefault="000A3739" w:rsidP="00913C47">
      <w:pPr>
        <w:jc w:val="center"/>
        <w:rPr>
          <w:i/>
          <w:sz w:val="24"/>
          <w:szCs w:val="24"/>
        </w:rPr>
      </w:pPr>
      <w:r w:rsidRPr="00AA49B7">
        <w:rPr>
          <w:i/>
          <w:sz w:val="24"/>
          <w:szCs w:val="24"/>
        </w:rPr>
        <w:t>Nb</w:t>
      </w:r>
      <w:r w:rsidRPr="00AA49B7">
        <w:rPr>
          <w:i/>
          <w:sz w:val="24"/>
          <w:szCs w:val="24"/>
          <w:vertAlign w:val="subscript"/>
        </w:rPr>
        <w:t>3</w:t>
      </w:r>
      <w:r w:rsidRPr="00AA49B7">
        <w:rPr>
          <w:i/>
          <w:sz w:val="24"/>
          <w:szCs w:val="24"/>
        </w:rPr>
        <w:t xml:space="preserve">Sn </w:t>
      </w:r>
      <w:r w:rsidR="00207E35" w:rsidRPr="00AA49B7">
        <w:rPr>
          <w:i/>
          <w:sz w:val="24"/>
          <w:szCs w:val="24"/>
        </w:rPr>
        <w:t>IR Quadrupole</w:t>
      </w:r>
      <w:r w:rsidR="009A3527" w:rsidRPr="00AA49B7">
        <w:rPr>
          <w:i/>
          <w:sz w:val="24"/>
          <w:szCs w:val="24"/>
        </w:rPr>
        <w:t xml:space="preserve"> </w:t>
      </w:r>
      <w:r w:rsidRPr="00AA49B7">
        <w:rPr>
          <w:i/>
          <w:sz w:val="24"/>
          <w:szCs w:val="24"/>
        </w:rPr>
        <w:t xml:space="preserve">development </w:t>
      </w:r>
      <w:r w:rsidR="002531FE">
        <w:rPr>
          <w:i/>
          <w:sz w:val="24"/>
          <w:szCs w:val="24"/>
        </w:rPr>
        <w:t>Plans</w:t>
      </w:r>
    </w:p>
    <w:p w:rsidR="00AA49B7" w:rsidRPr="00913C47" w:rsidRDefault="00EA2F6A" w:rsidP="00913C47">
      <w:pPr>
        <w:jc w:val="center"/>
        <w:rPr>
          <w:b/>
          <w:sz w:val="24"/>
          <w:szCs w:val="24"/>
        </w:rPr>
      </w:pPr>
      <w:r>
        <w:rPr>
          <w:b/>
          <w:sz w:val="24"/>
          <w:szCs w:val="24"/>
        </w:rPr>
        <w:t>Preliminary considerations for</w:t>
      </w:r>
      <w:r w:rsidR="00C15FBF">
        <w:rPr>
          <w:b/>
          <w:sz w:val="24"/>
          <w:szCs w:val="24"/>
        </w:rPr>
        <w:t xml:space="preserve"> case #</w:t>
      </w:r>
      <w:r w:rsidR="002531FE">
        <w:rPr>
          <w:b/>
          <w:sz w:val="24"/>
          <w:szCs w:val="24"/>
        </w:rPr>
        <w:t>3: 150 mm aperture and half length coils</w:t>
      </w:r>
    </w:p>
    <w:p w:rsidR="009A3527" w:rsidRPr="009A3527" w:rsidRDefault="009A3527" w:rsidP="009A3527">
      <w:pPr>
        <w:jc w:val="center"/>
        <w:rPr>
          <w:i/>
          <w:sz w:val="24"/>
          <w:szCs w:val="24"/>
        </w:rPr>
      </w:pPr>
      <w:r w:rsidRPr="009A3527">
        <w:rPr>
          <w:i/>
          <w:sz w:val="24"/>
          <w:szCs w:val="24"/>
        </w:rPr>
        <w:t>Version</w:t>
      </w:r>
      <w:r w:rsidR="0049472E">
        <w:rPr>
          <w:i/>
          <w:sz w:val="24"/>
          <w:szCs w:val="24"/>
        </w:rPr>
        <w:t xml:space="preserve"> 2</w:t>
      </w:r>
      <w:r w:rsidR="00207E35">
        <w:rPr>
          <w:i/>
          <w:sz w:val="24"/>
          <w:szCs w:val="24"/>
        </w:rPr>
        <w:t>,</w:t>
      </w:r>
      <w:r w:rsidR="0049472E">
        <w:rPr>
          <w:i/>
          <w:sz w:val="24"/>
          <w:szCs w:val="24"/>
        </w:rPr>
        <w:t xml:space="preserve"> June 4</w:t>
      </w:r>
      <w:r w:rsidR="00730DAF">
        <w:rPr>
          <w:i/>
          <w:sz w:val="24"/>
          <w:szCs w:val="24"/>
        </w:rPr>
        <w:t xml:space="preserve">, </w:t>
      </w:r>
      <w:r w:rsidRPr="009A3527">
        <w:rPr>
          <w:i/>
          <w:sz w:val="24"/>
          <w:szCs w:val="24"/>
        </w:rPr>
        <w:t>2012</w:t>
      </w:r>
    </w:p>
    <w:p w:rsidR="001835E8" w:rsidRDefault="001835E8">
      <w:pPr>
        <w:rPr>
          <w:sz w:val="24"/>
          <w:szCs w:val="24"/>
        </w:rPr>
      </w:pPr>
      <w:r>
        <w:rPr>
          <w:sz w:val="24"/>
          <w:szCs w:val="24"/>
        </w:rPr>
        <w:t>During the last LARP/</w:t>
      </w:r>
      <w:proofErr w:type="spellStart"/>
      <w:r>
        <w:rPr>
          <w:sz w:val="24"/>
          <w:szCs w:val="24"/>
        </w:rPr>
        <w:t>HiLumi</w:t>
      </w:r>
      <w:proofErr w:type="spellEnd"/>
      <w:r>
        <w:rPr>
          <w:sz w:val="24"/>
          <w:szCs w:val="24"/>
        </w:rPr>
        <w:t xml:space="preserve"> collaboration meeting, </w:t>
      </w:r>
      <w:r w:rsidR="00FC7FAD">
        <w:rPr>
          <w:sz w:val="24"/>
          <w:szCs w:val="24"/>
        </w:rPr>
        <w:t xml:space="preserve">we decided to </w:t>
      </w:r>
      <w:r w:rsidR="00FC7FAD" w:rsidRPr="00FC7FAD">
        <w:rPr>
          <w:sz w:val="24"/>
          <w:szCs w:val="24"/>
        </w:rPr>
        <w:t xml:space="preserve">focus </w:t>
      </w:r>
      <w:r w:rsidR="00C15FBF">
        <w:rPr>
          <w:sz w:val="24"/>
          <w:szCs w:val="24"/>
        </w:rPr>
        <w:t>on the “case-</w:t>
      </w:r>
      <w:r w:rsidR="00FC7FAD">
        <w:rPr>
          <w:sz w:val="24"/>
          <w:szCs w:val="24"/>
        </w:rPr>
        <w:t>3” scenario (150 mm aperture</w:t>
      </w:r>
      <w:r w:rsidR="00FC7FAD" w:rsidRPr="00FC7FAD">
        <w:rPr>
          <w:sz w:val="24"/>
          <w:szCs w:val="24"/>
        </w:rPr>
        <w:t xml:space="preserve"> and half-length coils</w:t>
      </w:r>
      <w:r w:rsidR="00FC7FAD">
        <w:rPr>
          <w:sz w:val="24"/>
          <w:szCs w:val="24"/>
        </w:rPr>
        <w:t>)</w:t>
      </w:r>
      <w:r>
        <w:rPr>
          <w:sz w:val="24"/>
          <w:szCs w:val="24"/>
        </w:rPr>
        <w:t xml:space="preserve"> for the nex</w:t>
      </w:r>
      <w:r w:rsidR="00FC7FAD">
        <w:rPr>
          <w:sz w:val="24"/>
          <w:szCs w:val="24"/>
        </w:rPr>
        <w:t>t phase of planning discussions</w:t>
      </w:r>
      <w:r>
        <w:rPr>
          <w:sz w:val="24"/>
          <w:szCs w:val="24"/>
        </w:rPr>
        <w:t xml:space="preserve">. This </w:t>
      </w:r>
      <w:r w:rsidR="00EA2F6A">
        <w:rPr>
          <w:sz w:val="24"/>
          <w:szCs w:val="24"/>
        </w:rPr>
        <w:t xml:space="preserve">note </w:t>
      </w:r>
      <w:r>
        <w:rPr>
          <w:sz w:val="24"/>
          <w:szCs w:val="24"/>
        </w:rPr>
        <w:t xml:space="preserve">presents some preliminary considerations relevant to this case. </w:t>
      </w:r>
    </w:p>
    <w:p w:rsidR="001835E8" w:rsidRDefault="001835E8" w:rsidP="00470400">
      <w:pPr>
        <w:rPr>
          <w:sz w:val="24"/>
          <w:szCs w:val="24"/>
        </w:rPr>
      </w:pPr>
      <w:r w:rsidRPr="001835E8">
        <w:rPr>
          <w:sz w:val="24"/>
          <w:szCs w:val="24"/>
          <w:u w:val="single"/>
        </w:rPr>
        <w:t>References</w:t>
      </w:r>
      <w:r>
        <w:rPr>
          <w:sz w:val="24"/>
          <w:szCs w:val="24"/>
        </w:rPr>
        <w:t>:</w:t>
      </w:r>
    </w:p>
    <w:p w:rsidR="00687096" w:rsidRDefault="00687096" w:rsidP="00E04229">
      <w:pPr>
        <w:spacing w:after="0"/>
        <w:rPr>
          <w:sz w:val="24"/>
          <w:szCs w:val="24"/>
        </w:rPr>
      </w:pPr>
      <w:r w:rsidRPr="00687096">
        <w:rPr>
          <w:sz w:val="24"/>
          <w:szCs w:val="24"/>
        </w:rPr>
        <w:t>[1]</w:t>
      </w:r>
      <w:r>
        <w:rPr>
          <w:sz w:val="24"/>
          <w:szCs w:val="24"/>
        </w:rPr>
        <w:tab/>
        <w:t>“</w:t>
      </w:r>
      <w:r w:rsidR="00AA49B7" w:rsidRPr="00687096">
        <w:rPr>
          <w:sz w:val="24"/>
          <w:szCs w:val="24"/>
        </w:rPr>
        <w:t>Nb</w:t>
      </w:r>
      <w:r w:rsidR="00AA49B7" w:rsidRPr="00687096">
        <w:rPr>
          <w:sz w:val="24"/>
          <w:szCs w:val="24"/>
          <w:vertAlign w:val="subscript"/>
        </w:rPr>
        <w:t>3</w:t>
      </w:r>
      <w:r w:rsidR="00AA49B7" w:rsidRPr="00687096">
        <w:rPr>
          <w:sz w:val="24"/>
          <w:szCs w:val="24"/>
        </w:rPr>
        <w:t>Sn IR Quadrupole develo</w:t>
      </w:r>
      <w:r w:rsidR="002531FE" w:rsidRPr="00687096">
        <w:rPr>
          <w:sz w:val="24"/>
          <w:szCs w:val="24"/>
        </w:rPr>
        <w:t>pment planning notes”, version 6</w:t>
      </w:r>
      <w:r w:rsidR="00E63AC8">
        <w:rPr>
          <w:sz w:val="24"/>
          <w:szCs w:val="24"/>
        </w:rPr>
        <w:t>, March 2</w:t>
      </w:r>
      <w:r w:rsidR="00AA49B7" w:rsidRPr="00687096">
        <w:rPr>
          <w:sz w:val="24"/>
          <w:szCs w:val="24"/>
        </w:rPr>
        <w:t>9, 2012</w:t>
      </w:r>
    </w:p>
    <w:p w:rsidR="00E63AC8" w:rsidRDefault="00E63AC8" w:rsidP="00E04229">
      <w:pPr>
        <w:spacing w:after="0"/>
        <w:rPr>
          <w:sz w:val="24"/>
          <w:szCs w:val="24"/>
        </w:rPr>
      </w:pPr>
      <w:r>
        <w:rPr>
          <w:sz w:val="24"/>
          <w:szCs w:val="24"/>
        </w:rPr>
        <w:tab/>
      </w:r>
      <w:hyperlink r:id="rId7" w:history="1">
        <w:r w:rsidRPr="004450B0">
          <w:rPr>
            <w:rStyle w:val="Hyperlink"/>
            <w:sz w:val="24"/>
            <w:szCs w:val="24"/>
          </w:rPr>
          <w:t>https://plone.uslarp.org/MagnetRD/TDWG/2012-03-29/Planning-Notes-V6.docx</w:t>
        </w:r>
      </w:hyperlink>
    </w:p>
    <w:p w:rsidR="001835E8" w:rsidRDefault="00687096" w:rsidP="00E04229">
      <w:pPr>
        <w:spacing w:after="0"/>
        <w:rPr>
          <w:sz w:val="24"/>
          <w:szCs w:val="24"/>
        </w:rPr>
      </w:pPr>
      <w:r>
        <w:rPr>
          <w:sz w:val="24"/>
          <w:szCs w:val="24"/>
        </w:rPr>
        <w:t xml:space="preserve">[2] </w:t>
      </w:r>
      <w:r>
        <w:rPr>
          <w:sz w:val="24"/>
          <w:szCs w:val="24"/>
        </w:rPr>
        <w:tab/>
      </w:r>
      <w:r w:rsidR="00E63AC8">
        <w:rPr>
          <w:sz w:val="24"/>
          <w:szCs w:val="24"/>
        </w:rPr>
        <w:t>“</w:t>
      </w:r>
      <w:r w:rsidR="00E63AC8" w:rsidRPr="00E63AC8">
        <w:rPr>
          <w:sz w:val="24"/>
          <w:szCs w:val="24"/>
        </w:rPr>
        <w:t>Risk analysis, milestones</w:t>
      </w:r>
      <w:r w:rsidR="00E63AC8">
        <w:rPr>
          <w:sz w:val="24"/>
          <w:szCs w:val="24"/>
        </w:rPr>
        <w:t xml:space="preserve"> and backup options for case 4b”, version 2, March 29, 2012</w:t>
      </w:r>
    </w:p>
    <w:p w:rsidR="00E63AC8" w:rsidRPr="00687096" w:rsidRDefault="00E63AC8" w:rsidP="00E04229">
      <w:pPr>
        <w:spacing w:after="0"/>
        <w:rPr>
          <w:sz w:val="24"/>
          <w:szCs w:val="24"/>
        </w:rPr>
      </w:pPr>
      <w:r>
        <w:rPr>
          <w:sz w:val="24"/>
          <w:szCs w:val="24"/>
        </w:rPr>
        <w:tab/>
      </w:r>
      <w:hyperlink r:id="rId8" w:history="1">
        <w:r w:rsidRPr="004450B0">
          <w:rPr>
            <w:rStyle w:val="Hyperlink"/>
            <w:sz w:val="24"/>
            <w:szCs w:val="24"/>
          </w:rPr>
          <w:t>https://plone.uslarp.org/MagnetRD/TDWG/2012-03-29/Case4b-analysis-V2.docx</w:t>
        </w:r>
      </w:hyperlink>
    </w:p>
    <w:p w:rsidR="001835E8" w:rsidRDefault="00687096" w:rsidP="00E04229">
      <w:pPr>
        <w:spacing w:after="0"/>
        <w:rPr>
          <w:sz w:val="24"/>
          <w:szCs w:val="24"/>
        </w:rPr>
      </w:pPr>
      <w:r>
        <w:rPr>
          <w:sz w:val="24"/>
          <w:szCs w:val="24"/>
        </w:rPr>
        <w:t>[3]</w:t>
      </w:r>
      <w:r>
        <w:rPr>
          <w:sz w:val="24"/>
          <w:szCs w:val="24"/>
        </w:rPr>
        <w:tab/>
      </w:r>
      <w:r w:rsidR="00E63AC8">
        <w:rPr>
          <w:sz w:val="24"/>
          <w:szCs w:val="24"/>
        </w:rPr>
        <w:t>“Large Aperture IR Quadrupole Development”, May 8, 2012</w:t>
      </w:r>
    </w:p>
    <w:p w:rsidR="00E63AC8" w:rsidRDefault="00E63AC8" w:rsidP="00E04229">
      <w:pPr>
        <w:spacing w:after="0"/>
        <w:rPr>
          <w:sz w:val="24"/>
          <w:szCs w:val="24"/>
        </w:rPr>
      </w:pPr>
      <w:r>
        <w:rPr>
          <w:sz w:val="24"/>
          <w:szCs w:val="24"/>
        </w:rPr>
        <w:tab/>
      </w:r>
      <w:hyperlink r:id="rId9" w:history="1">
        <w:r w:rsidRPr="004450B0">
          <w:rPr>
            <w:rStyle w:val="Hyperlink"/>
            <w:sz w:val="24"/>
            <w:szCs w:val="24"/>
          </w:rPr>
          <w:t>https://indico.fnal.gov/conferenceOtherViews.py?view=standard&amp;confId=5072</w:t>
        </w:r>
      </w:hyperlink>
    </w:p>
    <w:p w:rsidR="00C15FBF" w:rsidRDefault="00C15FBF" w:rsidP="00470400">
      <w:pPr>
        <w:rPr>
          <w:sz w:val="24"/>
          <w:szCs w:val="24"/>
          <w:u w:val="single"/>
        </w:rPr>
      </w:pPr>
    </w:p>
    <w:p w:rsidR="001835E8" w:rsidRPr="00E04229" w:rsidRDefault="00E04229" w:rsidP="00470400">
      <w:pPr>
        <w:rPr>
          <w:sz w:val="24"/>
          <w:szCs w:val="24"/>
          <w:u w:val="single"/>
        </w:rPr>
      </w:pPr>
      <w:r>
        <w:rPr>
          <w:sz w:val="24"/>
          <w:szCs w:val="24"/>
          <w:u w:val="single"/>
        </w:rPr>
        <w:t>Background</w:t>
      </w:r>
    </w:p>
    <w:p w:rsidR="00C15FBF" w:rsidRDefault="00EA2F6A" w:rsidP="00C15FBF">
      <w:pPr>
        <w:pStyle w:val="ListParagraph"/>
        <w:numPr>
          <w:ilvl w:val="0"/>
          <w:numId w:val="16"/>
        </w:numPr>
        <w:rPr>
          <w:sz w:val="24"/>
          <w:szCs w:val="24"/>
        </w:rPr>
      </w:pPr>
      <w:r>
        <w:rPr>
          <w:sz w:val="24"/>
          <w:szCs w:val="24"/>
        </w:rPr>
        <w:t>We determined that t</w:t>
      </w:r>
      <w:r w:rsidR="00C15FBF">
        <w:rPr>
          <w:sz w:val="24"/>
          <w:szCs w:val="24"/>
        </w:rPr>
        <w:t>he main challenge for case-</w:t>
      </w:r>
      <w:r w:rsidR="009A4456">
        <w:rPr>
          <w:sz w:val="24"/>
          <w:szCs w:val="24"/>
        </w:rPr>
        <w:t>4 (150 mm apertur</w:t>
      </w:r>
      <w:r w:rsidR="00813BAB">
        <w:rPr>
          <w:sz w:val="24"/>
          <w:szCs w:val="24"/>
        </w:rPr>
        <w:t>e and full-</w:t>
      </w:r>
      <w:r w:rsidR="009A4456">
        <w:rPr>
          <w:sz w:val="24"/>
          <w:szCs w:val="24"/>
        </w:rPr>
        <w:t>length coils)</w:t>
      </w:r>
      <w:r w:rsidR="00FC7FAD">
        <w:rPr>
          <w:sz w:val="24"/>
          <w:szCs w:val="24"/>
        </w:rPr>
        <w:t xml:space="preserve"> is completing </w:t>
      </w:r>
      <w:r w:rsidR="009A4456">
        <w:rPr>
          <w:sz w:val="24"/>
          <w:szCs w:val="24"/>
        </w:rPr>
        <w:t xml:space="preserve">a prototype based on </w:t>
      </w:r>
      <w:r w:rsidR="00813BAB">
        <w:rPr>
          <w:sz w:val="24"/>
          <w:szCs w:val="24"/>
        </w:rPr>
        <w:t>8-10 m long coils</w:t>
      </w:r>
      <w:r w:rsidR="009A4456">
        <w:rPr>
          <w:sz w:val="24"/>
          <w:szCs w:val="24"/>
        </w:rPr>
        <w:t xml:space="preserve"> with sufficient schedule margin </w:t>
      </w:r>
      <w:r>
        <w:rPr>
          <w:sz w:val="24"/>
          <w:szCs w:val="24"/>
        </w:rPr>
        <w:t xml:space="preserve">before </w:t>
      </w:r>
      <w:r w:rsidR="009A4456">
        <w:rPr>
          <w:sz w:val="24"/>
          <w:szCs w:val="24"/>
        </w:rPr>
        <w:t xml:space="preserve">the start of production.  </w:t>
      </w:r>
      <w:r>
        <w:rPr>
          <w:sz w:val="24"/>
          <w:szCs w:val="24"/>
        </w:rPr>
        <w:t>Therefore</w:t>
      </w:r>
      <w:r w:rsidR="00FC7FAD">
        <w:rPr>
          <w:sz w:val="24"/>
          <w:szCs w:val="24"/>
        </w:rPr>
        <w:t xml:space="preserve">, </w:t>
      </w:r>
      <w:r w:rsidR="00534A1B">
        <w:rPr>
          <w:sz w:val="24"/>
          <w:szCs w:val="24"/>
        </w:rPr>
        <w:t>the project would have to make significant</w:t>
      </w:r>
      <w:r w:rsidR="00FC7FAD">
        <w:rPr>
          <w:sz w:val="24"/>
          <w:szCs w:val="24"/>
        </w:rPr>
        <w:t xml:space="preserve"> commitments in the absence of a </w:t>
      </w:r>
      <w:r>
        <w:rPr>
          <w:sz w:val="24"/>
          <w:szCs w:val="24"/>
        </w:rPr>
        <w:t xml:space="preserve">direct </w:t>
      </w:r>
      <w:r w:rsidR="00FC7FAD">
        <w:rPr>
          <w:sz w:val="24"/>
          <w:szCs w:val="24"/>
        </w:rPr>
        <w:t>performance de</w:t>
      </w:r>
      <w:r w:rsidR="0049064D">
        <w:rPr>
          <w:sz w:val="24"/>
          <w:szCs w:val="24"/>
        </w:rPr>
        <w:t xml:space="preserve">monstration, and </w:t>
      </w:r>
      <w:r w:rsidR="00534A1B">
        <w:rPr>
          <w:sz w:val="24"/>
          <w:szCs w:val="24"/>
        </w:rPr>
        <w:t>it would be difficult to incorporate changes</w:t>
      </w:r>
      <w:r w:rsidR="0049064D">
        <w:rPr>
          <w:sz w:val="24"/>
          <w:szCs w:val="24"/>
        </w:rPr>
        <w:t xml:space="preserve"> based on the prototype test results.</w:t>
      </w:r>
    </w:p>
    <w:p w:rsidR="00C15FBF" w:rsidRPr="00C15FBF" w:rsidRDefault="00C15FBF" w:rsidP="00C15FBF">
      <w:pPr>
        <w:pStyle w:val="ListParagraph"/>
        <w:ind w:left="360"/>
        <w:rPr>
          <w:sz w:val="24"/>
          <w:szCs w:val="24"/>
        </w:rPr>
      </w:pPr>
    </w:p>
    <w:p w:rsidR="009A4456" w:rsidRDefault="009A4456" w:rsidP="009A4456">
      <w:pPr>
        <w:pStyle w:val="ListParagraph"/>
        <w:numPr>
          <w:ilvl w:val="1"/>
          <w:numId w:val="16"/>
        </w:numPr>
        <w:rPr>
          <w:sz w:val="24"/>
          <w:szCs w:val="24"/>
        </w:rPr>
      </w:pPr>
      <w:r>
        <w:rPr>
          <w:sz w:val="24"/>
          <w:szCs w:val="24"/>
        </w:rPr>
        <w:t xml:space="preserve">A related issue </w:t>
      </w:r>
      <w:r w:rsidR="00FC7FAD">
        <w:rPr>
          <w:sz w:val="24"/>
          <w:szCs w:val="24"/>
        </w:rPr>
        <w:t>is</w:t>
      </w:r>
      <w:r>
        <w:rPr>
          <w:sz w:val="24"/>
          <w:szCs w:val="24"/>
        </w:rPr>
        <w:t xml:space="preserve"> </w:t>
      </w:r>
      <w:r w:rsidR="00FC7FAD">
        <w:rPr>
          <w:sz w:val="24"/>
          <w:szCs w:val="24"/>
        </w:rPr>
        <w:t>completing the</w:t>
      </w:r>
      <w:r>
        <w:rPr>
          <w:sz w:val="24"/>
          <w:szCs w:val="24"/>
        </w:rPr>
        <w:t xml:space="preserve"> 150 mm aperture short model on a time scale that would </w:t>
      </w:r>
      <w:r w:rsidR="00FC7FAD">
        <w:rPr>
          <w:sz w:val="24"/>
          <w:szCs w:val="24"/>
        </w:rPr>
        <w:t xml:space="preserve">make it relevant to </w:t>
      </w:r>
      <w:r w:rsidR="00813BAB">
        <w:rPr>
          <w:sz w:val="24"/>
          <w:szCs w:val="24"/>
        </w:rPr>
        <w:t>the design</w:t>
      </w:r>
      <w:r w:rsidR="00FC7FAD">
        <w:rPr>
          <w:sz w:val="24"/>
          <w:szCs w:val="24"/>
        </w:rPr>
        <w:t>/fabrication</w:t>
      </w:r>
      <w:r w:rsidR="00813BAB">
        <w:rPr>
          <w:sz w:val="24"/>
          <w:szCs w:val="24"/>
        </w:rPr>
        <w:t xml:space="preserve"> of the long prototype</w:t>
      </w:r>
    </w:p>
    <w:p w:rsidR="00813BAB" w:rsidRDefault="00813BAB" w:rsidP="00813BAB">
      <w:pPr>
        <w:pStyle w:val="ListParagraph"/>
        <w:ind w:left="1080"/>
        <w:rPr>
          <w:sz w:val="24"/>
          <w:szCs w:val="24"/>
        </w:rPr>
      </w:pPr>
    </w:p>
    <w:p w:rsidR="00E04229" w:rsidRDefault="00FC7FAD" w:rsidP="00813BAB">
      <w:pPr>
        <w:pStyle w:val="ListParagraph"/>
        <w:numPr>
          <w:ilvl w:val="0"/>
          <w:numId w:val="16"/>
        </w:numPr>
        <w:rPr>
          <w:sz w:val="24"/>
          <w:szCs w:val="24"/>
        </w:rPr>
      </w:pPr>
      <w:r w:rsidRPr="0049064D">
        <w:rPr>
          <w:sz w:val="24"/>
          <w:szCs w:val="24"/>
        </w:rPr>
        <w:t>The use of half-</w:t>
      </w:r>
      <w:r w:rsidR="00813BAB" w:rsidRPr="0049064D">
        <w:rPr>
          <w:sz w:val="24"/>
          <w:szCs w:val="24"/>
        </w:rPr>
        <w:t xml:space="preserve">length coils </w:t>
      </w:r>
      <w:r w:rsidRPr="0049064D">
        <w:rPr>
          <w:sz w:val="24"/>
          <w:szCs w:val="24"/>
        </w:rPr>
        <w:t>removes the</w:t>
      </w:r>
      <w:r w:rsidR="0049064D" w:rsidRPr="0049064D">
        <w:rPr>
          <w:sz w:val="24"/>
          <w:szCs w:val="24"/>
        </w:rPr>
        <w:t>se</w:t>
      </w:r>
      <w:r w:rsidRPr="0049064D">
        <w:rPr>
          <w:sz w:val="24"/>
          <w:szCs w:val="24"/>
        </w:rPr>
        <w:t xml:space="preserve"> </w:t>
      </w:r>
      <w:r w:rsidR="0049064D" w:rsidRPr="0049064D">
        <w:rPr>
          <w:sz w:val="24"/>
          <w:szCs w:val="24"/>
        </w:rPr>
        <w:t xml:space="preserve">difficulties, since the performance of Nb3Sn coils </w:t>
      </w:r>
      <w:r w:rsidR="00C15FBF">
        <w:rPr>
          <w:sz w:val="24"/>
          <w:szCs w:val="24"/>
        </w:rPr>
        <w:t>close to</w:t>
      </w:r>
      <w:r w:rsidR="0049064D" w:rsidRPr="0049064D">
        <w:rPr>
          <w:sz w:val="24"/>
          <w:szCs w:val="24"/>
        </w:rPr>
        <w:t xml:space="preserve"> 4 m length is already demonstrated by LQ/LR tests, and the LHQ is expected to confirm/extend these r</w:t>
      </w:r>
      <w:r w:rsidR="00C15FBF">
        <w:rPr>
          <w:sz w:val="24"/>
          <w:szCs w:val="24"/>
        </w:rPr>
        <w:t>esults to 120 mm aperture around 2015</w:t>
      </w:r>
      <w:r w:rsidR="0049064D" w:rsidRPr="0049064D">
        <w:rPr>
          <w:sz w:val="24"/>
          <w:szCs w:val="24"/>
        </w:rPr>
        <w:t>. By 2016, we should also be able to demonstrate the performance of</w:t>
      </w:r>
      <w:r w:rsidR="00001415">
        <w:rPr>
          <w:sz w:val="24"/>
          <w:szCs w:val="24"/>
        </w:rPr>
        <w:t xml:space="preserve"> “double length”</w:t>
      </w:r>
      <w:r w:rsidR="00813BAB" w:rsidRPr="0049064D">
        <w:rPr>
          <w:sz w:val="24"/>
          <w:szCs w:val="24"/>
        </w:rPr>
        <w:t xml:space="preserve"> </w:t>
      </w:r>
      <w:r w:rsidR="00001415">
        <w:rPr>
          <w:sz w:val="24"/>
          <w:szCs w:val="24"/>
        </w:rPr>
        <w:t>HQ and LHQ models</w:t>
      </w:r>
      <w:r w:rsidR="0049064D" w:rsidRPr="0049064D">
        <w:rPr>
          <w:sz w:val="24"/>
          <w:szCs w:val="24"/>
        </w:rPr>
        <w:t xml:space="preserve">, and </w:t>
      </w:r>
      <w:r w:rsidR="00001415">
        <w:rPr>
          <w:sz w:val="24"/>
          <w:szCs w:val="24"/>
        </w:rPr>
        <w:t xml:space="preserve">the </w:t>
      </w:r>
      <w:r w:rsidR="0049064D" w:rsidRPr="0049064D">
        <w:rPr>
          <w:sz w:val="24"/>
          <w:szCs w:val="24"/>
        </w:rPr>
        <w:t>performance of a</w:t>
      </w:r>
      <w:r w:rsidR="00813BAB" w:rsidRPr="0049064D">
        <w:rPr>
          <w:sz w:val="24"/>
          <w:szCs w:val="24"/>
        </w:rPr>
        <w:t xml:space="preserve"> short model</w:t>
      </w:r>
      <w:r w:rsidR="0049064D" w:rsidRPr="0049064D">
        <w:rPr>
          <w:sz w:val="24"/>
          <w:szCs w:val="24"/>
        </w:rPr>
        <w:t xml:space="preserve"> of the 150 mm aperture design</w:t>
      </w:r>
      <w:r w:rsidR="00813BAB" w:rsidRPr="0049064D">
        <w:rPr>
          <w:sz w:val="24"/>
          <w:szCs w:val="24"/>
        </w:rPr>
        <w:t xml:space="preserve">. </w:t>
      </w:r>
      <w:r w:rsidR="00001415">
        <w:rPr>
          <w:sz w:val="24"/>
          <w:szCs w:val="24"/>
        </w:rPr>
        <w:t>Based on these results we would be able</w:t>
      </w:r>
      <w:r w:rsidR="0049064D" w:rsidRPr="0049064D">
        <w:rPr>
          <w:sz w:val="24"/>
          <w:szCs w:val="24"/>
        </w:rPr>
        <w:t xml:space="preserve"> to confidently start construction. </w:t>
      </w:r>
      <w:r w:rsidR="00001415">
        <w:rPr>
          <w:sz w:val="24"/>
          <w:szCs w:val="24"/>
        </w:rPr>
        <w:t>In parallel, a “tunnel-ready” prototype would be fabricated and tested before starting the assembly of the production coils.</w:t>
      </w:r>
    </w:p>
    <w:p w:rsidR="0049064D" w:rsidRDefault="00001415" w:rsidP="00E04229">
      <w:pPr>
        <w:pStyle w:val="ListParagraph"/>
        <w:ind w:left="360"/>
        <w:rPr>
          <w:sz w:val="24"/>
          <w:szCs w:val="24"/>
        </w:rPr>
      </w:pPr>
      <w:r>
        <w:rPr>
          <w:sz w:val="24"/>
          <w:szCs w:val="24"/>
        </w:rPr>
        <w:t xml:space="preserve">   </w:t>
      </w:r>
    </w:p>
    <w:p w:rsidR="00813BAB" w:rsidRDefault="00001415" w:rsidP="0049064D">
      <w:pPr>
        <w:pStyle w:val="ListParagraph"/>
        <w:numPr>
          <w:ilvl w:val="1"/>
          <w:numId w:val="16"/>
        </w:numPr>
        <w:rPr>
          <w:sz w:val="24"/>
          <w:szCs w:val="24"/>
        </w:rPr>
      </w:pPr>
      <w:r>
        <w:rPr>
          <w:sz w:val="24"/>
          <w:szCs w:val="24"/>
        </w:rPr>
        <w:t xml:space="preserve">The </w:t>
      </w:r>
      <w:r w:rsidR="0049064D">
        <w:rPr>
          <w:sz w:val="24"/>
          <w:szCs w:val="24"/>
        </w:rPr>
        <w:t xml:space="preserve">double-length LHQ will </w:t>
      </w:r>
      <w:r>
        <w:rPr>
          <w:sz w:val="24"/>
          <w:szCs w:val="24"/>
        </w:rPr>
        <w:t xml:space="preserve">also </w:t>
      </w:r>
      <w:r w:rsidR="0049064D">
        <w:rPr>
          <w:sz w:val="24"/>
          <w:szCs w:val="24"/>
        </w:rPr>
        <w:t xml:space="preserve">provide </w:t>
      </w:r>
      <w:r>
        <w:rPr>
          <w:sz w:val="24"/>
          <w:szCs w:val="24"/>
        </w:rPr>
        <w:t>a backup/alternative</w:t>
      </w:r>
      <w:r w:rsidR="00813BAB" w:rsidRPr="0049064D">
        <w:rPr>
          <w:sz w:val="24"/>
          <w:szCs w:val="24"/>
        </w:rPr>
        <w:t xml:space="preserve"> solution </w:t>
      </w:r>
      <w:r>
        <w:rPr>
          <w:sz w:val="24"/>
          <w:szCs w:val="24"/>
        </w:rPr>
        <w:t>for 120 mm aperture in advance of the start of construction</w:t>
      </w:r>
      <w:r w:rsidR="00813BAB" w:rsidRPr="0049064D">
        <w:rPr>
          <w:sz w:val="24"/>
          <w:szCs w:val="24"/>
        </w:rPr>
        <w:t xml:space="preserve"> </w:t>
      </w:r>
    </w:p>
    <w:p w:rsidR="00687096" w:rsidRDefault="006E6F00" w:rsidP="00470400">
      <w:pPr>
        <w:rPr>
          <w:sz w:val="24"/>
          <w:szCs w:val="24"/>
        </w:rPr>
      </w:pPr>
      <w:r>
        <w:rPr>
          <w:sz w:val="24"/>
          <w:szCs w:val="24"/>
          <w:u w:val="single"/>
        </w:rPr>
        <w:lastRenderedPageBreak/>
        <w:t>Similarities and d</w:t>
      </w:r>
      <w:r w:rsidR="00C15FBF">
        <w:rPr>
          <w:sz w:val="24"/>
          <w:szCs w:val="24"/>
          <w:u w:val="single"/>
        </w:rPr>
        <w:t xml:space="preserve">ifferences with respect to case </w:t>
      </w:r>
      <w:r>
        <w:rPr>
          <w:sz w:val="24"/>
          <w:szCs w:val="24"/>
          <w:u w:val="single"/>
        </w:rPr>
        <w:t>4</w:t>
      </w:r>
      <w:r w:rsidR="00C15FBF">
        <w:rPr>
          <w:sz w:val="24"/>
          <w:szCs w:val="24"/>
          <w:u w:val="single"/>
        </w:rPr>
        <w:t xml:space="preserve"> (150 mm aperture and full length coils)</w:t>
      </w:r>
      <w:r w:rsidR="001835E8">
        <w:rPr>
          <w:sz w:val="24"/>
          <w:szCs w:val="24"/>
        </w:rPr>
        <w:t>:</w:t>
      </w:r>
    </w:p>
    <w:p w:rsidR="00687096" w:rsidRDefault="00687096" w:rsidP="00687096">
      <w:pPr>
        <w:pStyle w:val="ListParagraph"/>
        <w:numPr>
          <w:ilvl w:val="0"/>
          <w:numId w:val="21"/>
        </w:numPr>
        <w:rPr>
          <w:sz w:val="24"/>
          <w:szCs w:val="24"/>
        </w:rPr>
      </w:pPr>
      <w:r w:rsidRPr="00687096">
        <w:rPr>
          <w:sz w:val="24"/>
          <w:szCs w:val="24"/>
        </w:rPr>
        <w:t xml:space="preserve">Several </w:t>
      </w:r>
      <w:r w:rsidR="006E6F00">
        <w:rPr>
          <w:sz w:val="24"/>
          <w:szCs w:val="24"/>
        </w:rPr>
        <w:t xml:space="preserve">key </w:t>
      </w:r>
      <w:r w:rsidR="00813BAB" w:rsidRPr="00687096">
        <w:rPr>
          <w:sz w:val="24"/>
          <w:szCs w:val="24"/>
        </w:rPr>
        <w:t>elements</w:t>
      </w:r>
      <w:r w:rsidRPr="00687096">
        <w:rPr>
          <w:sz w:val="24"/>
          <w:szCs w:val="24"/>
        </w:rPr>
        <w:t xml:space="preserve"> of the </w:t>
      </w:r>
      <w:r w:rsidR="00A00F14">
        <w:rPr>
          <w:sz w:val="24"/>
          <w:szCs w:val="24"/>
        </w:rPr>
        <w:t>case-</w:t>
      </w:r>
      <w:r w:rsidRPr="00687096">
        <w:rPr>
          <w:sz w:val="24"/>
          <w:szCs w:val="24"/>
        </w:rPr>
        <w:t>4 plan are still relevant and can be incorporated</w:t>
      </w:r>
      <w:r w:rsidR="00A00F14">
        <w:rPr>
          <w:sz w:val="24"/>
          <w:szCs w:val="24"/>
        </w:rPr>
        <w:t xml:space="preserve"> in case-</w:t>
      </w:r>
      <w:r w:rsidR="00441F5B">
        <w:rPr>
          <w:sz w:val="24"/>
          <w:szCs w:val="24"/>
        </w:rPr>
        <w:t xml:space="preserve">3. In particular, (a) </w:t>
      </w:r>
      <w:r w:rsidRPr="00687096">
        <w:rPr>
          <w:sz w:val="24"/>
          <w:szCs w:val="24"/>
        </w:rPr>
        <w:t xml:space="preserve">150 mm </w:t>
      </w:r>
      <w:r w:rsidR="00441F5B">
        <w:rPr>
          <w:sz w:val="24"/>
          <w:szCs w:val="24"/>
        </w:rPr>
        <w:t>aperture short model plan</w:t>
      </w:r>
      <w:r w:rsidRPr="00687096">
        <w:rPr>
          <w:sz w:val="24"/>
          <w:szCs w:val="24"/>
        </w:rPr>
        <w:t xml:space="preserve">; (b) considerations on </w:t>
      </w:r>
      <w:r w:rsidR="00441F5B">
        <w:rPr>
          <w:sz w:val="24"/>
          <w:szCs w:val="24"/>
        </w:rPr>
        <w:t>resource availability/</w:t>
      </w:r>
      <w:r w:rsidR="00A00F14">
        <w:rPr>
          <w:sz w:val="24"/>
          <w:szCs w:val="24"/>
        </w:rPr>
        <w:t>requirements</w:t>
      </w:r>
      <w:r w:rsidRPr="00687096">
        <w:rPr>
          <w:sz w:val="24"/>
          <w:szCs w:val="24"/>
        </w:rPr>
        <w:t>; (c) timelines and options for prototype design and construction</w:t>
      </w:r>
      <w:r w:rsidR="00A00F14">
        <w:rPr>
          <w:sz w:val="24"/>
          <w:szCs w:val="24"/>
        </w:rPr>
        <w:t xml:space="preserve">. </w:t>
      </w:r>
      <w:r w:rsidR="008533A4">
        <w:rPr>
          <w:sz w:val="24"/>
          <w:szCs w:val="24"/>
        </w:rPr>
        <w:t>In these areas, there are only</w:t>
      </w:r>
      <w:r w:rsidR="006E6F00">
        <w:rPr>
          <w:sz w:val="24"/>
          <w:szCs w:val="24"/>
        </w:rPr>
        <w:t xml:space="preserve"> some minor</w:t>
      </w:r>
      <w:r w:rsidR="008533A4">
        <w:rPr>
          <w:sz w:val="24"/>
          <w:szCs w:val="24"/>
        </w:rPr>
        <w:t>, and mostly positive,</w:t>
      </w:r>
      <w:r w:rsidR="006E6F00">
        <w:rPr>
          <w:sz w:val="24"/>
          <w:szCs w:val="24"/>
        </w:rPr>
        <w:t xml:space="preserve"> differences in perspective</w:t>
      </w:r>
      <w:r w:rsidR="00A00F14">
        <w:rPr>
          <w:sz w:val="24"/>
          <w:szCs w:val="24"/>
        </w:rPr>
        <w:t>:</w:t>
      </w:r>
    </w:p>
    <w:p w:rsidR="00A00F14" w:rsidRDefault="00A00F14" w:rsidP="00A00F14">
      <w:pPr>
        <w:pStyle w:val="ListParagraph"/>
        <w:ind w:left="360"/>
        <w:rPr>
          <w:sz w:val="24"/>
          <w:szCs w:val="24"/>
        </w:rPr>
      </w:pPr>
    </w:p>
    <w:p w:rsidR="00813BAB" w:rsidRDefault="00A00F14" w:rsidP="00B60B1C">
      <w:pPr>
        <w:pStyle w:val="ListParagraph"/>
        <w:numPr>
          <w:ilvl w:val="1"/>
          <w:numId w:val="21"/>
        </w:numPr>
        <w:rPr>
          <w:sz w:val="24"/>
          <w:szCs w:val="24"/>
        </w:rPr>
      </w:pPr>
      <w:r>
        <w:rPr>
          <w:sz w:val="24"/>
          <w:szCs w:val="24"/>
        </w:rPr>
        <w:t>I</w:t>
      </w:r>
      <w:r w:rsidR="008533A4">
        <w:rPr>
          <w:sz w:val="24"/>
          <w:szCs w:val="24"/>
        </w:rPr>
        <w:t>n case 4 it was</w:t>
      </w:r>
      <w:r w:rsidR="00687096">
        <w:rPr>
          <w:sz w:val="24"/>
          <w:szCs w:val="24"/>
        </w:rPr>
        <w:t xml:space="preserve"> critical to speed-up the short model development, </w:t>
      </w:r>
      <w:r w:rsidR="008533A4">
        <w:rPr>
          <w:sz w:val="24"/>
          <w:szCs w:val="24"/>
        </w:rPr>
        <w:t>so that the results could be relevant to</w:t>
      </w:r>
      <w:r>
        <w:rPr>
          <w:sz w:val="24"/>
          <w:szCs w:val="24"/>
        </w:rPr>
        <w:t xml:space="preserve"> the full-length prototype development. </w:t>
      </w:r>
      <w:r w:rsidR="008533A4">
        <w:rPr>
          <w:sz w:val="24"/>
          <w:szCs w:val="24"/>
        </w:rPr>
        <w:t>With half-length coils, this is not required and</w:t>
      </w:r>
      <w:r w:rsidR="00813BAB" w:rsidRPr="00687096">
        <w:rPr>
          <w:sz w:val="24"/>
          <w:szCs w:val="24"/>
        </w:rPr>
        <w:t xml:space="preserve"> the plan presented in </w:t>
      </w:r>
      <w:r w:rsidR="00687096">
        <w:rPr>
          <w:sz w:val="24"/>
          <w:szCs w:val="24"/>
        </w:rPr>
        <w:t xml:space="preserve">Ref. </w:t>
      </w:r>
      <w:r w:rsidR="008533A4">
        <w:rPr>
          <w:sz w:val="24"/>
          <w:szCs w:val="24"/>
        </w:rPr>
        <w:t>[</w:t>
      </w:r>
      <w:r w:rsidR="00687096">
        <w:rPr>
          <w:sz w:val="24"/>
          <w:szCs w:val="24"/>
        </w:rPr>
        <w:t>3</w:t>
      </w:r>
      <w:r w:rsidR="008533A4">
        <w:rPr>
          <w:sz w:val="24"/>
          <w:szCs w:val="24"/>
        </w:rPr>
        <w:t>]</w:t>
      </w:r>
      <w:r w:rsidR="00813BAB" w:rsidRPr="00687096">
        <w:rPr>
          <w:sz w:val="24"/>
          <w:szCs w:val="24"/>
        </w:rPr>
        <w:t xml:space="preserve"> can b</w:t>
      </w:r>
      <w:r w:rsidR="00687096">
        <w:rPr>
          <w:sz w:val="24"/>
          <w:szCs w:val="24"/>
        </w:rPr>
        <w:t>e used without modifications</w:t>
      </w:r>
      <w:r w:rsidR="00B60B1C">
        <w:rPr>
          <w:sz w:val="24"/>
          <w:szCs w:val="24"/>
        </w:rPr>
        <w:t>. This</w:t>
      </w:r>
      <w:r w:rsidR="008533A4">
        <w:rPr>
          <w:sz w:val="24"/>
          <w:szCs w:val="24"/>
        </w:rPr>
        <w:t xml:space="preserve"> removes the resource conflict due to</w:t>
      </w:r>
      <w:r w:rsidR="00B60B1C" w:rsidRPr="00B60B1C">
        <w:rPr>
          <w:sz w:val="24"/>
          <w:szCs w:val="24"/>
        </w:rPr>
        <w:t xml:space="preserve"> LS1</w:t>
      </w:r>
      <w:r w:rsidR="00B60B1C">
        <w:rPr>
          <w:sz w:val="24"/>
          <w:szCs w:val="24"/>
        </w:rPr>
        <w:t xml:space="preserve"> at CERN, and the current LARP activities aimed at the technology demonstration</w:t>
      </w:r>
    </w:p>
    <w:p w:rsidR="00A00F14" w:rsidRPr="00687096" w:rsidRDefault="008533A4" w:rsidP="00470400">
      <w:pPr>
        <w:pStyle w:val="ListParagraph"/>
        <w:numPr>
          <w:ilvl w:val="1"/>
          <w:numId w:val="21"/>
        </w:numPr>
        <w:rPr>
          <w:sz w:val="24"/>
          <w:szCs w:val="24"/>
        </w:rPr>
      </w:pPr>
      <w:r>
        <w:rPr>
          <w:sz w:val="24"/>
          <w:szCs w:val="24"/>
        </w:rPr>
        <w:t>In</w:t>
      </w:r>
      <w:r w:rsidR="00B60B1C">
        <w:rPr>
          <w:sz w:val="24"/>
          <w:szCs w:val="24"/>
        </w:rPr>
        <w:t xml:space="preserve"> </w:t>
      </w:r>
      <w:r>
        <w:rPr>
          <w:sz w:val="24"/>
          <w:szCs w:val="24"/>
        </w:rPr>
        <w:t>case 4, we considered</w:t>
      </w:r>
      <w:r w:rsidR="00A00F14">
        <w:rPr>
          <w:sz w:val="24"/>
          <w:szCs w:val="24"/>
        </w:rPr>
        <w:t xml:space="preserve"> splitting the prototype development into a </w:t>
      </w:r>
      <w:r w:rsidR="00B60B1C">
        <w:rPr>
          <w:sz w:val="24"/>
          <w:szCs w:val="24"/>
        </w:rPr>
        <w:t>fast-track full-length model aimed at demonstrating the cold mass performance, and a tunnel-ready “pre-series” including all accelerator integration features</w:t>
      </w:r>
      <w:r w:rsidR="00A1400A">
        <w:rPr>
          <w:sz w:val="24"/>
          <w:szCs w:val="24"/>
        </w:rPr>
        <w:t xml:space="preserve">. In case 3, we use a combination of a short model of the 150 mm design and a </w:t>
      </w:r>
      <w:r w:rsidR="00B60B1C">
        <w:rPr>
          <w:sz w:val="24"/>
          <w:szCs w:val="24"/>
        </w:rPr>
        <w:t xml:space="preserve">double-length </w:t>
      </w:r>
      <w:r w:rsidR="00A1400A">
        <w:rPr>
          <w:sz w:val="24"/>
          <w:szCs w:val="24"/>
        </w:rPr>
        <w:t>(4+4m) model of the 120 mm design (LHQ) to demonstrate all the relevant aspects of the final design. Therefore, the prototype development can focus directly on a fully integrated pre-series Quadrupole</w:t>
      </w:r>
      <w:r w:rsidR="00B60B1C">
        <w:rPr>
          <w:sz w:val="24"/>
          <w:szCs w:val="24"/>
        </w:rPr>
        <w:t>.</w:t>
      </w:r>
    </w:p>
    <w:p w:rsidR="006E6F00" w:rsidRDefault="006E6F00" w:rsidP="006E6F00">
      <w:pPr>
        <w:pStyle w:val="ListParagraph"/>
        <w:ind w:left="360"/>
        <w:rPr>
          <w:sz w:val="24"/>
          <w:szCs w:val="24"/>
        </w:rPr>
      </w:pPr>
    </w:p>
    <w:p w:rsidR="0040595C" w:rsidRDefault="0003544C" w:rsidP="006D6C82">
      <w:pPr>
        <w:pStyle w:val="ListParagraph"/>
        <w:numPr>
          <w:ilvl w:val="0"/>
          <w:numId w:val="21"/>
        </w:numPr>
        <w:rPr>
          <w:sz w:val="24"/>
          <w:szCs w:val="24"/>
        </w:rPr>
      </w:pPr>
      <w:r w:rsidRPr="006D6C82">
        <w:rPr>
          <w:sz w:val="24"/>
          <w:szCs w:val="24"/>
          <w:u w:val="single"/>
        </w:rPr>
        <w:t>Considerations and n</w:t>
      </w:r>
      <w:r w:rsidR="006E6F00" w:rsidRPr="006D6C82">
        <w:rPr>
          <w:sz w:val="24"/>
          <w:szCs w:val="24"/>
          <w:u w:val="single"/>
        </w:rPr>
        <w:t>ew elements of the plan specific</w:t>
      </w:r>
      <w:r w:rsidR="001146DE" w:rsidRPr="006D6C82">
        <w:rPr>
          <w:sz w:val="24"/>
          <w:szCs w:val="24"/>
          <w:u w:val="single"/>
        </w:rPr>
        <w:t xml:space="preserve"> to case 3</w:t>
      </w:r>
      <w:r w:rsidR="00441F5B" w:rsidRPr="006D6C82">
        <w:rPr>
          <w:sz w:val="24"/>
          <w:szCs w:val="24"/>
        </w:rPr>
        <w:t xml:space="preserve">: </w:t>
      </w:r>
      <w:r w:rsidRPr="006D6C82">
        <w:rPr>
          <w:sz w:val="24"/>
          <w:szCs w:val="24"/>
        </w:rPr>
        <w:t>In the case of split coils, one ca</w:t>
      </w:r>
      <w:r w:rsidR="0040595C">
        <w:rPr>
          <w:sz w:val="24"/>
          <w:szCs w:val="24"/>
        </w:rPr>
        <w:t>n take two different approaches:</w:t>
      </w:r>
      <w:r w:rsidRPr="006D6C82">
        <w:rPr>
          <w:sz w:val="24"/>
          <w:szCs w:val="24"/>
        </w:rPr>
        <w:t xml:space="preserve"> </w:t>
      </w:r>
    </w:p>
    <w:p w:rsidR="0040595C" w:rsidRDefault="0040595C" w:rsidP="0040595C">
      <w:pPr>
        <w:pStyle w:val="ListParagraph"/>
        <w:ind w:left="360"/>
        <w:rPr>
          <w:sz w:val="24"/>
          <w:szCs w:val="24"/>
        </w:rPr>
      </w:pPr>
    </w:p>
    <w:p w:rsidR="00441F5B" w:rsidRPr="006D6C82" w:rsidRDefault="0003544C" w:rsidP="0040595C">
      <w:pPr>
        <w:pStyle w:val="ListParagraph"/>
        <w:numPr>
          <w:ilvl w:val="1"/>
          <w:numId w:val="21"/>
        </w:numPr>
        <w:rPr>
          <w:sz w:val="24"/>
          <w:szCs w:val="24"/>
        </w:rPr>
      </w:pPr>
      <w:r w:rsidRPr="006D6C82">
        <w:rPr>
          <w:sz w:val="24"/>
          <w:szCs w:val="24"/>
        </w:rPr>
        <w:t>If the goal is to maximize the magnetic efficiency, one would try to assemble the two coils as close</w:t>
      </w:r>
      <w:r w:rsidR="006D6C82" w:rsidRPr="006D6C82">
        <w:rPr>
          <w:sz w:val="24"/>
          <w:szCs w:val="24"/>
        </w:rPr>
        <w:t xml:space="preserve"> as possible to each other in the same structure, with the return ends facing each other. This configuration is significantly different from that assembly of a single coil. Therefore, </w:t>
      </w:r>
      <w:r w:rsidR="00A1400A" w:rsidRPr="006D6C82">
        <w:rPr>
          <w:sz w:val="24"/>
          <w:szCs w:val="24"/>
        </w:rPr>
        <w:t xml:space="preserve">a detailed analysis of several design aspects </w:t>
      </w:r>
      <w:r w:rsidR="006D6C82" w:rsidRPr="006D6C82">
        <w:rPr>
          <w:sz w:val="24"/>
          <w:szCs w:val="24"/>
        </w:rPr>
        <w:t xml:space="preserve">will be required, followed by </w:t>
      </w:r>
      <w:r w:rsidR="006D6C82">
        <w:rPr>
          <w:sz w:val="24"/>
          <w:szCs w:val="24"/>
        </w:rPr>
        <w:t xml:space="preserve">experimental </w:t>
      </w:r>
      <w:r w:rsidR="006D6C82" w:rsidRPr="006D6C82">
        <w:rPr>
          <w:sz w:val="24"/>
          <w:szCs w:val="24"/>
        </w:rPr>
        <w:t>demonstration of the double-coil assembly using 1 m coils (HQ) and a second demonstration using 4 m coils (LHQ)</w:t>
      </w:r>
      <w:r w:rsidR="006D6C82">
        <w:rPr>
          <w:sz w:val="24"/>
          <w:szCs w:val="24"/>
        </w:rPr>
        <w:t>. The issues to be studied/verified include:</w:t>
      </w:r>
    </w:p>
    <w:p w:rsidR="00441F5B" w:rsidRPr="00441F5B" w:rsidRDefault="00441F5B" w:rsidP="00441F5B">
      <w:pPr>
        <w:pStyle w:val="ListParagraph"/>
        <w:ind w:left="1080"/>
        <w:rPr>
          <w:sz w:val="24"/>
          <w:szCs w:val="24"/>
        </w:rPr>
      </w:pPr>
    </w:p>
    <w:p w:rsidR="00BA5B09" w:rsidRDefault="00BA5B09" w:rsidP="00A1400A">
      <w:pPr>
        <w:pStyle w:val="ListParagraph"/>
        <w:numPr>
          <w:ilvl w:val="2"/>
          <w:numId w:val="21"/>
        </w:numPr>
        <w:rPr>
          <w:sz w:val="24"/>
          <w:szCs w:val="24"/>
        </w:rPr>
      </w:pPr>
      <w:r>
        <w:rPr>
          <w:sz w:val="24"/>
          <w:szCs w:val="24"/>
        </w:rPr>
        <w:t>Magnetic efficiency</w:t>
      </w:r>
      <w:r w:rsidR="006D6C82">
        <w:rPr>
          <w:sz w:val="24"/>
          <w:szCs w:val="24"/>
        </w:rPr>
        <w:t xml:space="preserve"> </w:t>
      </w:r>
    </w:p>
    <w:p w:rsidR="00BA5B09" w:rsidRDefault="00BA5B09" w:rsidP="00A1400A">
      <w:pPr>
        <w:pStyle w:val="ListParagraph"/>
        <w:numPr>
          <w:ilvl w:val="2"/>
          <w:numId w:val="21"/>
        </w:numPr>
        <w:rPr>
          <w:sz w:val="24"/>
          <w:szCs w:val="24"/>
        </w:rPr>
      </w:pPr>
      <w:r>
        <w:rPr>
          <w:sz w:val="24"/>
          <w:szCs w:val="24"/>
        </w:rPr>
        <w:t>Mechanical configuration at the lead end(s): is there an additional loss of efficiency due to the space required for the leads/splices, or can it be folded into the space which is anyways required for cryostat terminations, correctors, absorbers etc</w:t>
      </w:r>
      <w:r w:rsidR="00441F5B">
        <w:rPr>
          <w:sz w:val="24"/>
          <w:szCs w:val="24"/>
        </w:rPr>
        <w:t>.</w:t>
      </w:r>
      <w:r>
        <w:rPr>
          <w:sz w:val="24"/>
          <w:szCs w:val="24"/>
        </w:rPr>
        <w:t xml:space="preserve">?) </w:t>
      </w:r>
    </w:p>
    <w:p w:rsidR="00BA5B09" w:rsidRDefault="00BA5B09" w:rsidP="00A1400A">
      <w:pPr>
        <w:pStyle w:val="ListParagraph"/>
        <w:numPr>
          <w:ilvl w:val="2"/>
          <w:numId w:val="21"/>
        </w:numPr>
        <w:rPr>
          <w:sz w:val="24"/>
          <w:szCs w:val="24"/>
        </w:rPr>
      </w:pPr>
      <w:r>
        <w:rPr>
          <w:sz w:val="24"/>
          <w:szCs w:val="24"/>
        </w:rPr>
        <w:lastRenderedPageBreak/>
        <w:t>Longitudinal pre-load: will it reach the return ends stacked against each other at the center of the magnet? Is it required anyways? A test of HQ with reduced end load might help, perhaps something to consider for HQ01e</w:t>
      </w:r>
    </w:p>
    <w:p w:rsidR="00BA5B09" w:rsidRDefault="00BA5B09" w:rsidP="00A1400A">
      <w:pPr>
        <w:pStyle w:val="ListParagraph"/>
        <w:numPr>
          <w:ilvl w:val="2"/>
          <w:numId w:val="21"/>
        </w:numPr>
        <w:rPr>
          <w:sz w:val="24"/>
          <w:szCs w:val="24"/>
        </w:rPr>
      </w:pPr>
      <w:r>
        <w:rPr>
          <w:sz w:val="24"/>
          <w:szCs w:val="24"/>
        </w:rPr>
        <w:t>Q</w:t>
      </w:r>
      <w:r w:rsidR="001146DE" w:rsidRPr="00A1400A">
        <w:rPr>
          <w:sz w:val="24"/>
          <w:szCs w:val="24"/>
        </w:rPr>
        <w:t>uench</w:t>
      </w:r>
      <w:r>
        <w:rPr>
          <w:sz w:val="24"/>
          <w:szCs w:val="24"/>
        </w:rPr>
        <w:t xml:space="preserve"> protection: any additional issues for the split coils?</w:t>
      </w:r>
    </w:p>
    <w:p w:rsidR="00441F5B" w:rsidRDefault="00441F5B" w:rsidP="00441F5B">
      <w:pPr>
        <w:pStyle w:val="ListParagraph"/>
        <w:ind w:left="1440"/>
        <w:rPr>
          <w:sz w:val="24"/>
          <w:szCs w:val="24"/>
        </w:rPr>
      </w:pPr>
    </w:p>
    <w:p w:rsidR="00441F5B" w:rsidRDefault="00441F5B" w:rsidP="00441F5B">
      <w:pPr>
        <w:pStyle w:val="ListParagraph"/>
        <w:ind w:left="1440"/>
        <w:rPr>
          <w:sz w:val="24"/>
          <w:szCs w:val="24"/>
        </w:rPr>
      </w:pPr>
      <w:r w:rsidRPr="00441F5B">
        <w:rPr>
          <w:i/>
          <w:sz w:val="24"/>
          <w:szCs w:val="24"/>
        </w:rPr>
        <w:t>Note:</w:t>
      </w:r>
      <w:r>
        <w:rPr>
          <w:sz w:val="24"/>
          <w:szCs w:val="24"/>
        </w:rPr>
        <w:t xml:space="preserve"> </w:t>
      </w:r>
      <w:r w:rsidR="00BA5B09">
        <w:rPr>
          <w:sz w:val="24"/>
          <w:szCs w:val="24"/>
        </w:rPr>
        <w:t>Studies and ex</w:t>
      </w:r>
      <w:r w:rsidR="006D6C82">
        <w:rPr>
          <w:sz w:val="24"/>
          <w:szCs w:val="24"/>
        </w:rPr>
        <w:t>perience for other projects attempting to combine two half coils with maximum efficiency</w:t>
      </w:r>
      <w:r w:rsidR="00BA5B09">
        <w:rPr>
          <w:sz w:val="24"/>
          <w:szCs w:val="24"/>
        </w:rPr>
        <w:t xml:space="preserve"> </w:t>
      </w:r>
      <w:r w:rsidR="006D6C82">
        <w:rPr>
          <w:sz w:val="24"/>
          <w:szCs w:val="24"/>
        </w:rPr>
        <w:t>should be looked at, in particular</w:t>
      </w:r>
      <w:r w:rsidR="00BA5B09">
        <w:rPr>
          <w:sz w:val="24"/>
          <w:szCs w:val="24"/>
        </w:rPr>
        <w:t xml:space="preserve"> the 11 T </w:t>
      </w:r>
      <w:r w:rsidR="006D6C82">
        <w:rPr>
          <w:sz w:val="24"/>
          <w:szCs w:val="24"/>
        </w:rPr>
        <w:t xml:space="preserve">dipole </w:t>
      </w:r>
    </w:p>
    <w:p w:rsidR="0040595C" w:rsidRPr="0040595C" w:rsidRDefault="0040595C" w:rsidP="0040595C">
      <w:pPr>
        <w:pStyle w:val="ListParagraph"/>
        <w:rPr>
          <w:sz w:val="24"/>
          <w:szCs w:val="24"/>
        </w:rPr>
      </w:pPr>
    </w:p>
    <w:p w:rsidR="0040595C" w:rsidRDefault="0040595C" w:rsidP="0040595C">
      <w:pPr>
        <w:pStyle w:val="ListParagraph"/>
        <w:numPr>
          <w:ilvl w:val="1"/>
          <w:numId w:val="21"/>
        </w:numPr>
        <w:rPr>
          <w:sz w:val="24"/>
          <w:szCs w:val="24"/>
        </w:rPr>
      </w:pPr>
      <w:r>
        <w:rPr>
          <w:sz w:val="24"/>
          <w:szCs w:val="24"/>
        </w:rPr>
        <w:t>On the other hand, more independent assemblies have significant advantages:</w:t>
      </w:r>
    </w:p>
    <w:p w:rsidR="0040595C" w:rsidRDefault="0040595C" w:rsidP="0040595C">
      <w:pPr>
        <w:pStyle w:val="ListParagraph"/>
        <w:ind w:left="360"/>
        <w:rPr>
          <w:sz w:val="24"/>
          <w:szCs w:val="24"/>
        </w:rPr>
      </w:pPr>
    </w:p>
    <w:p w:rsidR="0040595C" w:rsidRDefault="0040595C" w:rsidP="0040595C">
      <w:pPr>
        <w:pStyle w:val="ListParagraph"/>
        <w:numPr>
          <w:ilvl w:val="2"/>
          <w:numId w:val="21"/>
        </w:numPr>
        <w:rPr>
          <w:sz w:val="24"/>
          <w:szCs w:val="24"/>
        </w:rPr>
      </w:pPr>
      <w:r>
        <w:rPr>
          <w:sz w:val="24"/>
          <w:szCs w:val="24"/>
        </w:rPr>
        <w:t>Possibility to test the half-coil assemblies separately from each other</w:t>
      </w:r>
    </w:p>
    <w:p w:rsidR="0040595C" w:rsidRDefault="0040595C" w:rsidP="0040595C">
      <w:pPr>
        <w:pStyle w:val="ListParagraph"/>
        <w:numPr>
          <w:ilvl w:val="2"/>
          <w:numId w:val="21"/>
        </w:numPr>
        <w:rPr>
          <w:sz w:val="24"/>
          <w:szCs w:val="24"/>
        </w:rPr>
      </w:pPr>
      <w:r>
        <w:rPr>
          <w:sz w:val="24"/>
          <w:szCs w:val="24"/>
        </w:rPr>
        <w:t>Possibility to sort half coils assemblies for field quality</w:t>
      </w:r>
    </w:p>
    <w:p w:rsidR="0040595C" w:rsidRDefault="003C1ECB" w:rsidP="0040595C">
      <w:pPr>
        <w:pStyle w:val="ListParagraph"/>
        <w:numPr>
          <w:ilvl w:val="2"/>
          <w:numId w:val="21"/>
        </w:numPr>
        <w:rPr>
          <w:sz w:val="24"/>
          <w:szCs w:val="24"/>
        </w:rPr>
      </w:pPr>
      <w:r>
        <w:rPr>
          <w:sz w:val="24"/>
          <w:szCs w:val="24"/>
        </w:rPr>
        <w:t>Little</w:t>
      </w:r>
      <w:r w:rsidR="0040595C">
        <w:rPr>
          <w:sz w:val="24"/>
          <w:szCs w:val="24"/>
        </w:rPr>
        <w:t xml:space="preserve"> performance risk going from half coil assembly to full length magnet</w:t>
      </w:r>
    </w:p>
    <w:p w:rsidR="0040595C" w:rsidRDefault="0040595C" w:rsidP="0040595C">
      <w:pPr>
        <w:pStyle w:val="ListParagraph"/>
        <w:ind w:left="1080"/>
        <w:rPr>
          <w:sz w:val="24"/>
          <w:szCs w:val="24"/>
        </w:rPr>
      </w:pPr>
    </w:p>
    <w:p w:rsidR="0040595C" w:rsidRDefault="0040595C" w:rsidP="0040595C">
      <w:pPr>
        <w:pStyle w:val="ListParagraph"/>
        <w:ind w:left="1080"/>
        <w:rPr>
          <w:sz w:val="24"/>
          <w:szCs w:val="24"/>
        </w:rPr>
      </w:pPr>
      <w:r>
        <w:rPr>
          <w:sz w:val="24"/>
          <w:szCs w:val="24"/>
        </w:rPr>
        <w:t>This comes at the price of lower magnetic efficiency (overall longer magnets for same focusing power). Therefore we will need to perform a first analysis, decide which approach we want to tak</w:t>
      </w:r>
      <w:r w:rsidR="003C1ECB">
        <w:rPr>
          <w:sz w:val="24"/>
          <w:szCs w:val="24"/>
        </w:rPr>
        <w:t>e, and then develop this</w:t>
      </w:r>
      <w:r>
        <w:rPr>
          <w:sz w:val="24"/>
          <w:szCs w:val="24"/>
        </w:rPr>
        <w:t xml:space="preserve"> approach in more detail </w:t>
      </w:r>
    </w:p>
    <w:p w:rsidR="003C1ECB" w:rsidRDefault="003C1ECB">
      <w:pPr>
        <w:rPr>
          <w:sz w:val="24"/>
          <w:szCs w:val="24"/>
          <w:u w:val="single"/>
        </w:rPr>
      </w:pPr>
    </w:p>
    <w:p w:rsidR="00AA49B7" w:rsidRDefault="00441F5B">
      <w:pPr>
        <w:rPr>
          <w:sz w:val="24"/>
          <w:szCs w:val="24"/>
          <w:u w:val="single"/>
        </w:rPr>
      </w:pPr>
      <w:r>
        <w:rPr>
          <w:sz w:val="24"/>
          <w:szCs w:val="24"/>
          <w:u w:val="single"/>
        </w:rPr>
        <w:t>Up</w:t>
      </w:r>
      <w:r w:rsidR="00A23B40">
        <w:rPr>
          <w:sz w:val="24"/>
          <w:szCs w:val="24"/>
          <w:u w:val="single"/>
        </w:rPr>
        <w:t>dated</w:t>
      </w:r>
      <w:r w:rsidR="00EA2F6A" w:rsidRPr="00EA2F6A">
        <w:rPr>
          <w:sz w:val="24"/>
          <w:szCs w:val="24"/>
          <w:u w:val="single"/>
        </w:rPr>
        <w:t xml:space="preserve"> schedule for case 3</w:t>
      </w:r>
    </w:p>
    <w:p w:rsidR="003C1ECB" w:rsidRPr="00470400" w:rsidRDefault="003C1ECB">
      <w:pPr>
        <w:rPr>
          <w:sz w:val="24"/>
          <w:szCs w:val="24"/>
          <w:u w:val="single"/>
        </w:rPr>
      </w:pPr>
    </w:p>
    <w:p w:rsidR="0059611B" w:rsidRPr="0059611B" w:rsidRDefault="00B57F78" w:rsidP="003C1ECB">
      <w:pPr>
        <w:jc w:val="center"/>
        <w:rPr>
          <w:sz w:val="24"/>
          <w:szCs w:val="24"/>
        </w:rPr>
      </w:pPr>
      <w:r w:rsidRPr="00B57F78">
        <w:rPr>
          <w:noProof/>
        </w:rPr>
        <w:drawing>
          <wp:inline distT="0" distB="0" distL="0" distR="0" wp14:anchorId="2DD116A2" wp14:editId="495E0211">
            <wp:extent cx="6000301" cy="3420000"/>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301" cy="3420000"/>
                    </a:xfrm>
                    <a:prstGeom prst="rect">
                      <a:avLst/>
                    </a:prstGeom>
                    <a:noFill/>
                    <a:ln>
                      <a:noFill/>
                    </a:ln>
                  </pic:spPr>
                </pic:pic>
              </a:graphicData>
            </a:graphic>
          </wp:inline>
        </w:drawing>
      </w:r>
    </w:p>
    <w:p w:rsidR="00AA49B7" w:rsidRDefault="00004722" w:rsidP="00AA49B7">
      <w:pPr>
        <w:rPr>
          <w:sz w:val="24"/>
          <w:szCs w:val="24"/>
        </w:rPr>
      </w:pPr>
      <w:r>
        <w:rPr>
          <w:sz w:val="24"/>
          <w:szCs w:val="24"/>
          <w:u w:val="single"/>
        </w:rPr>
        <w:lastRenderedPageBreak/>
        <w:t>Other considerations</w:t>
      </w:r>
      <w:r w:rsidR="00026DB7">
        <w:rPr>
          <w:sz w:val="24"/>
          <w:szCs w:val="24"/>
        </w:rPr>
        <w:t>:</w:t>
      </w:r>
    </w:p>
    <w:p w:rsidR="00C7085A" w:rsidRPr="00AA49B7" w:rsidRDefault="00C7085A" w:rsidP="00AA49B7">
      <w:pPr>
        <w:rPr>
          <w:sz w:val="24"/>
          <w:szCs w:val="24"/>
        </w:rPr>
      </w:pPr>
    </w:p>
    <w:p w:rsidR="0059611B" w:rsidRDefault="00004722" w:rsidP="009E7EE2">
      <w:pPr>
        <w:pStyle w:val="ListParagraph"/>
        <w:numPr>
          <w:ilvl w:val="0"/>
          <w:numId w:val="2"/>
        </w:numPr>
        <w:rPr>
          <w:sz w:val="24"/>
          <w:szCs w:val="24"/>
        </w:rPr>
      </w:pPr>
      <w:r>
        <w:rPr>
          <w:sz w:val="24"/>
          <w:szCs w:val="24"/>
        </w:rPr>
        <w:t xml:space="preserve">Risk analysis: with respect to case 4, technical and schedule risk is </w:t>
      </w:r>
      <w:r w:rsidR="00F104F1">
        <w:rPr>
          <w:sz w:val="24"/>
          <w:szCs w:val="24"/>
        </w:rPr>
        <w:t xml:space="preserve">generally </w:t>
      </w:r>
      <w:r>
        <w:rPr>
          <w:sz w:val="24"/>
          <w:szCs w:val="24"/>
        </w:rPr>
        <w:t>decreased. The new schedule appears to have sufficient margin to accommodate delays in various areas without affecting the overall outcome. Examples:</w:t>
      </w:r>
    </w:p>
    <w:p w:rsidR="00F05186" w:rsidRDefault="00F05186" w:rsidP="00F05186">
      <w:pPr>
        <w:pStyle w:val="ListParagraph"/>
        <w:ind w:left="360"/>
        <w:rPr>
          <w:sz w:val="24"/>
          <w:szCs w:val="24"/>
        </w:rPr>
      </w:pPr>
    </w:p>
    <w:p w:rsidR="00DE0788" w:rsidRDefault="00DE0788" w:rsidP="00DE0788">
      <w:pPr>
        <w:pStyle w:val="ListParagraph"/>
        <w:numPr>
          <w:ilvl w:val="1"/>
          <w:numId w:val="2"/>
        </w:numPr>
        <w:rPr>
          <w:sz w:val="24"/>
          <w:szCs w:val="24"/>
        </w:rPr>
      </w:pPr>
      <w:r>
        <w:rPr>
          <w:sz w:val="24"/>
          <w:szCs w:val="24"/>
        </w:rPr>
        <w:t xml:space="preserve">A delay of the technology demonstration target (LHQ test) by up to 1 year with respect to the current date (Dec 2014) does not seem to affect other tasks or the decision process. </w:t>
      </w:r>
    </w:p>
    <w:p w:rsidR="00F05186" w:rsidRDefault="00F05186" w:rsidP="00DE0788">
      <w:pPr>
        <w:pStyle w:val="ListParagraph"/>
        <w:numPr>
          <w:ilvl w:val="1"/>
          <w:numId w:val="2"/>
        </w:numPr>
        <w:rPr>
          <w:sz w:val="24"/>
          <w:szCs w:val="24"/>
        </w:rPr>
      </w:pPr>
      <w:r>
        <w:rPr>
          <w:sz w:val="24"/>
          <w:szCs w:val="24"/>
        </w:rPr>
        <w:t>The Dec 2016 target for a</w:t>
      </w:r>
      <w:r w:rsidR="00DE0788">
        <w:rPr>
          <w:sz w:val="24"/>
          <w:szCs w:val="24"/>
        </w:rPr>
        <w:t xml:space="preserve"> successful test of the double-length</w:t>
      </w:r>
      <w:r w:rsidR="003C384A">
        <w:rPr>
          <w:sz w:val="24"/>
          <w:szCs w:val="24"/>
        </w:rPr>
        <w:t xml:space="preserve"> LHQ is</w:t>
      </w:r>
      <w:r>
        <w:rPr>
          <w:sz w:val="24"/>
          <w:szCs w:val="24"/>
        </w:rPr>
        <w:t xml:space="preserve"> quite reasonable but a delay does not seem to affect other tasks or the decision process. One might argue that the successful tests of (a) LHQ, (b) the 150 mm aperture short model, and (c) the double-length HQ</w:t>
      </w:r>
      <w:r w:rsidR="00F104F1">
        <w:rPr>
          <w:sz w:val="24"/>
          <w:szCs w:val="24"/>
        </w:rPr>
        <w:t>,</w:t>
      </w:r>
      <w:r>
        <w:rPr>
          <w:sz w:val="24"/>
          <w:szCs w:val="24"/>
        </w:rPr>
        <w:t xml:space="preserve"> demonstrate all the fundamental elements required to initiate construction</w:t>
      </w:r>
    </w:p>
    <w:p w:rsidR="003C1ECB" w:rsidRDefault="00F104F1" w:rsidP="003C1ECB">
      <w:pPr>
        <w:pStyle w:val="ListParagraph"/>
        <w:numPr>
          <w:ilvl w:val="2"/>
          <w:numId w:val="2"/>
        </w:numPr>
        <w:rPr>
          <w:sz w:val="24"/>
          <w:szCs w:val="24"/>
        </w:rPr>
      </w:pPr>
      <w:r>
        <w:rPr>
          <w:sz w:val="24"/>
          <w:szCs w:val="24"/>
        </w:rPr>
        <w:t xml:space="preserve">Note that the </w:t>
      </w:r>
      <w:r w:rsidR="003C1ECB">
        <w:rPr>
          <w:sz w:val="24"/>
          <w:szCs w:val="24"/>
        </w:rPr>
        <w:t>double-length LHQ</w:t>
      </w:r>
      <w:r>
        <w:rPr>
          <w:sz w:val="24"/>
          <w:szCs w:val="24"/>
        </w:rPr>
        <w:t xml:space="preserve"> is primarily meant to demonstrate the performance of a full-length assembly of 4 m coils with high magnetic efficiency, in preparation for the prototype assembly</w:t>
      </w:r>
      <w:r w:rsidR="003C384A">
        <w:rPr>
          <w:sz w:val="24"/>
          <w:szCs w:val="24"/>
        </w:rPr>
        <w:t xml:space="preserve">, which is scheduled for </w:t>
      </w:r>
      <w:r>
        <w:rPr>
          <w:sz w:val="24"/>
          <w:szCs w:val="24"/>
        </w:rPr>
        <w:t xml:space="preserve">2018. Also see previous comments on approach to assembly of half-length coils. </w:t>
      </w:r>
    </w:p>
    <w:p w:rsidR="00F05186" w:rsidRDefault="00F05186" w:rsidP="00DE0788">
      <w:pPr>
        <w:pStyle w:val="ListParagraph"/>
        <w:numPr>
          <w:ilvl w:val="1"/>
          <w:numId w:val="2"/>
        </w:numPr>
        <w:rPr>
          <w:sz w:val="24"/>
          <w:szCs w:val="24"/>
        </w:rPr>
      </w:pPr>
      <w:r>
        <w:rPr>
          <w:sz w:val="24"/>
          <w:szCs w:val="24"/>
        </w:rPr>
        <w:t>The construction start date of May 2017 could be moved up 6-12 months providing additional margin to the project</w:t>
      </w:r>
      <w:r w:rsidR="003C384A">
        <w:rPr>
          <w:sz w:val="24"/>
          <w:szCs w:val="24"/>
        </w:rPr>
        <w:t>. Alternatively, the construction start date could be left unchanged but some of the infrastructure and long lead procurements should be taken up by the pre-project allowing the construction project to start directly with line 20.</w:t>
      </w:r>
    </w:p>
    <w:p w:rsidR="00DE0788" w:rsidRDefault="00F05186" w:rsidP="00F05186">
      <w:pPr>
        <w:pStyle w:val="ListParagraph"/>
        <w:numPr>
          <w:ilvl w:val="1"/>
          <w:numId w:val="2"/>
        </w:numPr>
        <w:rPr>
          <w:sz w:val="24"/>
          <w:szCs w:val="24"/>
        </w:rPr>
      </w:pPr>
      <w:r>
        <w:rPr>
          <w:sz w:val="24"/>
          <w:szCs w:val="24"/>
        </w:rPr>
        <w:t xml:space="preserve">Additional margin of perhaps 6 months could be obtained by overlapping the end of production with the start of installation </w:t>
      </w:r>
      <w:r w:rsidR="00F104F1">
        <w:rPr>
          <w:sz w:val="24"/>
          <w:szCs w:val="24"/>
        </w:rPr>
        <w:t xml:space="preserve">– however, this would create additional constraints. For the time being, we </w:t>
      </w:r>
      <w:r w:rsidR="003C384A">
        <w:rPr>
          <w:sz w:val="24"/>
          <w:szCs w:val="24"/>
        </w:rPr>
        <w:t>will</w:t>
      </w:r>
      <w:r w:rsidR="00F104F1">
        <w:rPr>
          <w:sz w:val="24"/>
          <w:szCs w:val="24"/>
        </w:rPr>
        <w:t xml:space="preserve"> keep the two phases independent of each other. </w:t>
      </w:r>
    </w:p>
    <w:p w:rsidR="00F05186" w:rsidRDefault="00F05186" w:rsidP="00F05186">
      <w:pPr>
        <w:pStyle w:val="ListParagraph"/>
        <w:numPr>
          <w:ilvl w:val="1"/>
          <w:numId w:val="2"/>
        </w:numPr>
        <w:rPr>
          <w:sz w:val="24"/>
          <w:szCs w:val="24"/>
        </w:rPr>
      </w:pPr>
      <w:r>
        <w:rPr>
          <w:sz w:val="24"/>
          <w:szCs w:val="24"/>
        </w:rPr>
        <w:t>Installation of the upgrade in 2022 may not be required by the LHC program (however, availability of the magnets by ~2021 is important regardless of the intended installation date, if failure of current IR due to radiation forces a replacement ahead of schedule)</w:t>
      </w:r>
    </w:p>
    <w:p w:rsidR="00F05186" w:rsidRPr="00F05186" w:rsidRDefault="00F05186" w:rsidP="00F05186">
      <w:pPr>
        <w:pStyle w:val="ListParagraph"/>
        <w:ind w:left="1080"/>
        <w:rPr>
          <w:sz w:val="24"/>
          <w:szCs w:val="24"/>
        </w:rPr>
      </w:pPr>
    </w:p>
    <w:p w:rsidR="00C7085A" w:rsidRDefault="001F4734" w:rsidP="00F05186">
      <w:pPr>
        <w:pStyle w:val="ListParagraph"/>
        <w:numPr>
          <w:ilvl w:val="0"/>
          <w:numId w:val="2"/>
        </w:numPr>
        <w:rPr>
          <w:sz w:val="24"/>
          <w:szCs w:val="24"/>
        </w:rPr>
      </w:pPr>
      <w:r w:rsidRPr="00F05186">
        <w:rPr>
          <w:sz w:val="24"/>
          <w:szCs w:val="24"/>
        </w:rPr>
        <w:t>Possibility of a hybrid case3/case 4 scenario</w:t>
      </w:r>
      <w:r w:rsidR="00C7085A">
        <w:rPr>
          <w:sz w:val="24"/>
          <w:szCs w:val="24"/>
        </w:rPr>
        <w:t>:</w:t>
      </w:r>
    </w:p>
    <w:p w:rsidR="00C7085A" w:rsidRDefault="00C7085A" w:rsidP="00C7085A">
      <w:pPr>
        <w:pStyle w:val="ListParagraph"/>
        <w:ind w:left="360"/>
        <w:rPr>
          <w:sz w:val="24"/>
          <w:szCs w:val="24"/>
        </w:rPr>
      </w:pPr>
    </w:p>
    <w:p w:rsidR="00C7085A" w:rsidRDefault="00C7085A" w:rsidP="00C7085A">
      <w:pPr>
        <w:pStyle w:val="ListParagraph"/>
        <w:numPr>
          <w:ilvl w:val="1"/>
          <w:numId w:val="2"/>
        </w:numPr>
        <w:rPr>
          <w:sz w:val="24"/>
          <w:szCs w:val="24"/>
        </w:rPr>
      </w:pPr>
      <w:r w:rsidRPr="00C236B1">
        <w:rPr>
          <w:sz w:val="24"/>
          <w:szCs w:val="24"/>
        </w:rPr>
        <w:t>If case 3 becomes the baseline, it would still be possible to retain case 4 as an “enhancement” of the baseline. In order to upgrade to case 4</w:t>
      </w:r>
      <w:r>
        <w:rPr>
          <w:sz w:val="24"/>
          <w:szCs w:val="24"/>
        </w:rPr>
        <w:t>,</w:t>
      </w:r>
      <w:r w:rsidRPr="00C236B1">
        <w:rPr>
          <w:sz w:val="24"/>
          <w:szCs w:val="24"/>
        </w:rPr>
        <w:t xml:space="preserve"> one would need to </w:t>
      </w:r>
      <w:r w:rsidRPr="00C236B1">
        <w:rPr>
          <w:sz w:val="24"/>
          <w:szCs w:val="24"/>
        </w:rPr>
        <w:lastRenderedPageBreak/>
        <w:t>come up with a plan for test of a prototype based on full length coils</w:t>
      </w:r>
      <w:r>
        <w:rPr>
          <w:sz w:val="24"/>
          <w:szCs w:val="24"/>
        </w:rPr>
        <w:t xml:space="preserve"> on a useful time scale</w:t>
      </w:r>
      <w:r w:rsidRPr="00C236B1">
        <w:rPr>
          <w:sz w:val="24"/>
          <w:szCs w:val="24"/>
        </w:rPr>
        <w:t xml:space="preserve">. </w:t>
      </w:r>
    </w:p>
    <w:p w:rsidR="00C7085A" w:rsidRPr="00121C92" w:rsidRDefault="00C7085A" w:rsidP="00121C92">
      <w:pPr>
        <w:pStyle w:val="ListParagraph"/>
        <w:numPr>
          <w:ilvl w:val="2"/>
          <w:numId w:val="2"/>
        </w:numPr>
        <w:rPr>
          <w:sz w:val="24"/>
          <w:szCs w:val="24"/>
        </w:rPr>
      </w:pPr>
      <w:r>
        <w:rPr>
          <w:sz w:val="24"/>
          <w:szCs w:val="24"/>
        </w:rPr>
        <w:t>Looking at the schedule, it seems very unlikely that one could entirely switch the production to full length coils, but as an example, one could do the first part of the production (say Q1/Q3) with half-length coils and the second part (Q2a/b) with</w:t>
      </w:r>
      <w:r w:rsidR="00121C92">
        <w:rPr>
          <w:sz w:val="24"/>
          <w:szCs w:val="24"/>
        </w:rPr>
        <w:t xml:space="preserve"> full length coils</w:t>
      </w:r>
    </w:p>
    <w:p w:rsidR="00121C92" w:rsidRDefault="00121C92" w:rsidP="00121C92">
      <w:pPr>
        <w:pStyle w:val="ListParagraph"/>
        <w:numPr>
          <w:ilvl w:val="1"/>
          <w:numId w:val="2"/>
        </w:numPr>
        <w:rPr>
          <w:sz w:val="24"/>
          <w:szCs w:val="24"/>
        </w:rPr>
      </w:pPr>
      <w:r>
        <w:rPr>
          <w:sz w:val="24"/>
          <w:szCs w:val="24"/>
        </w:rPr>
        <w:t>The</w:t>
      </w:r>
      <w:r w:rsidR="00C7085A" w:rsidRPr="00C236B1">
        <w:rPr>
          <w:sz w:val="24"/>
          <w:szCs w:val="24"/>
        </w:rPr>
        <w:t xml:space="preserve"> </w:t>
      </w:r>
      <w:r w:rsidR="00C7085A">
        <w:rPr>
          <w:sz w:val="24"/>
          <w:szCs w:val="24"/>
        </w:rPr>
        <w:t>additional prototype could be initiated around 20</w:t>
      </w:r>
      <w:r w:rsidR="00C7085A" w:rsidRPr="00C236B1">
        <w:rPr>
          <w:sz w:val="24"/>
          <w:szCs w:val="24"/>
        </w:rPr>
        <w:t xml:space="preserve">15, after the test of </w:t>
      </w:r>
      <w:r w:rsidR="00C7085A">
        <w:rPr>
          <w:sz w:val="24"/>
          <w:szCs w:val="24"/>
        </w:rPr>
        <w:t>the 150 mm aperture short model</w:t>
      </w:r>
      <w:r w:rsidR="00C7085A" w:rsidRPr="00C236B1">
        <w:rPr>
          <w:sz w:val="24"/>
          <w:szCs w:val="24"/>
        </w:rPr>
        <w:t xml:space="preserve"> and a better assessment of available funding/resources as well as the target installation date.</w:t>
      </w:r>
      <w:r>
        <w:rPr>
          <w:sz w:val="24"/>
          <w:szCs w:val="24"/>
        </w:rPr>
        <w:t xml:space="preserve"> </w:t>
      </w:r>
    </w:p>
    <w:p w:rsidR="00121C92" w:rsidRDefault="00121C92" w:rsidP="00121C92">
      <w:pPr>
        <w:pStyle w:val="ListParagraph"/>
        <w:numPr>
          <w:ilvl w:val="2"/>
          <w:numId w:val="2"/>
        </w:numPr>
        <w:rPr>
          <w:sz w:val="24"/>
          <w:szCs w:val="24"/>
        </w:rPr>
      </w:pPr>
      <w:r>
        <w:rPr>
          <w:sz w:val="24"/>
          <w:szCs w:val="24"/>
        </w:rPr>
        <w:t>The development of a prototype based on full length coils would significantly benefit from the design of the “baseline” prototype using half-length coils, as well as for parts, mechanical structure etc. It would require longer infrastructure for coil fabrication (oven, potting chamber) and a special set of tooling</w:t>
      </w:r>
    </w:p>
    <w:p w:rsidR="00C7085A" w:rsidRPr="00121C92" w:rsidRDefault="00121C92" w:rsidP="00121C92">
      <w:pPr>
        <w:pStyle w:val="ListParagraph"/>
        <w:numPr>
          <w:ilvl w:val="2"/>
          <w:numId w:val="2"/>
        </w:numPr>
        <w:rPr>
          <w:sz w:val="24"/>
          <w:szCs w:val="24"/>
        </w:rPr>
      </w:pPr>
      <w:r w:rsidRPr="00C236B1">
        <w:rPr>
          <w:sz w:val="24"/>
          <w:szCs w:val="24"/>
        </w:rPr>
        <w:t>In this scenario, it could still make sense to procure one set of infrastructure for full length coils in the next ~2 years</w:t>
      </w:r>
    </w:p>
    <w:p w:rsidR="00C7085A" w:rsidRDefault="00C7085A" w:rsidP="00C7085A">
      <w:pPr>
        <w:pStyle w:val="ListParagraph"/>
        <w:numPr>
          <w:ilvl w:val="1"/>
          <w:numId w:val="2"/>
        </w:numPr>
        <w:rPr>
          <w:sz w:val="24"/>
          <w:szCs w:val="24"/>
        </w:rPr>
      </w:pPr>
      <w:r w:rsidRPr="00C236B1">
        <w:rPr>
          <w:sz w:val="24"/>
          <w:szCs w:val="24"/>
        </w:rPr>
        <w:t>As l</w:t>
      </w:r>
      <w:r>
        <w:rPr>
          <w:sz w:val="24"/>
          <w:szCs w:val="24"/>
        </w:rPr>
        <w:t>ong as the development of the full length prototype</w:t>
      </w:r>
      <w:r w:rsidRPr="00C236B1">
        <w:rPr>
          <w:sz w:val="24"/>
          <w:szCs w:val="24"/>
        </w:rPr>
        <w:t xml:space="preserve"> does not detract from resources assigned to the baseline </w:t>
      </w:r>
      <w:r w:rsidR="00121C92">
        <w:rPr>
          <w:sz w:val="24"/>
          <w:szCs w:val="24"/>
        </w:rPr>
        <w:t>plan, this parallel development would decrease</w:t>
      </w:r>
      <w:r w:rsidRPr="00C236B1">
        <w:rPr>
          <w:sz w:val="24"/>
          <w:szCs w:val="24"/>
        </w:rPr>
        <w:t xml:space="preserve"> th</w:t>
      </w:r>
      <w:r w:rsidR="00121C92">
        <w:rPr>
          <w:sz w:val="24"/>
          <w:szCs w:val="24"/>
        </w:rPr>
        <w:t>e overall risk  and provide some</w:t>
      </w:r>
      <w:r w:rsidRPr="00C236B1">
        <w:rPr>
          <w:sz w:val="24"/>
          <w:szCs w:val="24"/>
        </w:rPr>
        <w:t xml:space="preserve"> potential for cost savings in production</w:t>
      </w:r>
    </w:p>
    <w:p w:rsidR="00F05186" w:rsidRPr="00C7085A" w:rsidRDefault="00F05186" w:rsidP="00C7085A">
      <w:pPr>
        <w:pStyle w:val="ListParagraph"/>
        <w:ind w:left="360"/>
        <w:rPr>
          <w:sz w:val="24"/>
          <w:szCs w:val="24"/>
        </w:rPr>
      </w:pPr>
    </w:p>
    <w:p w:rsidR="00F05186" w:rsidRPr="0059611B" w:rsidRDefault="00F05186" w:rsidP="00F05186">
      <w:pPr>
        <w:rPr>
          <w:sz w:val="24"/>
          <w:szCs w:val="24"/>
        </w:rPr>
      </w:pPr>
    </w:p>
    <w:p w:rsidR="00F05186" w:rsidRPr="00F05186" w:rsidRDefault="00F05186" w:rsidP="00F05186">
      <w:pPr>
        <w:rPr>
          <w:sz w:val="24"/>
          <w:szCs w:val="24"/>
        </w:rPr>
      </w:pPr>
      <w:bookmarkStart w:id="0" w:name="_GoBack"/>
      <w:bookmarkEnd w:id="0"/>
    </w:p>
    <w:sectPr w:rsidR="00F05186" w:rsidRPr="00F05186" w:rsidSect="00F0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5C2F"/>
    <w:multiLevelType w:val="hybridMultilevel"/>
    <w:tmpl w:val="7E80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BF07A1"/>
    <w:multiLevelType w:val="hybridMultilevel"/>
    <w:tmpl w:val="C47A1B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CA4396"/>
    <w:multiLevelType w:val="hybridMultilevel"/>
    <w:tmpl w:val="14C636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2C6B76"/>
    <w:multiLevelType w:val="hybridMultilevel"/>
    <w:tmpl w:val="D962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13AB6"/>
    <w:multiLevelType w:val="hybridMultilevel"/>
    <w:tmpl w:val="2FB2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D6102"/>
    <w:multiLevelType w:val="hybridMultilevel"/>
    <w:tmpl w:val="9C62F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273F42"/>
    <w:multiLevelType w:val="hybridMultilevel"/>
    <w:tmpl w:val="28244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D13521"/>
    <w:multiLevelType w:val="hybridMultilevel"/>
    <w:tmpl w:val="C5B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05E65"/>
    <w:multiLevelType w:val="hybridMultilevel"/>
    <w:tmpl w:val="A3E4FB4C"/>
    <w:lvl w:ilvl="0" w:tplc="CE3423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2652E"/>
    <w:multiLevelType w:val="hybridMultilevel"/>
    <w:tmpl w:val="AA6A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85B65"/>
    <w:multiLevelType w:val="hybridMultilevel"/>
    <w:tmpl w:val="136C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76B6F"/>
    <w:multiLevelType w:val="hybridMultilevel"/>
    <w:tmpl w:val="847645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9D603F"/>
    <w:multiLevelType w:val="hybridMultilevel"/>
    <w:tmpl w:val="57CA5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3A7EA0"/>
    <w:multiLevelType w:val="hybridMultilevel"/>
    <w:tmpl w:val="41E2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D7135"/>
    <w:multiLevelType w:val="hybridMultilevel"/>
    <w:tmpl w:val="4672D7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514E3D"/>
    <w:multiLevelType w:val="hybridMultilevel"/>
    <w:tmpl w:val="1A6E60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F12FEE"/>
    <w:multiLevelType w:val="hybridMultilevel"/>
    <w:tmpl w:val="F378C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396A5B"/>
    <w:multiLevelType w:val="hybridMultilevel"/>
    <w:tmpl w:val="28A6A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044301"/>
    <w:multiLevelType w:val="hybridMultilevel"/>
    <w:tmpl w:val="A1CC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3B2157"/>
    <w:multiLevelType w:val="hybridMultilevel"/>
    <w:tmpl w:val="56624436"/>
    <w:lvl w:ilvl="0" w:tplc="FB4E80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3F3DB5"/>
    <w:multiLevelType w:val="hybridMultilevel"/>
    <w:tmpl w:val="2762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1517A4"/>
    <w:multiLevelType w:val="hybridMultilevel"/>
    <w:tmpl w:val="6618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7074DD"/>
    <w:multiLevelType w:val="hybridMultilevel"/>
    <w:tmpl w:val="34D42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13"/>
  </w:num>
  <w:num w:numId="4">
    <w:abstractNumId w:val="20"/>
  </w:num>
  <w:num w:numId="5">
    <w:abstractNumId w:val="10"/>
  </w:num>
  <w:num w:numId="6">
    <w:abstractNumId w:val="7"/>
  </w:num>
  <w:num w:numId="7">
    <w:abstractNumId w:val="18"/>
  </w:num>
  <w:num w:numId="8">
    <w:abstractNumId w:val="14"/>
  </w:num>
  <w:num w:numId="9">
    <w:abstractNumId w:val="22"/>
  </w:num>
  <w:num w:numId="10">
    <w:abstractNumId w:val="9"/>
  </w:num>
  <w:num w:numId="11">
    <w:abstractNumId w:val="21"/>
  </w:num>
  <w:num w:numId="12">
    <w:abstractNumId w:val="3"/>
  </w:num>
  <w:num w:numId="13">
    <w:abstractNumId w:val="11"/>
  </w:num>
  <w:num w:numId="14">
    <w:abstractNumId w:val="1"/>
  </w:num>
  <w:num w:numId="15">
    <w:abstractNumId w:val="19"/>
  </w:num>
  <w:num w:numId="16">
    <w:abstractNumId w:val="12"/>
  </w:num>
  <w:num w:numId="17">
    <w:abstractNumId w:val="6"/>
  </w:num>
  <w:num w:numId="18">
    <w:abstractNumId w:val="8"/>
  </w:num>
  <w:num w:numId="19">
    <w:abstractNumId w:val="2"/>
  </w:num>
  <w:num w:numId="20">
    <w:abstractNumId w:val="16"/>
  </w:num>
  <w:num w:numId="21">
    <w:abstractNumId w:val="15"/>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EE2"/>
    <w:rsid w:val="00001415"/>
    <w:rsid w:val="00004722"/>
    <w:rsid w:val="00015ECD"/>
    <w:rsid w:val="00020F54"/>
    <w:rsid w:val="00026DB7"/>
    <w:rsid w:val="0003544C"/>
    <w:rsid w:val="0007213D"/>
    <w:rsid w:val="00085A4E"/>
    <w:rsid w:val="00087D10"/>
    <w:rsid w:val="000A3739"/>
    <w:rsid w:val="000C564C"/>
    <w:rsid w:val="001146DE"/>
    <w:rsid w:val="00121C92"/>
    <w:rsid w:val="00122A3C"/>
    <w:rsid w:val="00127372"/>
    <w:rsid w:val="00143BB2"/>
    <w:rsid w:val="00161F90"/>
    <w:rsid w:val="001818D3"/>
    <w:rsid w:val="001835E8"/>
    <w:rsid w:val="0018543C"/>
    <w:rsid w:val="0018636C"/>
    <w:rsid w:val="001920BC"/>
    <w:rsid w:val="001A3ACA"/>
    <w:rsid w:val="001B533E"/>
    <w:rsid w:val="001C1020"/>
    <w:rsid w:val="001C6BF0"/>
    <w:rsid w:val="001D6CF1"/>
    <w:rsid w:val="001E1E75"/>
    <w:rsid w:val="001E31EB"/>
    <w:rsid w:val="001F4734"/>
    <w:rsid w:val="002013E5"/>
    <w:rsid w:val="00207E35"/>
    <w:rsid w:val="00226705"/>
    <w:rsid w:val="002531FE"/>
    <w:rsid w:val="00271FD1"/>
    <w:rsid w:val="00282D77"/>
    <w:rsid w:val="002969D5"/>
    <w:rsid w:val="002D2BA3"/>
    <w:rsid w:val="002D3949"/>
    <w:rsid w:val="002E2CC5"/>
    <w:rsid w:val="002F3358"/>
    <w:rsid w:val="002F6F48"/>
    <w:rsid w:val="00334FD6"/>
    <w:rsid w:val="00340A47"/>
    <w:rsid w:val="00351487"/>
    <w:rsid w:val="003C1ECB"/>
    <w:rsid w:val="003C384A"/>
    <w:rsid w:val="003F49CD"/>
    <w:rsid w:val="0040595C"/>
    <w:rsid w:val="004203FB"/>
    <w:rsid w:val="0042759E"/>
    <w:rsid w:val="004360F2"/>
    <w:rsid w:val="00441F5B"/>
    <w:rsid w:val="00446206"/>
    <w:rsid w:val="00464F99"/>
    <w:rsid w:val="00470400"/>
    <w:rsid w:val="0049064D"/>
    <w:rsid w:val="0049472E"/>
    <w:rsid w:val="004B5532"/>
    <w:rsid w:val="004E6884"/>
    <w:rsid w:val="005006D9"/>
    <w:rsid w:val="0051476A"/>
    <w:rsid w:val="00514FB8"/>
    <w:rsid w:val="00534A1B"/>
    <w:rsid w:val="00540285"/>
    <w:rsid w:val="00552ADD"/>
    <w:rsid w:val="00585A5E"/>
    <w:rsid w:val="0059611B"/>
    <w:rsid w:val="005C1249"/>
    <w:rsid w:val="005E2076"/>
    <w:rsid w:val="005F4D17"/>
    <w:rsid w:val="00614999"/>
    <w:rsid w:val="00626952"/>
    <w:rsid w:val="00637690"/>
    <w:rsid w:val="00641851"/>
    <w:rsid w:val="006466B2"/>
    <w:rsid w:val="00687096"/>
    <w:rsid w:val="006B0332"/>
    <w:rsid w:val="006B2BE6"/>
    <w:rsid w:val="006B5D31"/>
    <w:rsid w:val="006C4726"/>
    <w:rsid w:val="006D6C82"/>
    <w:rsid w:val="006E6F00"/>
    <w:rsid w:val="007061E2"/>
    <w:rsid w:val="0072224A"/>
    <w:rsid w:val="00730DAF"/>
    <w:rsid w:val="00731D6E"/>
    <w:rsid w:val="007C40D1"/>
    <w:rsid w:val="007D4E91"/>
    <w:rsid w:val="00810497"/>
    <w:rsid w:val="00813BAB"/>
    <w:rsid w:val="008533A4"/>
    <w:rsid w:val="008832F1"/>
    <w:rsid w:val="008953D5"/>
    <w:rsid w:val="008A1532"/>
    <w:rsid w:val="008E5CBB"/>
    <w:rsid w:val="00902625"/>
    <w:rsid w:val="009048CA"/>
    <w:rsid w:val="00912A3A"/>
    <w:rsid w:val="00913C47"/>
    <w:rsid w:val="0092381D"/>
    <w:rsid w:val="009349CB"/>
    <w:rsid w:val="0093657A"/>
    <w:rsid w:val="00942F6A"/>
    <w:rsid w:val="0094497C"/>
    <w:rsid w:val="009A3527"/>
    <w:rsid w:val="009A4456"/>
    <w:rsid w:val="009B1581"/>
    <w:rsid w:val="009C61EE"/>
    <w:rsid w:val="009E7EE2"/>
    <w:rsid w:val="00A00F14"/>
    <w:rsid w:val="00A1400A"/>
    <w:rsid w:val="00A2339F"/>
    <w:rsid w:val="00A23B40"/>
    <w:rsid w:val="00A265C7"/>
    <w:rsid w:val="00A34B89"/>
    <w:rsid w:val="00A44D9A"/>
    <w:rsid w:val="00A4617F"/>
    <w:rsid w:val="00A57246"/>
    <w:rsid w:val="00A8320F"/>
    <w:rsid w:val="00AA49B7"/>
    <w:rsid w:val="00AC5B83"/>
    <w:rsid w:val="00AD2598"/>
    <w:rsid w:val="00AF37FC"/>
    <w:rsid w:val="00B06B02"/>
    <w:rsid w:val="00B40946"/>
    <w:rsid w:val="00B52B2F"/>
    <w:rsid w:val="00B57F78"/>
    <w:rsid w:val="00B60B1C"/>
    <w:rsid w:val="00B76E3E"/>
    <w:rsid w:val="00BA55F5"/>
    <w:rsid w:val="00BA5B09"/>
    <w:rsid w:val="00BB1FB5"/>
    <w:rsid w:val="00BC556B"/>
    <w:rsid w:val="00C01214"/>
    <w:rsid w:val="00C15FBF"/>
    <w:rsid w:val="00C236B1"/>
    <w:rsid w:val="00C45281"/>
    <w:rsid w:val="00C65A4E"/>
    <w:rsid w:val="00C7085A"/>
    <w:rsid w:val="00C901D7"/>
    <w:rsid w:val="00C9358E"/>
    <w:rsid w:val="00D2762D"/>
    <w:rsid w:val="00D35728"/>
    <w:rsid w:val="00D7484C"/>
    <w:rsid w:val="00D769B2"/>
    <w:rsid w:val="00D835AD"/>
    <w:rsid w:val="00D91AF4"/>
    <w:rsid w:val="00DC00EC"/>
    <w:rsid w:val="00DE0788"/>
    <w:rsid w:val="00DE6A95"/>
    <w:rsid w:val="00DF5CE6"/>
    <w:rsid w:val="00E04229"/>
    <w:rsid w:val="00E100F6"/>
    <w:rsid w:val="00E45C86"/>
    <w:rsid w:val="00E50B02"/>
    <w:rsid w:val="00E63AC8"/>
    <w:rsid w:val="00E85F72"/>
    <w:rsid w:val="00EA2F6A"/>
    <w:rsid w:val="00EA3067"/>
    <w:rsid w:val="00EC72A0"/>
    <w:rsid w:val="00EF5776"/>
    <w:rsid w:val="00F034E9"/>
    <w:rsid w:val="00F05186"/>
    <w:rsid w:val="00F104F1"/>
    <w:rsid w:val="00F15D5F"/>
    <w:rsid w:val="00F86591"/>
    <w:rsid w:val="00F95C05"/>
    <w:rsid w:val="00FC7FAD"/>
    <w:rsid w:val="00FF1CF2"/>
    <w:rsid w:val="00FF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E2"/>
    <w:rPr>
      <w:rFonts w:ascii="Tahoma" w:hAnsi="Tahoma" w:cs="Tahoma"/>
      <w:sz w:val="16"/>
      <w:szCs w:val="16"/>
    </w:rPr>
  </w:style>
  <w:style w:type="paragraph" w:styleId="ListParagraph">
    <w:name w:val="List Paragraph"/>
    <w:basedOn w:val="Normal"/>
    <w:uiPriority w:val="34"/>
    <w:qFormat/>
    <w:rsid w:val="009E7EE2"/>
    <w:pPr>
      <w:ind w:left="720"/>
      <w:contextualSpacing/>
    </w:pPr>
  </w:style>
  <w:style w:type="character" w:styleId="Hyperlink">
    <w:name w:val="Hyperlink"/>
    <w:basedOn w:val="DefaultParagraphFont"/>
    <w:uiPriority w:val="99"/>
    <w:unhideWhenUsed/>
    <w:rsid w:val="00E63A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E2"/>
    <w:rPr>
      <w:rFonts w:ascii="Tahoma" w:hAnsi="Tahoma" w:cs="Tahoma"/>
      <w:sz w:val="16"/>
      <w:szCs w:val="16"/>
    </w:rPr>
  </w:style>
  <w:style w:type="paragraph" w:styleId="ListParagraph">
    <w:name w:val="List Paragraph"/>
    <w:basedOn w:val="Normal"/>
    <w:uiPriority w:val="34"/>
    <w:qFormat/>
    <w:rsid w:val="009E7EE2"/>
    <w:pPr>
      <w:ind w:left="720"/>
      <w:contextualSpacing/>
    </w:pPr>
  </w:style>
  <w:style w:type="character" w:styleId="Hyperlink">
    <w:name w:val="Hyperlink"/>
    <w:basedOn w:val="DefaultParagraphFont"/>
    <w:uiPriority w:val="99"/>
    <w:unhideWhenUsed/>
    <w:rsid w:val="00E63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ne.uslarp.org/MagnetRD/TDWG/2012-03-29/Case4b-analysis-V2.docx" TargetMode="External"/><Relationship Id="rId3" Type="http://schemas.openxmlformats.org/officeDocument/2006/relationships/styles" Target="styles.xml"/><Relationship Id="rId7" Type="http://schemas.openxmlformats.org/officeDocument/2006/relationships/hyperlink" Target="https://plone.uslarp.org/MagnetRD/TDWG/2012-03-29/Planning-Notes-V6.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s://indico.fnal.gov/conferenceOtherViews.py?view=standard&amp;confId=5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5C38C-8B24-46FD-9CD3-C6F9F8FE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v40gls</dc:creator>
  <cp:lastModifiedBy>GianLuca Sabbi</cp:lastModifiedBy>
  <cp:revision>7</cp:revision>
  <dcterms:created xsi:type="dcterms:W3CDTF">2012-06-04T21:46:00Z</dcterms:created>
  <dcterms:modified xsi:type="dcterms:W3CDTF">2012-06-04T22:09:00Z</dcterms:modified>
</cp:coreProperties>
</file>