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PRECIFICA CERTO — SISTEMA DE PRECIFICAÇÃO FISCAL</w:t>
      </w:r>
    </w:p>
    <w:p>
      <w:pPr>
        <w:spacing w:after="60"/>
        <w:jc w:val="center"/>
      </w:pPr>
      <w:r>
        <w:rPr>
          <w:b/>
          <w:bCs/>
          <w:sz w:val="26"/>
          <w:szCs w:val="26"/>
        </w:rPr>
        <w:t xml:space="preserve">ADENDO OFICIAL DE CORREÇÃO — MOTOR RRO</w:t>
      </w:r>
    </w:p>
    <w:p>
      <w:pPr>
        <w:spacing w:after="200"/>
        <w:jc w:val="center"/>
      </w:pPr>
      <w:r>
        <w:rPr>
          <w:b/>
          <w:bCs/>
          <w:sz w:val="22"/>
          <w:szCs w:val="22"/>
        </w:rPr>
        <w:t xml:space="preserve">Seção 31-A — Correções de Agrupamento, Interface e Limite de Desconto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tcBorders>
              <w:top w:val="single" w:color="999999" w:sz="2"/>
              <w:left w:val="single" w:color="999999" w:sz="2"/>
              <w:bottom w:val="single" w:color="999999" w:sz="2"/>
              <w:right w:val="single" w:color="999999" w:sz="2"/>
            </w:tcBorders>
            <w:shd w:fill="D9E2F3" w:val="clear"/>
            <w:tcMar>
              <w:top w:type="dxa" w:w="100"/>
              <w:left w:type="dxa" w:w="120"/>
              <w:bottom w:type="dxa" w:w="100"/>
              <w:right w:type="dxa" w:w="120"/>
            </w:tcMar>
          </w:tcPr>
          <w:p>
            <w:r>
              <w:rPr>
                <w:b/>
                <w:bCs/>
              </w:rPr>
              <w:t xml:space="preserve">Versão</w:t>
            </w:r>
          </w:p>
        </w:tc>
        <w:tc>
          <w:tcPr>
            <w:tcW w:type="dxa" w:w="6000"/>
            <w:tcBorders>
              <w:top w:val="single" w:color="999999" w:sz="2"/>
              <w:left w:val="single" w:color="999999" w:sz="2"/>
              <w:bottom w:val="single" w:color="999999" w:sz="2"/>
              <w:right w:val="single" w:color="999999" w:sz="2"/>
            </w:tcBorders>
            <w:shd w:fill="D9E2F3" w:val="clear"/>
            <w:tcMar>
              <w:top w:type="dxa" w:w="100"/>
              <w:left w:type="dxa" w:w="120"/>
              <w:bottom w:type="dxa" w:w="100"/>
              <w:right w:type="dxa" w:w="120"/>
            </w:tcMar>
          </w:tcPr>
          <w:p>
            <w:r>
              <w:rPr>
                <w:b/>
                <w:bCs/>
              </w:rPr>
              <w:t xml:space="preserve">Julho 2026</w:t>
            </w:r>
          </w:p>
        </w:tc>
      </w:tr>
      <w:tr>
        <w:tc>
          <w:tcPr>
            <w:tcW w:type="dxa" w:w="4000"/>
            <w:tcBorders>
              <w:top w:val="single" w:color="999999" w:sz="2"/>
              <w:left w:val="single" w:color="999999" w:sz="2"/>
              <w:bottom w:val="single" w:color="999999" w:sz="2"/>
              <w:right w:val="single" w:color="999999" w:sz="2"/>
            </w:tcBorders>
            <w:tcMar>
              <w:top w:type="dxa" w:w="100"/>
              <w:left w:type="dxa" w:w="120"/>
              <w:bottom w:type="dxa" w:w="100"/>
              <w:right w:type="dxa" w:w="120"/>
            </w:tcMar>
          </w:tcPr>
          <w:p>
            <w:r>
              <w:rPr>
                <w:b w:val="false"/>
                <w:bCs w:val="false"/>
              </w:rPr>
              <w:t xml:space="preserve">Classificação</w:t>
            </w:r>
          </w:p>
        </w:tc>
        <w:tc>
          <w:tcPr>
            <w:tcW w:type="dxa" w:w="6000"/>
            <w:tcBorders>
              <w:top w:val="single" w:color="999999" w:sz="2"/>
              <w:left w:val="single" w:color="999999" w:sz="2"/>
              <w:bottom w:val="single" w:color="999999" w:sz="2"/>
              <w:right w:val="single" w:color="999999" w:sz="2"/>
            </w:tcBorders>
            <w:tcMar>
              <w:top w:type="dxa" w:w="100"/>
              <w:left w:type="dxa" w:w="120"/>
              <w:bottom w:type="dxa" w:w="100"/>
              <w:right w:type="dxa" w:w="120"/>
            </w:tcMar>
          </w:tcPr>
          <w:p>
            <w:r>
              <w:rPr>
                <w:b w:val="false"/>
                <w:bCs w:val="false"/>
              </w:rPr>
              <w:t xml:space="preserve">Correção Estrutural e de Interface — Prioridade Alta</w:t>
            </w:r>
          </w:p>
        </w:tc>
      </w:tr>
      <w:tr>
        <w:tc>
          <w:tcPr>
            <w:tcW w:type="dxa" w:w="4000"/>
            <w:tcBorders>
              <w:top w:val="single" w:color="999999" w:sz="2"/>
              <w:left w:val="single" w:color="999999" w:sz="2"/>
              <w:bottom w:val="single" w:color="999999" w:sz="2"/>
              <w:right w:val="single" w:color="999999" w:sz="2"/>
            </w:tcBorders>
            <w:tcMar>
              <w:top w:type="dxa" w:w="100"/>
              <w:left w:type="dxa" w:w="120"/>
              <w:bottom w:type="dxa" w:w="100"/>
              <w:right w:type="dxa" w:w="120"/>
            </w:tcMar>
          </w:tcPr>
          <w:p>
            <w:r>
              <w:rPr>
                <w:b w:val="false"/>
                <w:bCs w:val="false"/>
              </w:rPr>
              <w:t xml:space="preserve">Seções afetadas</w:t>
            </w:r>
          </w:p>
        </w:tc>
        <w:tc>
          <w:tcPr>
            <w:tcW w:type="dxa" w:w="6000"/>
            <w:tcBorders>
              <w:top w:val="single" w:color="999999" w:sz="2"/>
              <w:left w:val="single" w:color="999999" w:sz="2"/>
              <w:bottom w:val="single" w:color="999999" w:sz="2"/>
              <w:right w:val="single" w:color="999999" w:sz="2"/>
            </w:tcBorders>
            <w:tcMar>
              <w:top w:type="dxa" w:w="100"/>
              <w:left w:type="dxa" w:w="120"/>
              <w:bottom w:type="dxa" w:w="100"/>
              <w:right w:type="dxa" w:w="120"/>
            </w:tcMar>
          </w:tcPr>
          <w:p>
            <w:r>
              <w:rPr>
                <w:b w:val="false"/>
                <w:bCs w:val="false"/>
              </w:rPr>
              <w:t xml:space="preserve">Etapa 3 (Agrupamento por Categorias), Etapa 5 (Consolidação das Despesas Operacionais), Etapa 16 (Redistribuição RRO), UI de Orçamentos</w:t>
            </w:r>
          </w:p>
        </w:tc>
      </w:tr>
      <w:tr>
        <w:tc>
          <w:tcPr>
            <w:tcW w:type="dxa" w:w="4000"/>
            <w:tcBorders>
              <w:top w:val="single" w:color="999999" w:sz="2"/>
              <w:left w:val="single" w:color="999999" w:sz="2"/>
              <w:bottom w:val="single" w:color="999999" w:sz="2"/>
              <w:right w:val="single" w:color="999999" w:sz="2"/>
            </w:tcBorders>
            <w:tcMar>
              <w:top w:type="dxa" w:w="100"/>
              <w:left w:type="dxa" w:w="120"/>
              <w:bottom w:type="dxa" w:w="100"/>
              <w:right w:type="dxa" w:w="120"/>
            </w:tcMar>
          </w:tcPr>
          <w:p>
            <w:r>
              <w:rPr>
                <w:b w:val="false"/>
                <w:bCs w:val="false"/>
              </w:rPr>
              <w:t xml:space="preserve">Assuntos cobertos</w:t>
            </w:r>
          </w:p>
        </w:tc>
        <w:tc>
          <w:tcPr>
            <w:tcW w:type="dxa" w:w="6000"/>
            <w:tcBorders>
              <w:top w:val="single" w:color="999999" w:sz="2"/>
              <w:left w:val="single" w:color="999999" w:sz="2"/>
              <w:bottom w:val="single" w:color="999999" w:sz="2"/>
              <w:right w:val="single" w:color="999999" w:sz="2"/>
            </w:tcBorders>
            <w:tcMar>
              <w:top w:type="dxa" w:w="100"/>
              <w:left w:type="dxa" w:w="120"/>
              <w:bottom w:type="dxa" w:w="100"/>
              <w:right w:type="dxa" w:w="120"/>
            </w:tcMar>
          </w:tcPr>
          <w:p>
            <w:r>
              <w:rPr>
                <w:b w:val="false"/>
                <w:bCs w:val="false"/>
              </w:rPr>
              <w:t xml:space="preserve">5 (cinco) — detalhados nas Seções 1 a 5 deste documento</w:t>
            </w:r>
          </w:p>
        </w:tc>
      </w:tr>
    </w:tbl>
    <w:p>
      <w:pPr>
        <w:spacing w:after="120"/>
      </w:pPr>
      <w:r>
        <w:t xml:space="preserve"/>
      </w:r>
    </w:p>
    <w:p>
      <w:pPr>
        <w:pStyle w:val="Heading1"/>
        <w:spacing w:after="150" w:before="300"/>
      </w:pPr>
      <w:r>
        <w:rPr>
          <w:b/>
          <w:bCs/>
        </w:rPr>
        <w:t xml:space="preserve">Sumário Executivo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shd w:fill="F2F2F2" w:val="clear"/>
            <w:tcMar>
              <w:top w:type="dxa" w:w="150"/>
              <w:left w:type="dxa" w:w="150"/>
              <w:bottom w:type="dxa" w:w="150"/>
              <w:right w:type="dxa" w:w="150"/>
            </w:tcMar>
          </w:tcPr>
          <w:p>
            <w:r>
              <w:rPr>
                <w:b/>
                <w:bCs/>
              </w:rPr>
              <w:t xml:space="preserve">Este adendo formaliza 5 (cinco) itens de correção identificados em sessão de diagnóstico com o proprietário do sistema (Cristiano):</w:t>
            </w:r>
          </w:p>
          <w:p>
            <w:pPr>
              <w:spacing w:before="100"/>
            </w:pPr>
            <w:r>
              <w:t xml:space="preserve">1. Falha de soma da subcategoria MO Administrativa nas Etapas 3 e 5 (individual e multi-produto);</w:t>
            </w:r>
          </w:p>
          <w:p>
            <w:r>
              <w:t xml:space="preserve">2. Falha de soma da MO Administrativa especificamente em orçamentos com múltiplos produtos (Etapa 3 — Agrupamento);</w:t>
            </w:r>
          </w:p>
          <w:p>
            <w:r>
              <w:t xml:space="preserve">3. Remoção de subtítulo técnico do cabeçalho do bloco Memória Cascata;</w:t>
            </w:r>
          </w:p>
          <w:p>
            <w:r>
              <w:t xml:space="preserve">4. Renomeação dos rótulos do seletor de Modo de absorção de desconto;</w:t>
            </w:r>
          </w:p>
          <w:p>
            <w:r>
              <w:t xml:space="preserve">5. Correção do teto (clamp) do campo de desconto manual em R$ no Modo "Empresa absorve (Lucro)".</w:t>
            </w:r>
          </w:p>
        </w:tc>
      </w:tr>
    </w:tbl>
    <w:p>
      <w:pPr>
        <w:spacing w:after="120"/>
      </w:pPr>
      <w:r>
        <w:t xml:space="preserve"/>
      </w:r>
    </w:p>
    <w:p>
      <w:pPr>
        <w:pStyle w:val="Heading1"/>
        <w:spacing w:after="150" w:before="300"/>
      </w:pPr>
      <w:r>
        <w:rPr>
          <w:b/>
          <w:bCs/>
        </w:rPr>
        <w:t xml:space="preserve">1. Falha de Leitura da MO Administrativa — Produto Individual</w:t>
      </w:r>
    </w:p>
    <w:p>
      <w:pPr>
        <w:pStyle w:val="Heading2"/>
        <w:spacing w:after="100" w:before="200"/>
      </w:pPr>
      <w:r>
        <w:rPr>
          <w:b/>
          <w:bCs/>
        </w:rPr>
        <w:t xml:space="preserve">1.1 Problema Identificado</w:t>
      </w:r>
    </w:p>
    <w:p>
      <w:pPr>
        <w:spacing w:after="120"/>
      </w:pPr>
      <w:r>
        <w:t xml:space="preserve">Ao editar um produto isoladamente, a Cascata (Memória Cascata) exibe a subcategoria Mão de Obra Administrativa como efetiva 0,00% (R$ 0,00) na Etapa 5, mesmo quando o produto possui valor de MO Administrativa configurado e exibido corretamente na tela de edição do produto.</w:t>
      </w:r>
    </w:p>
    <w:p>
      <w:pPr>
        <w:pStyle w:val="Heading2"/>
        <w:spacing w:after="100" w:before="200"/>
      </w:pPr>
      <w:r>
        <w:rPr>
          <w:b/>
          <w:bCs/>
        </w:rPr>
        <w:t xml:space="preserve">1.2 Evidência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2400"/>
      </w:tblGrid>
      <w:tr>
        <w:tc>
          <w:tcPr>
            <w:tcW w:type="dxa" w:w="3200"/>
            <w:tcBorders>
              <w:top w:val="single" w:color="999999" w:sz="2"/>
              <w:left w:val="single" w:color="999999" w:sz="2"/>
              <w:bottom w:val="single" w:color="999999" w:sz="2"/>
              <w:right w:val="single" w:color="999999" w:sz="2"/>
            </w:tcBorders>
            <w:shd w:fill="D9E2F3" w:val="clear"/>
            <w:tcMar>
              <w:top w:type="dxa" w:w="90"/>
              <w:left w:type="dxa" w:w="110"/>
              <w:bottom w:type="dxa" w:w="90"/>
              <w:right w:type="dxa" w:w="110"/>
            </w:tcMar>
          </w:tcPr>
          <w:p>
            <w:r>
              <w:rPr>
                <w:b/>
                <w:bCs/>
              </w:rPr>
              <w:t xml:space="preserve">Origem</w:t>
            </w:r>
          </w:p>
        </w:tc>
        <w:tc>
          <w:tcPr>
            <w:tcW w:type="dxa" w:w="4400"/>
            <w:tcBorders>
              <w:top w:val="single" w:color="999999" w:sz="2"/>
              <w:left w:val="single" w:color="999999" w:sz="2"/>
              <w:bottom w:val="single" w:color="999999" w:sz="2"/>
              <w:right w:val="single" w:color="999999" w:sz="2"/>
            </w:tcBorders>
            <w:shd w:fill="D9E2F3" w:val="clear"/>
            <w:tcMar>
              <w:top w:type="dxa" w:w="90"/>
              <w:left w:type="dxa" w:w="110"/>
              <w:bottom w:type="dxa" w:w="90"/>
              <w:right w:type="dxa" w:w="110"/>
            </w:tcMar>
          </w:tcPr>
          <w:p>
            <w:r>
              <w:rPr>
                <w:b/>
                <w:bCs/>
              </w:rPr>
              <w:t xml:space="preserve">Fonte</w:t>
            </w:r>
          </w:p>
        </w:tc>
        <w:tc>
          <w:tcPr>
            <w:tcW w:type="dxa" w:w="2400"/>
            <w:tcBorders>
              <w:top w:val="single" w:color="999999" w:sz="2"/>
              <w:left w:val="single" w:color="999999" w:sz="2"/>
              <w:bottom w:val="single" w:color="999999" w:sz="2"/>
              <w:right w:val="single" w:color="999999" w:sz="2"/>
            </w:tcBorders>
            <w:shd w:fill="D9E2F3" w:val="clear"/>
            <w:tcMar>
              <w:top w:type="dxa" w:w="90"/>
              <w:left w:type="dxa" w:w="110"/>
              <w:bottom w:type="dxa" w:w="90"/>
              <w:right w:type="dxa" w:w="110"/>
            </w:tcMar>
          </w:tcPr>
          <w:p>
            <w:r>
              <w:rPr>
                <w:b/>
                <w:bCs/>
              </w:rPr>
              <w:t xml:space="preserve">Valor</w:t>
            </w:r>
          </w:p>
        </w:tc>
      </w:tr>
      <w:tr>
        <w:tc>
          <w:tcPr>
            <w:tcW w:type="dxa" w:w="32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Tela de edição do produto</w:t>
            </w:r>
          </w:p>
        </w:tc>
        <w:tc>
          <w:tcPr>
            <w:tcW w:type="dxa" w:w="44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Custo produto + linhas de despesas somadas manualmente</w:t>
            </w:r>
          </w:p>
        </w:tc>
        <w:tc>
          <w:tcPr>
            <w:tcW w:type="dxa" w:w="24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R$ 1.890,79</w:t>
            </w:r>
          </w:p>
        </w:tc>
      </w:tr>
      <w:tr>
        <w:tc>
          <w:tcPr>
            <w:tcW w:type="dxa" w:w="32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Lista de produtos / Orçamento</w:t>
            </w:r>
          </w:p>
        </w:tc>
        <w:tc>
          <w:tcPr>
            <w:tcW w:type="dxa" w:w="44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Preço reconstruído pela Cascata</w:t>
            </w:r>
          </w:p>
        </w:tc>
        <w:tc>
          <w:tcPr>
            <w:tcW w:type="dxa" w:w="24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R$ 1.886,51</w:t>
            </w:r>
          </w:p>
        </w:tc>
      </w:tr>
      <w:tr>
        <w:tc>
          <w:tcPr>
            <w:tcW w:type="dxa" w:w="32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Diferença</w:t>
            </w:r>
          </w:p>
        </w:tc>
        <w:tc>
          <w:tcPr>
            <w:tcW w:type="dxa" w:w="44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MO Administrativa não propagada</w:t>
            </w:r>
          </w:p>
        </w:tc>
        <w:tc>
          <w:tcPr>
            <w:tcW w:type="dxa" w:w="24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R$ 4,28 (equivalente a R$ 179,06 de MO Administrativa não somados à base efetiva)</w:t>
            </w:r>
          </w:p>
        </w:tc>
      </w:tr>
    </w:tbl>
    <w:p>
      <w:pPr>
        <w:spacing w:after="120"/>
      </w:pPr>
      <w:r>
        <w:t xml:space="preserve"/>
      </w:r>
    </w:p>
    <w:p>
      <w:pPr>
        <w:spacing w:after="120"/>
      </w:pPr>
      <w:r>
        <w:t xml:space="preserve">Na Etapa 5 da Cascata, a linha MO Administrativa aparece com alíquota efetiva 0,00% e valor R$ 0,00, enquanto as demais subcategorias (Despesa Fixa, Variável, Financeira) exibem valores corretamente calculados sobre a mesma base.</w:t>
      </w:r>
    </w:p>
    <w:p>
      <w:pPr>
        <w:pStyle w:val="Heading2"/>
        <w:spacing w:after="100" w:before="200"/>
      </w:pPr>
      <w:r>
        <w:rPr>
          <w:b/>
          <w:bCs/>
        </w:rPr>
        <w:t xml:space="preserve">1.3 Causa Raiz</w:t>
      </w:r>
    </w:p>
    <w:p>
      <w:pPr>
        <w:spacing w:after="120"/>
      </w:pPr>
      <w:r>
        <w:t xml:space="preserve">A rotina que monta a Etapa 5 (Consolidação das despesas operacionais) não está lendo o campo de MO Administrativa do produto ao calcular a linha discriminada, embora o valor esteja sendo somado ao total agregado da etapa — gerando inconsistência entre o total da etapa e a soma das linhas visíveis.</w:t>
      </w:r>
    </w:p>
    <w:p>
      <w:pPr>
        <w:spacing w:after="120"/>
      </w:pPr>
      <w:r>
        <w:t xml:space="preserve"/>
      </w:r>
    </w:p>
    <w:p>
      <w:pPr>
        <w:pStyle w:val="Heading1"/>
        <w:spacing w:after="150" w:before="300"/>
      </w:pPr>
      <w:r>
        <w:rPr>
          <w:b/>
          <w:bCs/>
        </w:rPr>
        <w:t xml:space="preserve">2. Falha de Soma da MO Administrativa — Orçamento Multi-Produto</w:t>
      </w:r>
    </w:p>
    <w:p>
      <w:pPr>
        <w:pStyle w:val="Heading2"/>
        <w:spacing w:after="100" w:before="200"/>
      </w:pPr>
      <w:r>
        <w:rPr>
          <w:b/>
          <w:bCs/>
        </w:rPr>
        <w:t xml:space="preserve">2.1 Problema Identificado</w:t>
      </w:r>
    </w:p>
    <w:p>
      <w:pPr>
        <w:spacing w:after="120"/>
      </w:pPr>
      <w:r>
        <w:t xml:space="preserve">Em orçamentos com mais de um produto, o valor em R$ da subcategoria MO Administrativa permanece travado no valor do primeiro produto do orçamento e não soma a contribuição de MO Administrativa dos demais produtos — mesmo quando esses produtos possuem o campo devidamente preenchido. As demais subcategorias (Despesa Fixa, Variável, Financeira) somam corretamente entre produtos.</w:t>
      </w:r>
    </w:p>
    <w:p>
      <w:pPr>
        <w:pStyle w:val="Heading2"/>
        <w:spacing w:after="100" w:before="200"/>
      </w:pPr>
      <w:r>
        <w:rPr>
          <w:b/>
          <w:bCs/>
        </w:rPr>
        <w:t xml:space="preserve">2.2 Evidência Comparativa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700"/>
      </w:tblGrid>
      <w:tr>
        <w:tc>
          <w:tcPr>
            <w:tcW w:type="dxa" w:w="2600"/>
            <w:tcBorders>
              <w:top w:val="single" w:color="999999" w:sz="2"/>
              <w:left w:val="single" w:color="999999" w:sz="2"/>
              <w:bottom w:val="single" w:color="999999" w:sz="2"/>
              <w:right w:val="single" w:color="999999" w:sz="2"/>
            </w:tcBorders>
            <w:shd w:fill="D9E2F3" w:val="clear"/>
            <w:tcMar>
              <w:top w:type="dxa" w:w="90"/>
              <w:left w:type="dxa" w:w="110"/>
              <w:bottom w:type="dxa" w:w="90"/>
              <w:right w:type="dxa" w:w="110"/>
            </w:tcMar>
          </w:tcPr>
          <w:p>
            <w:r>
              <w:rPr>
                <w:b/>
                <w:bCs/>
              </w:rPr>
              <w:t xml:space="preserve">Subcategoria</w:t>
            </w:r>
          </w:p>
        </w:tc>
        <w:tc>
          <w:tcPr>
            <w:tcW w:type="dxa" w:w="3700"/>
            <w:tcBorders>
              <w:top w:val="single" w:color="999999" w:sz="2"/>
              <w:left w:val="single" w:color="999999" w:sz="2"/>
              <w:bottom w:val="single" w:color="999999" w:sz="2"/>
              <w:right w:val="single" w:color="999999" w:sz="2"/>
            </w:tcBorders>
            <w:shd w:fill="D9E2F3" w:val="clear"/>
            <w:tcMar>
              <w:top w:type="dxa" w:w="90"/>
              <w:left w:type="dxa" w:w="110"/>
              <w:bottom w:type="dxa" w:w="90"/>
              <w:right w:type="dxa" w:w="110"/>
            </w:tcMar>
          </w:tcPr>
          <w:p>
            <w:r>
              <w:rPr>
                <w:b/>
                <w:bCs/>
              </w:rPr>
              <w:t xml:space="preserve">1 produto — Obra Mellody (base R$ 100.330,70)</w:t>
            </w:r>
          </w:p>
        </w:tc>
        <w:tc>
          <w:tcPr>
            <w:tcW w:type="dxa" w:w="3700"/>
            <w:tcBorders>
              <w:top w:val="single" w:color="999999" w:sz="2"/>
              <w:left w:val="single" w:color="999999" w:sz="2"/>
              <w:bottom w:val="single" w:color="999999" w:sz="2"/>
              <w:right w:val="single" w:color="999999" w:sz="2"/>
            </w:tcBorders>
            <w:shd w:fill="D9E2F3" w:val="clear"/>
            <w:tcMar>
              <w:top w:type="dxa" w:w="90"/>
              <w:left w:type="dxa" w:w="110"/>
              <w:bottom w:type="dxa" w:w="90"/>
              <w:right w:type="dxa" w:w="110"/>
            </w:tcMar>
          </w:tcPr>
          <w:p>
            <w:r>
              <w:rPr>
                <w:b/>
                <w:bCs/>
              </w:rPr>
              <w:t xml:space="preserve">2 produtos — + 6× Portas N.V (base R$ 111.675,43)</w:t>
            </w:r>
          </w:p>
        </w:tc>
      </w:tr>
      <w:tr>
        <w:tc>
          <w:tcPr>
            <w:tcW w:type="dxa" w:w="26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MO Administrativa</w:t>
            </w:r>
          </w:p>
        </w:tc>
        <w:tc>
          <w:tcPr>
            <w:tcW w:type="dxa" w:w="37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R$ 9.501,32 (9,470%)</w:t>
            </w:r>
          </w:p>
        </w:tc>
        <w:tc>
          <w:tcPr>
            <w:tcW w:type="dxa" w:w="37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R$ 9.501,32 (8,508%) — valor absoluto idêntico, NÃO somou</w:t>
            </w:r>
          </w:p>
        </w:tc>
      </w:tr>
      <w:tr>
        <w:tc>
          <w:tcPr>
            <w:tcW w:type="dxa" w:w="26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Despesa Fixa</w:t>
            </w:r>
          </w:p>
        </w:tc>
        <w:tc>
          <w:tcPr>
            <w:tcW w:type="dxa" w:w="37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R$ 10.424,36 (10,390%)</w:t>
            </w:r>
          </w:p>
        </w:tc>
        <w:tc>
          <w:tcPr>
            <w:tcW w:type="dxa" w:w="37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R$ 11.250,38 (10,7742%) — recalculado corretamente</w:t>
            </w:r>
          </w:p>
        </w:tc>
      </w:tr>
      <w:tr>
        <w:tc>
          <w:tcPr>
            <w:tcW w:type="dxa" w:w="26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Despesa Variável</w:t>
            </w:r>
          </w:p>
        </w:tc>
        <w:tc>
          <w:tcPr>
            <w:tcW w:type="dxa" w:w="37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R$ 6.431,20 (6,410%)</w:t>
            </w:r>
          </w:p>
        </w:tc>
        <w:tc>
          <w:tcPr>
            <w:tcW w:type="dxa" w:w="37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R$ 6.940,78 (6,2151%) — recalculado corretamente</w:t>
            </w:r>
          </w:p>
        </w:tc>
      </w:tr>
      <w:tr>
        <w:tc>
          <w:tcPr>
            <w:tcW w:type="dxa" w:w="26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Despesa Financeira</w:t>
            </w:r>
          </w:p>
        </w:tc>
        <w:tc>
          <w:tcPr>
            <w:tcW w:type="dxa" w:w="37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R$ 421,39 (0,420%)</w:t>
            </w:r>
          </w:p>
        </w:tc>
        <w:tc>
          <w:tcPr>
            <w:tcW w:type="dxa" w:w="37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R$ 454,81 (0,4073%) — recalculado corretamente</w:t>
            </w:r>
          </w:p>
        </w:tc>
      </w:tr>
    </w:tbl>
    <w:p>
      <w:pPr>
        <w:spacing w:after="120"/>
      </w:pPr>
      <w:r>
        <w:t xml:space="preserve"/>
      </w:r>
    </w:p>
    <w:p>
      <w:pPr>
        <w:pStyle w:val="Heading2"/>
        <w:spacing w:after="100" w:before="200"/>
      </w:pPr>
      <w:r>
        <w:rPr>
          <w:b/>
          <w:bCs/>
        </w:rPr>
        <w:t xml:space="preserve">2.3 Causa Raiz e Impacto</w:t>
      </w:r>
    </w:p>
    <w:p>
      <w:pPr>
        <w:spacing w:after="120"/>
      </w:pPr>
      <w:r>
        <w:t xml:space="preserve">A Etapa 3 (Agrupamento por categorias) soma corretamente Despesa Fixa, Variável e Financeira entre todos os produtos do orçamento, mas falha especificamente ao agregar a contribuição de MO Administrativa de produtos além do primeiro. O erro é estrutural — contamina a Etapa 5 (total agregado), toda a cascata de margens a partir da Etapa 6, e o preço final consolidado do orçamento. Não se trata de arredondamento.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8F00" w:sz="4"/>
              <w:left w:val="single" w:color="BF8F00" w:sz="4"/>
              <w:bottom w:val="single" w:color="BF8F00" w:sz="4"/>
              <w:right w:val="single" w:color="BF8F00" w:sz="4"/>
            </w:tcBorders>
            <w:shd w:fill="FFF2CC" w:val="clear"/>
            <w:tcMar>
              <w:top w:type="dxa" w:w="150"/>
              <w:left w:type="dxa" w:w="150"/>
              <w:bottom w:type="dxa" w:w="150"/>
              <w:right w:type="dxa" w:w="150"/>
            </w:tcMar>
          </w:tcPr>
          <w:p>
            <w:r>
              <w:rPr>
                <w:b/>
                <w:bCs/>
              </w:rPr>
              <w:t xml:space="preserve">CORREÇÃO OBRIGATÓRIA: </w:t>
            </w:r>
            <w:r>
              <w:t xml:space="preserve">A rotina de agrupamento da Etapa 3 deve somar o valor de MO Administrativa de cada produto do orçamento, na mesma lógica já aplicada corretamente às demais subcategorias (Fixa, Variável, Financeira), tanto para leitura individual (produto único) quanto para agregação multi-produto.</w:t>
            </w:r>
          </w:p>
        </w:tc>
      </w:tr>
    </w:tbl>
    <w:p>
      <w:pPr>
        <w:spacing w:after="120"/>
      </w:pPr>
      <w:r>
        <w:t xml:space="preserve"/>
      </w:r>
    </w:p>
    <w:p>
      <w:pPr>
        <w:pStyle w:val="Heading2"/>
        <w:spacing w:after="100" w:before="200"/>
      </w:pPr>
      <w:r>
        <w:rPr>
          <w:b/>
          <w:bCs/>
        </w:rPr>
        <w:t xml:space="preserve">2.4 Pseudo-código de Referência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shd w:fill="F2F2F2" w:val="clear"/>
            <w:tcMar>
              <w:top w:type="dxa" w:w="150"/>
              <w:left w:type="dxa" w:w="150"/>
              <w:bottom w:type="dxa" w:w="150"/>
              <w:right w:type="dxa" w:w="150"/>
            </w:tcMar>
          </w:tcPr>
          <w:p>
            <w:pPr>
              <w:spacing w:after="40"/>
            </w:pPr>
            <w:r>
              <w:rPr>
                <w:rFonts w:ascii="Consolas" w:cs="Consolas" w:eastAsia="Consolas" w:hAnsi="Consolas"/>
                <w:color w:val="B7202E"/>
                <w:sz w:val="19"/>
                <w:szCs w:val="19"/>
              </w:rPr>
              <w:t xml:space="preserve">// ── ATUAL (INCORRETO) — Etapa 3: Agrupamento por categorias ──</w:t>
            </w:r>
          </w:p>
          <w:p>
            <w:pPr>
              <w:spacing w:after="40"/>
            </w:pPr>
            <w:r>
              <w:rPr>
                <w:rFonts w:ascii="Consolas" w:cs="Consolas" w:eastAsia="Consolas" w:hAnsi="Consolas"/>
                <w:color w:val="B7202E"/>
                <w:sz w:val="19"/>
                <w:szCs w:val="19"/>
              </w:rPr>
              <w:t xml:space="preserve">mo_administrativa_total = produtos[0].mo_administrativa   // ← só lê o primeiro produto</w:t>
            </w:r>
          </w:p>
          <w:p>
            <w:pPr>
              <w:spacing w:after="40"/>
            </w:pPr>
            <w:r>
              <w:rPr>
                <w:rFonts w:ascii="Consolas" w:cs="Consolas" w:eastAsia="Consolas" w:hAnsi="Consolas"/>
                <w:color w:val="1F3864"/>
                <w:sz w:val="19"/>
                <w:szCs w:val="19"/>
              </w:rPr>
              <w:t xml:space="preserve">despesa_fixa_total       = sum(p.despesa_fixa for p in produtos)      // correto</w:t>
            </w:r>
          </w:p>
          <w:p>
            <w:pPr>
              <w:spacing w:after="40"/>
            </w:pPr>
            <w:r>
              <w:rPr>
                <w:rFonts w:ascii="Consolas" w:cs="Consolas" w:eastAsia="Consolas" w:hAnsi="Consolas"/>
                <w:color w:val="1F3864"/>
                <w:sz w:val="19"/>
                <w:szCs w:val="19"/>
              </w:rPr>
              <w:t xml:space="preserve">despesa_variavel_total   = sum(p.despesa_variavel for p in produtos)  // correto</w:t>
            </w:r>
          </w:p>
          <w:p>
            <w:pPr>
              <w:spacing w:after="40"/>
            </w:pPr>
            <w:r>
              <w:rPr>
                <w:rFonts w:ascii="Consolas" w:cs="Consolas" w:eastAsia="Consolas" w:hAnsi="Consolas"/>
                <w:color w:val="1F3864"/>
                <w:sz w:val="19"/>
                <w:szCs w:val="19"/>
              </w:rPr>
              <w:t xml:space="preserve">despesa_financeira_total = sum(p.despesa_financeira for p in produtos) // correto</w:t>
            </w:r>
          </w:p>
          <w:p/>
          <w:p>
            <w:pPr>
              <w:spacing w:after="40"/>
            </w:pPr>
            <w:r>
              <w:rPr>
                <w:rFonts w:ascii="Consolas" w:cs="Consolas" w:eastAsia="Consolas" w:hAnsi="Consolas"/>
                <w:color w:val="1E7145"/>
                <w:sz w:val="19"/>
                <w:szCs w:val="19"/>
              </w:rPr>
              <w:t xml:space="preserve">// ── CORRIGIDO ──</w:t>
            </w:r>
          </w:p>
          <w:p>
            <w:pPr>
              <w:spacing w:after="40"/>
            </w:pPr>
            <w:r>
              <w:rPr>
                <w:rFonts w:ascii="Consolas" w:cs="Consolas" w:eastAsia="Consolas" w:hAnsi="Consolas"/>
                <w:color w:val="1E7145"/>
                <w:sz w:val="19"/>
                <w:szCs w:val="19"/>
              </w:rPr>
              <w:t xml:space="preserve">mo_administrativa_total = sum(p.mo_administrativa for p in produtos)  // ← soma todos os produtos</w:t>
            </w:r>
          </w:p>
        </w:tc>
      </w:tr>
    </w:tbl>
    <w:p>
      <w:pPr>
        <w:spacing w:after="120"/>
      </w:pPr>
      <w:r>
        <w:t xml:space="preserve"/>
      </w:r>
    </w:p>
    <w:p>
      <w:pPr>
        <w:pStyle w:val="Heading1"/>
        <w:spacing w:after="150" w:before="300"/>
      </w:pPr>
      <w:r>
        <w:rPr>
          <w:b/>
          <w:bCs/>
        </w:rPr>
        <w:t xml:space="preserve">3. Simplificação do Título — Bloco Memória Cascata</w:t>
      </w:r>
    </w:p>
    <w:p>
      <w:pPr>
        <w:pStyle w:val="Heading2"/>
        <w:spacing w:after="100" w:before="200"/>
      </w:pPr>
      <w:r>
        <w:rPr>
          <w:b/>
          <w:bCs/>
        </w:rPr>
        <w:t xml:space="preserve">3.1 Problema Identificado</w:t>
      </w:r>
    </w:p>
    <w:p>
      <w:pPr>
        <w:spacing w:after="120"/>
      </w:pPr>
      <w:r>
        <w:t xml:space="preserve">O cabeçalho do bloco de auditoria detalhada exibe um subtítulo técnico entre parênteses que não deve ser exibido ao usuário final.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3000"/>
      </w:tblGrid>
      <w:tr>
        <w:tc>
          <w:tcPr>
            <w:tcW w:type="dxa" w:w="2200"/>
            <w:tcBorders>
              <w:top w:val="single" w:color="999999" w:sz="2"/>
              <w:left w:val="single" w:color="999999" w:sz="2"/>
              <w:bottom w:val="single" w:color="999999" w:sz="2"/>
              <w:right w:val="single" w:color="999999" w:sz="2"/>
            </w:tcBorders>
            <w:shd w:fill="D9E2F3" w:val="clear"/>
            <w:tcMar>
              <w:top w:type="dxa" w:w="90"/>
              <w:left w:type="dxa" w:w="110"/>
              <w:bottom w:type="dxa" w:w="90"/>
              <w:right w:type="dxa" w:w="110"/>
            </w:tcMar>
          </w:tcPr>
          <w:p>
            <w:r>
              <w:rPr>
                <w:b/>
                <w:bCs/>
              </w:rPr>
              <w:t xml:space="preserve"/>
            </w:r>
          </w:p>
        </w:tc>
        <w:tc>
          <w:tcPr>
            <w:tcW w:type="dxa" w:w="5000"/>
            <w:tcBorders>
              <w:top w:val="single" w:color="999999" w:sz="2"/>
              <w:left w:val="single" w:color="999999" w:sz="2"/>
              <w:bottom w:val="single" w:color="999999" w:sz="2"/>
              <w:right w:val="single" w:color="999999" w:sz="2"/>
            </w:tcBorders>
            <w:shd w:fill="D9E2F3" w:val="clear"/>
            <w:tcMar>
              <w:top w:type="dxa" w:w="90"/>
              <w:left w:type="dxa" w:w="110"/>
              <w:bottom w:type="dxa" w:w="90"/>
              <w:right w:type="dxa" w:w="110"/>
            </w:tcMar>
          </w:tcPr>
          <w:p>
            <w:r>
              <w:rPr>
                <w:b/>
                <w:bCs/>
              </w:rPr>
              <w:t xml:space="preserve">Texto Atual</w:t>
            </w:r>
          </w:p>
        </w:tc>
        <w:tc>
          <w:tcPr>
            <w:tcW w:type="dxa" w:w="3000"/>
            <w:tcBorders>
              <w:top w:val="single" w:color="999999" w:sz="2"/>
              <w:left w:val="single" w:color="999999" w:sz="2"/>
              <w:bottom w:val="single" w:color="999999" w:sz="2"/>
              <w:right w:val="single" w:color="999999" w:sz="2"/>
            </w:tcBorders>
            <w:shd w:fill="D9E2F3" w:val="clear"/>
            <w:tcMar>
              <w:top w:type="dxa" w:w="90"/>
              <w:left w:type="dxa" w:w="110"/>
              <w:bottom w:type="dxa" w:w="90"/>
              <w:right w:type="dxa" w:w="110"/>
            </w:tcMar>
          </w:tcPr>
          <w:p>
            <w:r>
              <w:rPr>
                <w:b/>
                <w:bCs/>
              </w:rPr>
              <w:t xml:space="preserve">Texto Corrigido</w:t>
            </w:r>
          </w:p>
        </w:tc>
      </w:tr>
      <w:tr>
        <w:tc>
          <w:tcPr>
            <w:tcW w:type="dxa" w:w="22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Título do bloco</w:t>
            </w:r>
          </w:p>
        </w:tc>
        <w:tc>
          <w:tcPr>
            <w:tcW w:type="dxa" w:w="50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MEMÓRIA CASCATA (PDF MOTOR RR SEÇÃO 10 + EXCEL OFICIAL)</w:t>
            </w:r>
          </w:p>
        </w:tc>
        <w:tc>
          <w:tcPr>
            <w:tcW w:type="dxa" w:w="30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MEMÓRIA CASCATA</w:t>
            </w:r>
          </w:p>
        </w:tc>
      </w:tr>
    </w:tbl>
    <w:p>
      <w:pPr>
        <w:spacing w:after="120"/>
      </w:pPr>
      <w:r>
        <w:t xml:space="preserve"/>
      </w:r>
    </w:p>
    <w:p>
      <w:pPr>
        <w:pStyle w:val="Heading2"/>
        <w:spacing w:after="100" w:before="200"/>
      </w:pPr>
      <w:r>
        <w:rPr>
          <w:b/>
          <w:bCs/>
        </w:rPr>
        <w:t xml:space="preserve">3.2 Correção</w:t>
      </w:r>
    </w:p>
    <w:p>
      <w:pPr>
        <w:spacing w:after="120"/>
      </w:pPr>
      <w:r>
        <w:t xml:space="preserve">Remover integralmente o conteúdo entre parênteses do título do componente. A referência interna à documentação de origem (PDF Motor RR Seção 10 + Excel oficial) pode ser mantida em metadado/comentário de código, mas não deve aparecer na interface.</w:t>
      </w:r>
    </w:p>
    <w:p>
      <w:pPr>
        <w:spacing w:after="120"/>
      </w:pPr>
      <w:r>
        <w:t xml:space="preserve"/>
      </w:r>
    </w:p>
    <w:p>
      <w:pPr>
        <w:pStyle w:val="Heading1"/>
        <w:spacing w:after="150" w:before="300"/>
      </w:pPr>
      <w:r>
        <w:rPr>
          <w:b/>
          <w:bCs/>
        </w:rPr>
        <w:t xml:space="preserve">4. Renomeação dos Rótulos do Seletor de Modo (Absorção de Desconto)</w:t>
      </w:r>
    </w:p>
    <w:p>
      <w:pPr>
        <w:pStyle w:val="Heading2"/>
        <w:spacing w:after="100" w:before="200"/>
      </w:pPr>
      <w:r>
        <w:rPr>
          <w:b/>
          <w:bCs/>
        </w:rPr>
        <w:t xml:space="preserve">4.1 Problema Identificado</w:t>
      </w:r>
    </w:p>
    <w:p>
      <w:pPr>
        <w:spacing w:after="120"/>
      </w:pPr>
      <w:r>
        <w:t xml:space="preserve">Os rótulos atuais do seletor "Modo", no orçamento, não comunicam claramente o efeito prático de cada modo de absorção de desconto sobre a proteção de Comissão e Lucro.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4900"/>
      </w:tblGrid>
      <w:tr>
        <w:tc>
          <w:tcPr>
            <w:tcW w:type="dxa" w:w="1400"/>
            <w:tcBorders>
              <w:top w:val="single" w:color="999999" w:sz="2"/>
              <w:left w:val="single" w:color="999999" w:sz="2"/>
              <w:bottom w:val="single" w:color="999999" w:sz="2"/>
              <w:right w:val="single" w:color="999999" w:sz="2"/>
            </w:tcBorders>
            <w:shd w:fill="D9E2F3" w:val="clear"/>
            <w:tcMar>
              <w:top w:type="dxa" w:w="90"/>
              <w:left w:type="dxa" w:w="110"/>
              <w:bottom w:type="dxa" w:w="90"/>
              <w:right w:type="dxa" w:w="110"/>
            </w:tcMar>
          </w:tcPr>
          <w:p>
            <w:r>
              <w:rPr>
                <w:b/>
                <w:bCs/>
              </w:rPr>
              <w:t xml:space="preserve">Opção</w:t>
            </w:r>
          </w:p>
        </w:tc>
        <w:tc>
          <w:tcPr>
            <w:tcW w:type="dxa" w:w="3900"/>
            <w:tcBorders>
              <w:top w:val="single" w:color="999999" w:sz="2"/>
              <w:left w:val="single" w:color="999999" w:sz="2"/>
              <w:bottom w:val="single" w:color="999999" w:sz="2"/>
              <w:right w:val="single" w:color="999999" w:sz="2"/>
            </w:tcBorders>
            <w:shd w:fill="D9E2F3" w:val="clear"/>
            <w:tcMar>
              <w:top w:type="dxa" w:w="90"/>
              <w:left w:type="dxa" w:w="110"/>
              <w:bottom w:type="dxa" w:w="90"/>
              <w:right w:type="dxa" w:w="110"/>
            </w:tcMar>
          </w:tcPr>
          <w:p>
            <w:r>
              <w:rPr>
                <w:b/>
                <w:bCs/>
              </w:rPr>
              <w:t xml:space="preserve">Rótulo Atual</w:t>
            </w:r>
          </w:p>
        </w:tc>
        <w:tc>
          <w:tcPr>
            <w:tcW w:type="dxa" w:w="4900"/>
            <w:tcBorders>
              <w:top w:val="single" w:color="999999" w:sz="2"/>
              <w:left w:val="single" w:color="999999" w:sz="2"/>
              <w:bottom w:val="single" w:color="999999" w:sz="2"/>
              <w:right w:val="single" w:color="999999" w:sz="2"/>
            </w:tcBorders>
            <w:shd w:fill="D9E2F3" w:val="clear"/>
            <w:tcMar>
              <w:top w:type="dxa" w:w="90"/>
              <w:left w:type="dxa" w:w="110"/>
              <w:bottom w:type="dxa" w:w="90"/>
              <w:right w:type="dxa" w:w="110"/>
            </w:tcMar>
          </w:tcPr>
          <w:p>
            <w:r>
              <w:rPr>
                <w:b/>
                <w:bCs/>
              </w:rPr>
              <w:t xml:space="preserve">Rótulo Corrigido</w:t>
            </w:r>
          </w:p>
        </w:tc>
      </w:tr>
      <w:tr>
        <w:tc>
          <w:tcPr>
            <w:tcW w:type="dxa" w:w="14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1</w:t>
            </w:r>
          </w:p>
        </w:tc>
        <w:tc>
          <w:tcPr>
            <w:tcW w:type="dxa" w:w="39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Proporcional (Comissão + ...)</w:t>
            </w:r>
          </w:p>
        </w:tc>
        <w:tc>
          <w:tcPr>
            <w:tcW w:type="dxa" w:w="49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Proporcional (Comissão + Lucro) — sem alteração</w:t>
            </w:r>
          </w:p>
        </w:tc>
      </w:tr>
      <w:tr>
        <w:tc>
          <w:tcPr>
            <w:tcW w:type="dxa" w:w="14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2</w:t>
            </w:r>
          </w:p>
        </w:tc>
        <w:tc>
          <w:tcPr>
            <w:tcW w:type="dxa" w:w="39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Vendedor absorve (Comiss...)</w:t>
            </w:r>
          </w:p>
        </w:tc>
        <w:tc>
          <w:tcPr>
            <w:tcW w:type="dxa" w:w="49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Congela Lucro (Vendedor absorve)</w:t>
            </w:r>
          </w:p>
        </w:tc>
      </w:tr>
      <w:tr>
        <w:tc>
          <w:tcPr>
            <w:tcW w:type="dxa" w:w="14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3</w:t>
            </w:r>
          </w:p>
        </w:tc>
        <w:tc>
          <w:tcPr>
            <w:tcW w:type="dxa" w:w="39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Empresa absorve (Lucro)</w:t>
            </w:r>
          </w:p>
        </w:tc>
        <w:tc>
          <w:tcPr>
            <w:tcW w:type="dxa" w:w="49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Congela Comissão (Empresa absorve)</w:t>
            </w:r>
          </w:p>
        </w:tc>
      </w:tr>
    </w:tbl>
    <w:p>
      <w:pPr>
        <w:spacing w:after="120"/>
      </w:pPr>
      <w:r>
        <w:t xml:space="preserve"/>
      </w:r>
    </w:p>
    <w:p>
      <w:pPr>
        <w:pStyle w:val="Heading2"/>
        <w:spacing w:after="100" w:before="200"/>
      </w:pPr>
      <w:r>
        <w:rPr>
          <w:b/>
          <w:bCs/>
        </w:rPr>
        <w:t xml:space="preserve">4.2 Fundamentação</w:t>
      </w:r>
    </w:p>
    <w:p>
      <w:pPr>
        <w:spacing w:after="120"/>
      </w:pPr>
      <w:r>
        <w:t xml:space="preserve">Quando o vendedor absorve o desconto, o Lucro da empresa permanece protegido/congelado — daí "Congela Lucro". Quando a empresa absorve o desconto, é a Comissão do vendedor que permanece protegida/congelada — daí "Congela Comissão". A nomenclatura corrigida torna a consequência de cada modo explícita no próprio rótulo, reduzindo erro de seleção pelo usuário.</w:t>
      </w:r>
    </w:p>
    <w:p>
      <w:pPr>
        <w:spacing w:after="120"/>
      </w:pPr>
      <w:r>
        <w:t xml:space="preserve"/>
      </w:r>
    </w:p>
    <w:p>
      <w:pPr>
        <w:pStyle w:val="Heading1"/>
        <w:spacing w:after="150" w:before="300"/>
      </w:pPr>
      <w:r>
        <w:rPr>
          <w:b/>
          <w:bCs/>
        </w:rPr>
        <w:t xml:space="preserve">5. Correção do Teto (Clamp) do Desconto Manual — Modo "Empresa Absorve (Lucro)"</w:t>
      </w:r>
    </w:p>
    <w:p>
      <w:pPr>
        <w:pStyle w:val="Heading2"/>
        <w:spacing w:after="100" w:before="200"/>
      </w:pPr>
      <w:r>
        <w:rPr>
          <w:b/>
          <w:bCs/>
        </w:rPr>
        <w:t xml:space="preserve">5.1 Problema Identificado</w:t>
      </w:r>
    </w:p>
    <w:p>
      <w:pPr>
        <w:spacing w:after="120"/>
      </w:pPr>
      <w:r>
        <w:t xml:space="preserve">No Modo "Empresa absorve (Lucro)" (a ser renomeado para "Congela Comissão" conforme Seção 4), o campo de desconto manual em R$ está limitando a digitação a um valor abaixo do teto real permitido pela arquitetura do sistema, sem aviso ao usuário.</w:t>
      </w:r>
    </w:p>
    <w:p>
      <w:pPr>
        <w:pStyle w:val="Heading2"/>
        <w:spacing w:after="100" w:before="200"/>
      </w:pPr>
      <w:r>
        <w:rPr>
          <w:b/>
          <w:bCs/>
        </w:rPr>
        <w:t xml:space="preserve">5.2 Evidência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000"/>
        <w:gridCol w:w="4200"/>
      </w:tblGrid>
      <w:tr>
        <w:tc>
          <w:tcPr>
            <w:tcW w:type="dxa" w:w="6000"/>
            <w:tcBorders>
              <w:top w:val="single" w:color="999999" w:sz="2"/>
              <w:left w:val="single" w:color="999999" w:sz="2"/>
              <w:bottom w:val="single" w:color="999999" w:sz="2"/>
              <w:right w:val="single" w:color="999999" w:sz="2"/>
            </w:tcBorders>
            <w:shd w:fill="D9E2F3" w:val="clear"/>
            <w:tcMar>
              <w:top w:type="dxa" w:w="90"/>
              <w:left w:type="dxa" w:w="110"/>
              <w:bottom w:type="dxa" w:w="90"/>
              <w:right w:type="dxa" w:w="110"/>
            </w:tcMar>
          </w:tcPr>
          <w:p>
            <w:r>
              <w:rPr>
                <w:b/>
                <w:bCs/>
              </w:rPr>
              <w:t xml:space="preserve">Campo</w:t>
            </w:r>
          </w:p>
        </w:tc>
        <w:tc>
          <w:tcPr>
            <w:tcW w:type="dxa" w:w="4200"/>
            <w:tcBorders>
              <w:top w:val="single" w:color="999999" w:sz="2"/>
              <w:left w:val="single" w:color="999999" w:sz="2"/>
              <w:bottom w:val="single" w:color="999999" w:sz="2"/>
              <w:right w:val="single" w:color="999999" w:sz="2"/>
            </w:tcBorders>
            <w:shd w:fill="D9E2F3" w:val="clear"/>
            <w:tcMar>
              <w:top w:type="dxa" w:w="90"/>
              <w:left w:type="dxa" w:w="110"/>
              <w:bottom w:type="dxa" w:w="90"/>
              <w:right w:type="dxa" w:w="110"/>
            </w:tcMar>
          </w:tcPr>
          <w:p>
            <w:r>
              <w:rPr>
                <w:b/>
                <w:bCs/>
              </w:rPr>
              <w:t xml:space="preserve">Valor</w:t>
            </w:r>
          </w:p>
        </w:tc>
      </w:tr>
      <w:tr>
        <w:tc>
          <w:tcPr>
            <w:tcW w:type="dxa" w:w="60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Total do Orçamento</w:t>
            </w:r>
          </w:p>
        </w:tc>
        <w:tc>
          <w:tcPr>
            <w:tcW w:type="dxa" w:w="42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R$ 219.500,70</w:t>
            </w:r>
          </w:p>
        </w:tc>
      </w:tr>
      <w:tr>
        <w:tc>
          <w:tcPr>
            <w:tcW w:type="dxa" w:w="60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Desconto que o usuário tentou digitar</w:t>
            </w:r>
          </w:p>
        </w:tc>
        <w:tc>
          <w:tcPr>
            <w:tcW w:type="dxa" w:w="42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R$ 19.500,70</w:t>
            </w:r>
          </w:p>
        </w:tc>
      </w:tr>
      <w:tr>
        <w:tc>
          <w:tcPr>
            <w:tcW w:type="dxa" w:w="60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Valor efetivamente aceito pelo campo (sem aviso)</w:t>
            </w:r>
          </w:p>
        </w:tc>
        <w:tc>
          <w:tcPr>
            <w:tcW w:type="dxa" w:w="42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R$ 18.522,86</w:t>
            </w:r>
          </w:p>
        </w:tc>
      </w:tr>
      <w:tr>
        <w:tc>
          <w:tcPr>
            <w:tcW w:type="dxa" w:w="60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Diferença não permitida</w:t>
            </w:r>
          </w:p>
        </w:tc>
        <w:tc>
          <w:tcPr>
            <w:tcW w:type="dxa" w:w="42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R$ 977,84</w:t>
            </w:r>
          </w:p>
        </w:tc>
      </w:tr>
      <w:tr>
        <w:tc>
          <w:tcPr>
            <w:tcW w:type="dxa" w:w="60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Lucro residual na Etapa 16 com o desconto travado</w:t>
            </w:r>
          </w:p>
        </w:tc>
        <w:tc>
          <w:tcPr>
            <w:tcW w:type="dxa" w:w="42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R$ 5.553,89 (efetiva 2,7634%)</w:t>
            </w:r>
          </w:p>
        </w:tc>
      </w:tr>
      <w:tr>
        <w:tc>
          <w:tcPr>
            <w:tcW w:type="dxa" w:w="60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Comissão na Etapa 16 (protegida, correta)</w:t>
            </w:r>
          </w:p>
        </w:tc>
        <w:tc>
          <w:tcPr>
            <w:tcW w:type="dxa" w:w="42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efetiva 2,00% — R$ 4.019,56</w:t>
            </w:r>
          </w:p>
        </w:tc>
      </w:tr>
    </w:tbl>
    <w:p>
      <w:pPr>
        <w:spacing w:after="120"/>
      </w:pPr>
      <w:r>
        <w:t xml:space="preserve"/>
      </w:r>
    </w:p>
    <w:p>
      <w:pPr>
        <w:pStyle w:val="Heading2"/>
        <w:spacing w:after="100" w:before="200"/>
      </w:pPr>
      <w:r>
        <w:rPr>
          <w:b/>
          <w:bCs/>
        </w:rPr>
        <w:t xml:space="preserve">5.3 Causa Raiz</w:t>
      </w:r>
    </w:p>
    <w:p>
      <w:pPr>
        <w:spacing w:after="120"/>
      </w:pPr>
      <w:r>
        <w:t xml:space="preserve">O teto correto do desconto manual neste modo é o ponto em que o Lucro chega a efetiva 0,00% (R$ 0,00), mantendo Comissão, IRPJ e CSLL protegidos conforme os pesos estruturais da Etapa 16 (Redistribuição RRO). A evidência mostra que, com o desconto travado em R$ 18.522,86, ainda resta R$ 5.553,89 de Lucro não absorvido — ou seja, o sistema interrompe a digitação antes do limite real.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7202E" w:sz="4"/>
              <w:left w:val="single" w:color="B7202E" w:sz="4"/>
              <w:bottom w:val="single" w:color="B7202E" w:sz="4"/>
              <w:right w:val="single" w:color="B7202E" w:sz="4"/>
            </w:tcBorders>
            <w:shd w:fill="FDE9E9" w:val="clear"/>
            <w:tcMar>
              <w:top w:type="dxa" w:w="150"/>
              <w:left w:type="dxa" w:w="150"/>
              <w:bottom w:type="dxa" w:w="150"/>
              <w:right w:type="dxa" w:w="150"/>
            </w:tcMar>
          </w:tcPr>
          <w:p>
            <w:r>
              <w:rPr>
                <w:b/>
                <w:bCs/>
              </w:rPr>
              <w:t xml:space="preserve">HIPÓTESE TÉCNICA: </w:t>
            </w:r>
            <w:r>
              <w:t xml:space="preserve">a rotina de validação do campo de desconto manual está aplicando, no Modo "Empresa absorve (Lucro)", a mesma referência de teto usada no Modo "Vendedor absorve" (que usa a Comissão como limite), em vez de usar Lucro = 0 como limite correto para este modo.</w:t>
            </w:r>
          </w:p>
        </w:tc>
      </w:tr>
    </w:tbl>
    <w:p>
      <w:pPr>
        <w:spacing w:after="120"/>
      </w:pPr>
      <w:r>
        <w:t xml:space="preserve"/>
      </w:r>
    </w:p>
    <w:p>
      <w:pPr>
        <w:pStyle w:val="Heading2"/>
        <w:spacing w:after="100" w:before="200"/>
      </w:pPr>
      <w:r>
        <w:rPr>
          <w:b/>
          <w:bCs/>
        </w:rPr>
        <w:t xml:space="preserve">5.4 Correção Obrigatória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7145" w:sz="4"/>
              <w:left w:val="single" w:color="1E7145" w:sz="4"/>
              <w:bottom w:val="single" w:color="1E7145" w:sz="4"/>
              <w:right w:val="single" w:color="1E7145" w:sz="4"/>
            </w:tcBorders>
            <w:shd w:fill="E2EFDA" w:val="clear"/>
            <w:tcMar>
              <w:top w:type="dxa" w:w="150"/>
              <w:left w:type="dxa" w:w="150"/>
              <w:bottom w:type="dxa" w:w="150"/>
              <w:right w:type="dxa" w:w="150"/>
            </w:tcMar>
          </w:tcPr>
          <w:p>
            <w:r>
              <w:rPr>
                <w:b/>
                <w:bCs/>
              </w:rPr>
              <w:t xml:space="preserve">REGRA CORRIGIDA — TETO DO DESCONTO MANUAL POR MODO</w:t>
            </w:r>
          </w:p>
          <w:p>
            <w:pPr>
              <w:spacing w:before="80"/>
            </w:pPr>
            <w:r>
              <w:t xml:space="preserve">Modo "Congela Lucro (Vendedor absorve)": teto do desconto = ponto em que a Comissão chega a efetiva 0,00%, mantendo Lucro, IRPJ e CSLL protegidos.</w:t>
            </w:r>
          </w:p>
          <w:p>
            <w:r>
              <w:t xml:space="preserve">Modo "Congela Comissão (Empresa absorve)": teto do desconto = ponto em que o Lucro chega a efetiva 0,00%, mantendo Comissão, IRPJ e CSLL protegidos.</w:t>
            </w:r>
          </w:p>
          <w:p>
            <w:pPr>
              <w:spacing w:before="80"/>
            </w:pPr>
            <w:r>
              <w:t xml:space="preserve">O sistema deve permitir a digitação até esse teto real e bloquear apenas valores que ultrapassem o limite estrutural do modo selecionado — nunca um valor arbitrariamente inferior.</w:t>
            </w:r>
          </w:p>
        </w:tc>
      </w:tr>
    </w:tbl>
    <w:p>
      <w:pPr>
        <w:spacing w:after="120"/>
      </w:pPr>
      <w:r>
        <w:t xml:space="preserve"/>
      </w:r>
    </w:p>
    <w:p>
      <w:pPr>
        <w:pStyle w:val="Heading2"/>
        <w:spacing w:after="100" w:before="200"/>
      </w:pPr>
      <w:r>
        <w:rPr>
          <w:b/>
          <w:bCs/>
        </w:rPr>
        <w:t xml:space="preserve">5.5 Pseudo-código de Referência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shd w:fill="F2F2F2" w:val="clear"/>
            <w:tcMar>
              <w:top w:type="dxa" w:w="150"/>
              <w:left w:type="dxa" w:w="150"/>
              <w:bottom w:type="dxa" w:w="150"/>
              <w:right w:type="dxa" w:w="150"/>
            </w:tcMar>
          </w:tcPr>
          <w:p>
            <w:pPr>
              <w:spacing w:after="40"/>
            </w:pPr>
            <w:r>
              <w:rPr>
                <w:rFonts w:ascii="Consolas" w:cs="Consolas" w:eastAsia="Consolas" w:hAnsi="Consolas"/>
                <w:color w:val="1F3864"/>
                <w:sz w:val="19"/>
                <w:szCs w:val="19"/>
              </w:rPr>
              <w:t xml:space="preserve">// ── Teto do desconto manual por Modo ──</w:t>
            </w:r>
          </w:p>
          <w:p>
            <w:pPr>
              <w:spacing w:after="40"/>
            </w:pPr>
            <w:r>
              <w:rPr>
                <w:rFonts w:ascii="Consolas" w:cs="Consolas" w:eastAsia="Consolas" w:hAnsi="Consolas"/>
                <w:color w:val="1F3864"/>
                <w:sz w:val="19"/>
                <w:szCs w:val="19"/>
              </w:rPr>
              <w:t xml:space="preserve">if modo == 'congela_lucro':      // Vendedor absorve</w:t>
            </w:r>
          </w:p>
          <w:p>
            <w:pPr>
              <w:spacing w:after="40"/>
            </w:pPr>
            <w:r>
              <w:rPr>
                <w:rFonts w:ascii="Consolas" w:cs="Consolas" w:eastAsia="Consolas" w:hAnsi="Consolas"/>
                <w:color w:val="1E7145"/>
                <w:sz w:val="19"/>
                <w:szCs w:val="19"/>
              </w:rPr>
              <w:t xml:space="preserve">    teto_desconto = valor_onde(Comissao_efetiva == 0)</w:t>
            </w:r>
          </w:p>
          <w:p>
            <w:pPr>
              <w:spacing w:after="40"/>
            </w:pPr>
            <w:r>
              <w:rPr>
                <w:rFonts w:ascii="Consolas" w:cs="Consolas" w:eastAsia="Consolas" w:hAnsi="Consolas"/>
                <w:color w:val="1F3864"/>
                <w:sz w:val="19"/>
                <w:szCs w:val="19"/>
              </w:rPr>
              <w:t xml:space="preserve">elif modo == 'congela_comissao': // Empresa absorve</w:t>
            </w:r>
          </w:p>
          <w:p>
            <w:pPr>
              <w:spacing w:after="40"/>
            </w:pPr>
            <w:r>
              <w:rPr>
                <w:rFonts w:ascii="Consolas" w:cs="Consolas" w:eastAsia="Consolas" w:hAnsi="Consolas"/>
                <w:color w:val="1E7145"/>
                <w:sz w:val="19"/>
                <w:szCs w:val="19"/>
              </w:rPr>
              <w:t xml:space="preserve">    teto_desconto = valor_onde(Lucro_efetivo == 0)   // ← corrige o clamp atual</w:t>
            </w:r>
          </w:p>
          <w:p/>
          <w:p>
            <w:pPr>
              <w:spacing w:after="40"/>
            </w:pPr>
            <w:r>
              <w:rPr>
                <w:rFonts w:ascii="Consolas" w:cs="Consolas" w:eastAsia="Consolas" w:hAnsi="Consolas"/>
                <w:color w:val="B7202E"/>
                <w:sz w:val="19"/>
                <w:szCs w:val="19"/>
              </w:rPr>
              <w:t xml:space="preserve">// ── ATUAL (INCORRETO) ──</w:t>
            </w:r>
          </w:p>
          <w:p>
            <w:pPr>
              <w:spacing w:after="40"/>
            </w:pPr>
            <w:r>
              <w:rPr>
                <w:rFonts w:ascii="Consolas" w:cs="Consolas" w:eastAsia="Consolas" w:hAnsi="Consolas"/>
                <w:color w:val="B7202E"/>
                <w:sz w:val="19"/>
                <w:szCs w:val="19"/>
              </w:rPr>
              <w:t xml:space="preserve">teto_desconto = valor_onde(Comissao_efetiva == 0)  // aplicado indevidamente também no modo Empresa absorve</w:t>
            </w:r>
          </w:p>
        </w:tc>
      </w:tr>
    </w:tbl>
    <w:p>
      <w:pPr>
        <w:spacing w:after="120"/>
      </w:pPr>
      <w:r>
        <w:t xml:space="preserve"/>
      </w:r>
    </w:p>
    <w:p>
      <w:pPr>
        <w:pStyle w:val="Heading1"/>
        <w:spacing w:after="150" w:before="300"/>
      </w:pPr>
      <w:r>
        <w:rPr>
          <w:b/>
          <w:bCs/>
        </w:rPr>
        <w:t xml:space="preserve">6. Validações Obrigatórias do Sistema</w:t>
      </w:r>
    </w:p>
    <w:p>
      <w:pPr>
        <w:spacing w:after="60"/>
      </w:pPr>
      <w:r>
        <w:t xml:space="preserve">• Nível 1 — MO Administrativa: valor da linha discriminada na Etapa 5 deve refletir a soma de todos os produtos do orçamento, idêntico ao total agregado da etapa.</w:t>
      </w:r>
    </w:p>
    <w:p>
      <w:pPr>
        <w:spacing w:after="60"/>
      </w:pPr>
      <w:r>
        <w:t xml:space="preserve">• Nível 2 — MO Administrativa individual: ao editar um único produto, a linha na Cascata não pode divergir do valor exibido na tela de edição do produto.</w:t>
      </w:r>
    </w:p>
    <w:p>
      <w:pPr>
        <w:spacing w:after="60"/>
      </w:pPr>
      <w:r>
        <w:t xml:space="preserve">• Nível 3 — Interface: título "MEMÓRIA CASCATA" sem sufixo técnico em nenhuma tela do sistema.</w:t>
      </w:r>
    </w:p>
    <w:p>
      <w:pPr>
        <w:spacing w:after="60"/>
      </w:pPr>
      <w:r>
        <w:t xml:space="preserve">• Nível 4 — Rótulos do seletor de Modo consistentes em todas as telas (orçamento, PDF, relatórios).</w:t>
      </w:r>
    </w:p>
    <w:p>
      <w:pPr>
        <w:spacing w:after="60"/>
      </w:pPr>
      <w:r>
        <w:t xml:space="preserve">• Nível 5 — Teto de desconto manual: para cada Modo, o campo deve aceitar digitação até o ponto exato em que a alíquota protegida correspondente (Comissão ou Lucro) chega a 0,00%, com aviso ao usuário ao atingir o limite.</w:t>
      </w:r>
    </w:p>
    <w:p>
      <w:pPr>
        <w:spacing w:after="120"/>
      </w:pPr>
      <w:r>
        <w:t xml:space="preserve"/>
      </w:r>
    </w:p>
    <w:p>
      <w:pPr>
        <w:pStyle w:val="Heading1"/>
        <w:spacing w:after="150" w:before="300"/>
      </w:pPr>
      <w:r>
        <w:rPr>
          <w:b/>
          <w:bCs/>
        </w:rPr>
        <w:t xml:space="preserve">7. Sumário das Alterações — O Que Muda no Sistema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00"/>
      </w:tblGrid>
      <w:tr>
        <w:tc>
          <w:tcPr>
            <w:tcW w:type="dxa" w:w="2600"/>
            <w:tcBorders>
              <w:top w:val="single" w:color="999999" w:sz="2"/>
              <w:left w:val="single" w:color="999999" w:sz="2"/>
              <w:bottom w:val="single" w:color="999999" w:sz="2"/>
              <w:right w:val="single" w:color="999999" w:sz="2"/>
            </w:tcBorders>
            <w:shd w:fill="D9E2F3" w:val="clear"/>
            <w:tcMar>
              <w:top w:type="dxa" w:w="90"/>
              <w:left w:type="dxa" w:w="110"/>
              <w:bottom w:type="dxa" w:w="90"/>
              <w:right w:type="dxa" w:w="110"/>
            </w:tcMar>
          </w:tcPr>
          <w:p>
            <w:r>
              <w:rPr>
                <w:b/>
                <w:bCs/>
              </w:rPr>
              <w:t xml:space="preserve">Item</w:t>
            </w:r>
          </w:p>
        </w:tc>
        <w:tc>
          <w:tcPr>
            <w:tcW w:type="dxa" w:w="3800"/>
            <w:tcBorders>
              <w:top w:val="single" w:color="999999" w:sz="2"/>
              <w:left w:val="single" w:color="999999" w:sz="2"/>
              <w:bottom w:val="single" w:color="999999" w:sz="2"/>
              <w:right w:val="single" w:color="999999" w:sz="2"/>
            </w:tcBorders>
            <w:shd w:fill="D9E2F3" w:val="clear"/>
            <w:tcMar>
              <w:top w:type="dxa" w:w="90"/>
              <w:left w:type="dxa" w:w="110"/>
              <w:bottom w:type="dxa" w:w="90"/>
              <w:right w:type="dxa" w:w="110"/>
            </w:tcMar>
          </w:tcPr>
          <w:p>
            <w:r>
              <w:rPr>
                <w:b/>
                <w:bCs/>
              </w:rPr>
              <w:t xml:space="preserve">Comportamento Atual (Incorreto)</w:t>
            </w:r>
          </w:p>
        </w:tc>
        <w:tc>
          <w:tcPr>
            <w:tcW w:type="dxa" w:w="3600"/>
            <w:tcBorders>
              <w:top w:val="single" w:color="999999" w:sz="2"/>
              <w:left w:val="single" w:color="999999" w:sz="2"/>
              <w:bottom w:val="single" w:color="999999" w:sz="2"/>
              <w:right w:val="single" w:color="999999" w:sz="2"/>
            </w:tcBorders>
            <w:shd w:fill="D9E2F3" w:val="clear"/>
            <w:tcMar>
              <w:top w:type="dxa" w:w="90"/>
              <w:left w:type="dxa" w:w="110"/>
              <w:bottom w:type="dxa" w:w="90"/>
              <w:right w:type="dxa" w:w="110"/>
            </w:tcMar>
          </w:tcPr>
          <w:p>
            <w:r>
              <w:rPr>
                <w:b/>
                <w:bCs/>
              </w:rPr>
              <w:t xml:space="preserve">Comportamento Corrigido (Este Adendo)</w:t>
            </w:r>
          </w:p>
        </w:tc>
      </w:tr>
      <w:tr>
        <w:tc>
          <w:tcPr>
            <w:tcW w:type="dxa" w:w="26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1. MO Adm. (individual)</w:t>
            </w:r>
          </w:p>
        </w:tc>
        <w:tc>
          <w:tcPr>
            <w:tcW w:type="dxa" w:w="38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Zerada na Cascata mesmo com valor cadastrado</w:t>
            </w:r>
          </w:p>
        </w:tc>
        <w:tc>
          <w:tcPr>
            <w:tcW w:type="dxa" w:w="36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Reflete o valor real do produto</w:t>
            </w:r>
          </w:p>
        </w:tc>
      </w:tr>
      <w:tr>
        <w:tc>
          <w:tcPr>
            <w:tcW w:type="dxa" w:w="26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2. MO Adm. (multi-produto)</w:t>
            </w:r>
          </w:p>
        </w:tc>
        <w:tc>
          <w:tcPr>
            <w:tcW w:type="dxa" w:w="38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Travada no valor do 1º produto, não soma os demais</w:t>
            </w:r>
          </w:p>
        </w:tc>
        <w:tc>
          <w:tcPr>
            <w:tcW w:type="dxa" w:w="36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Soma corretamente entre todos os produtos</w:t>
            </w:r>
          </w:p>
        </w:tc>
      </w:tr>
      <w:tr>
        <w:tc>
          <w:tcPr>
            <w:tcW w:type="dxa" w:w="26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3. Título Memória Cascata</w:t>
            </w:r>
          </w:p>
        </w:tc>
        <w:tc>
          <w:tcPr>
            <w:tcW w:type="dxa" w:w="38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"MEMÓRIA CASCATA (PDF MOTOR RR SEÇÃO 10 + EXCEL OFICIAL)"</w:t>
            </w:r>
          </w:p>
        </w:tc>
        <w:tc>
          <w:tcPr>
            <w:tcW w:type="dxa" w:w="36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"MEMÓRIA CASCATA"</w:t>
            </w:r>
          </w:p>
        </w:tc>
      </w:tr>
      <w:tr>
        <w:tc>
          <w:tcPr>
            <w:tcW w:type="dxa" w:w="26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4. Rótulos do seletor Modo</w:t>
            </w:r>
          </w:p>
        </w:tc>
        <w:tc>
          <w:tcPr>
            <w:tcW w:type="dxa" w:w="38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"Vendedor absorve (Comiss...)" / "Empresa absorve (Lucro)"</w:t>
            </w:r>
          </w:p>
        </w:tc>
        <w:tc>
          <w:tcPr>
            <w:tcW w:type="dxa" w:w="36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"Congela Lucro (Vendedor absorve)" / "Congela Comissão (Empresa absorve)"</w:t>
            </w:r>
          </w:p>
        </w:tc>
      </w:tr>
      <w:tr>
        <w:tc>
          <w:tcPr>
            <w:tcW w:type="dxa" w:w="26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5. Teto do desconto manual (Empresa absorve)</w:t>
            </w:r>
          </w:p>
        </w:tc>
        <w:tc>
          <w:tcPr>
            <w:tcW w:type="dxa" w:w="38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Clamp usa limite da Comissão — trava abaixo do real</w:t>
            </w:r>
          </w:p>
        </w:tc>
        <w:tc>
          <w:tcPr>
            <w:tcW w:type="dxa" w:w="3600"/>
            <w:tcBorders>
              <w:top w:val="single" w:color="999999" w:sz="2"/>
              <w:left w:val="single" w:color="999999" w:sz="2"/>
              <w:bottom w:val="single" w:color="999999" w:sz="2"/>
              <w:right w:val="single" w:color="999999" w:sz="2"/>
            </w:tcBorders>
            <w:shd w:fill="FFFFFF" w:val="clear"/>
            <w:tcMar>
              <w:top w:type="dxa" w:w="90"/>
              <w:left w:type="dxa" w:w="110"/>
              <w:bottom w:type="dxa" w:w="90"/>
              <w:right w:type="dxa" w:w="110"/>
            </w:tcMar>
          </w:tcPr>
          <w:p>
            <w:r>
              <w:rPr>
                <w:b w:val="false"/>
                <w:bCs w:val="false"/>
              </w:rPr>
              <w:t xml:space="preserve">Clamp usa Lucro = 0 — permite consumir todo o Lucro disponível</w:t>
            </w:r>
          </w:p>
        </w:tc>
      </w:tr>
    </w:tbl>
    <w:p>
      <w:pPr>
        <w:spacing w:after="12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0"/>
        <w:gridCol w:w="4000"/>
      </w:tblGrid>
      <w:tr>
        <w:tc>
          <w:tcPr>
            <w:tcW w:type="dxa" w:w="6000"/>
            <w:tcBorders>
              <w:top w:val="single" w:color="999999" w:sz="2"/>
              <w:left w:val="single" w:color="999999" w:sz="2"/>
              <w:bottom w:val="single" w:color="999999" w:sz="2"/>
              <w:right w:val="single" w:color="999999" w:sz="2"/>
            </w:tcBorders>
            <w:tcMar>
              <w:top w:type="dxa" w:w="100"/>
              <w:left w:type="dxa" w:w="120"/>
              <w:bottom w:type="dxa" w:w="100"/>
              <w:right w:type="dxa" w:w="120"/>
            </w:tcMar>
          </w:tcPr>
          <w:p>
            <w:r>
              <w:rPr>
                <w:b/>
                <w:bCs/>
              </w:rPr>
              <w:t xml:space="preserve">Precifica Certo — Adendo Correção Motor RRO — Seção 31-A</w:t>
            </w:r>
          </w:p>
        </w:tc>
        <w:tc>
          <w:tcPr>
            <w:tcW w:type="dxa" w:w="4000"/>
            <w:tcBorders>
              <w:top w:val="single" w:color="999999" w:sz="2"/>
              <w:left w:val="single" w:color="999999" w:sz="2"/>
              <w:bottom w:val="single" w:color="999999" w:sz="2"/>
              <w:right w:val="single" w:color="999999" w:sz="2"/>
            </w:tcBorders>
            <w:tcMar>
              <w:top w:type="dxa" w:w="100"/>
              <w:left w:type="dxa" w:w="120"/>
              <w:bottom w:type="dxa" w:w="100"/>
              <w:right w:type="dxa" w:w="120"/>
            </w:tcMar>
          </w:tcPr>
          <w:p>
            <w:r>
              <w:rPr>
                <w:b/>
                <w:bCs/>
              </w:rPr>
              <w:t xml:space="preserve">Versão Julho 2026 — Implementação Obrigatória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2026-07-08T18:16:44.020Z</dcterms:created>
  <dcterms:modified xsi:type="dcterms:W3CDTF">2026-07-08T18:16:44.020Z</dcterms:modified>
</cp:coreProperties>
</file>

<file path=docProps/custom.xml><?xml version="1.0" encoding="utf-8"?>
<Properties xmlns="http://schemas.openxmlformats.org/officeDocument/2006/custom-properties" xmlns:vt="http://schemas.openxmlformats.org/officeDocument/2006/docPropsVTypes"/>
</file>