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PRECIFICA</w:t>
      </w:r>
    </w:p>
    <w:p>
      <w:pPr>
        <w:spacing w:after="240"/>
        <w:jc w:val="center"/>
      </w:pPr>
      <w:r>
        <w:rPr>
          <w:rFonts w:ascii="Arial" w:cs="Arial" w:eastAsia="Arial" w:hAnsi="Arial"/>
          <w:color w:val="4A7FB5"/>
          <w:sz w:val="28"/>
          <w:szCs w:val="28"/>
        </w:rPr>
        <w:t xml:space="preserve">Relatório de Melhorias e Insights do Sistema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8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Reunião: Felipe Klein &amp; Matheus Torquato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3D5166"/>
                <w:sz w:val="20"/>
                <w:szCs w:val="20"/>
              </w:rPr>
              <w:t xml:space="preserve">Data: 17 de março de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D5166"/>
                <w:sz w:val="20"/>
                <w:szCs w:val="20"/>
              </w:rPr>
              <w:t xml:space="preserve">Pauta: Revisão do sistema, precificação por tipo de negócio, fluxo de caixa e tributação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Resumo Executivo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Esta reunião teve como objetivo revisar o estado atual do sistema Precifica, identificar inconsistências na lógica de precificação, alinhar a arquitetura para diferentes tipos de negócio e definir as prioridades de desenvolvimento para as próximas entregas.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Os três grandes temas abordados foram: (1) a separação da lógica de precificação para prestação de serviço vs. venda de produto, (2) melhorias no módulo de fluxo de caixa com foco em usabilidade e categorização, e (3) a estratégia de evolução da tributação, começando pelo Simples Nacional e MEI.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0B429" w:sz="1"/>
              <w:left w:val="single" w:color="F0B429" w:sz="1"/>
              <w:bottom w:val="single" w:color="F0B429" w:sz="1"/>
              <w:right w:val="single" w:color="F0B429" w:sz="1"/>
            </w:tcBorders>
            <w:shd w:fill="F0B42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8720"/>
            <w:tcBorders>
              <w:top w:val="single" w:color="F0B429" w:sz="1"/>
              <w:left w:val="single" w:color="F0B429" w:sz="1"/>
              <w:bottom w:val="single" w:color="F0B429" w:sz="1"/>
              <w:right w:val="single" w:color="F0B429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Focar primeiro no Simples Nacional e MEI. Implantar com usuários reais (esposa do Felipe e namorada do Matheus) para coleta de feedback antes de avançar para Lucro Real e Presumido.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E5393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872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Ao trocar o CNPJ/regime tributário, a configuração de Lucro Real não estava carregando corretamente na tela de precificação. Verificar se o save do regime está sendo persistido antes de renderizar os campos.</w:t>
            </w:r>
          </w:p>
        </w:tc>
      </w:tr>
    </w:tbl>
    <w:p>
      <w:pPr>
        <w:spacing w:after="24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Precificação — Separação por Tipo de Negócio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Este é o ponto mais estrutural da reunião. A lógica de precificação precisa se comportar de forma completamente diferente dependendo do tipo de atividade escolhida pelo usuário no onboarding: prestação de serviço, industrialização ou revenda.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1.1 Prestação de Serviço — Custo por Minuto Produtivo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Para negócios de prestação de serviço (salões, clínicas, mecânicas), toda a despesa fixa e mão de obra são diluídas no custo por minuto do serviço. A fórmula é: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E0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</w:rPr>
              <w:t xml:space="preserve">Valor por Minuto = (Mão de Obra Total + Despesas Fixas) ÷ (Horas Trabalhadas × Nº de Produtivos × 60)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O sistema precisa: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B3C"/>
          <w:sz w:val="21"/>
          <w:szCs w:val="21"/>
        </w:rPr>
        <w:t xml:space="preserve">Detectar o tipo de atividade (prestação de serviço) e bloquear despesa fixa e mão de obra administrativa da tela de produto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B3C"/>
          <w:sz w:val="21"/>
          <w:szCs w:val="21"/>
        </w:rPr>
        <w:t xml:space="preserve">Exibir o valor por minuto calculado como referência no topo da precificação de serviços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B3C"/>
          <w:sz w:val="21"/>
          <w:szCs w:val="21"/>
        </w:rPr>
        <w:t xml:space="preserve">Conectar o quadro de funcionários do onboarding ao cálculo do minuto produtivo</w:t>
      </w:r>
    </w:p>
    <w:p>
      <w:pPr>
        <w:spacing w:after="1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1.2 Produto Avulso Dentro do Salão — Sem Despesa Fixa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Produtos vendidos avulso dentro de um negócio de serviço (ex: shampoo, condicionador, peças mecânicas) são receita extra. A despesa fixa e mão de obra já foram absorvidas pelo serviço, portanto NÃO devem entrar na precificação desses produtos.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43A0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  <w:tc>
          <w:tcPr>
            <w:tcW w:type="dxa" w:w="8720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Uma mecânica cobra pela mão de obra do serviço e vende a peça separado. O lucro sobre a peça é puro ganho extra — 20% sobre R$ 1.000 = R$ 200 limpos, sem rateio de custo fixo.</w:t>
            </w:r>
          </w:p>
        </w:tc>
      </w:tr>
    </w:tbl>
    <w:p>
      <w:pPr>
        <w:spacing w:after="1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1.3 Suporte a Outros Tipos de Prestadores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 mesma lógica da espinha dorsal foi validada para clínicas odontológicas, mecânicas e qualquer outro prestador de serviço. O sistema já foi projetado para suportar isso — garantir que o fluxo seja genérico o suficiente para não ter acoplamento com o segmento de salão.</w:t>
      </w:r>
    </w:p>
    <w:p>
      <w:pPr>
        <w:spacing w:after="240" w:before="8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Onboarding — Configuração Inicial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O onboarding é o ponto de entrada do usuário e deve capturar as informações essenciais para que toda a lógica de precificação funcione corretamente desde o início.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2.1 Seleção de Tipo de Atividade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 primeira decisão do usuário define tudo que vem depois. O sistema deve apresentar de forma clara as opções: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70"/>
        <w:gridCol w:w="3168"/>
      </w:tblGrid>
      <w:tr>
        <w:tc>
          <w:tcPr>
            <w:tcW w:type="dxa" w:w="316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Prestação de Serviço</w:t>
            </w:r>
          </w:p>
        </w:tc>
        <w:tc>
          <w:tcPr>
            <w:tcW w:type="dxa" w:w="317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Industrialização</w:t>
            </w:r>
          </w:p>
        </w:tc>
        <w:tc>
          <w:tcPr>
            <w:tcW w:type="dxa" w:w="3168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Revenda</w:t>
            </w:r>
          </w:p>
        </w:tc>
      </w:tr>
      <w:tr>
        <w:tc>
          <w:tcPr>
            <w:tcW w:type="dxa" w:w="3168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Salões, clínicas, mecânicas, escritórios</w:t>
            </w:r>
          </w:p>
        </w:tc>
        <w:tc>
          <w:tcPr>
            <w:tcW w:type="dxa" w:w="317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Produção e venda de produtos próprios</w:t>
            </w:r>
          </w:p>
        </w:tc>
        <w:tc>
          <w:tcPr>
            <w:tcW w:type="dxa" w:w="3168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Compra e venda de mercadorias</w:t>
            </w:r>
          </w:p>
        </w:tc>
      </w:tr>
      <w:tr>
        <w:tc>
          <w:tcPr>
            <w:tcW w:type="dxa" w:w="3168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7FB5"/>
                <w:sz w:val="20"/>
                <w:szCs w:val="20"/>
              </w:rPr>
              <w:t xml:space="preserve">Base: minuto produtivo</w:t>
            </w:r>
          </w:p>
        </w:tc>
        <w:tc>
          <w:tcPr>
            <w:tcW w:type="dxa" w:w="317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7FB5"/>
                <w:sz w:val="20"/>
                <w:szCs w:val="20"/>
              </w:rPr>
              <w:t xml:space="preserve">Base: custo de produção</w:t>
            </w:r>
          </w:p>
        </w:tc>
        <w:tc>
          <w:tcPr>
            <w:tcW w:type="dxa" w:w="3168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7FB5"/>
                <w:sz w:val="20"/>
                <w:szCs w:val="20"/>
              </w:rPr>
              <w:t xml:space="preserve">Base: CMV + margem</w:t>
            </w:r>
          </w:p>
        </w:tc>
      </w:tr>
    </w:tbl>
    <w:p>
      <w:pPr>
        <w:spacing w:after="1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2.2 Quadro de Funcionários Produtivos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Capturar no onboarding: número de cadeiras/postos de trabalho produtivos, horas trabalhadas por dia e dias úteis por mês. Esses dados são a entrada direta para o cálculo do valor por minuto. Já existe a tela — garantir que esteja conectada ao motor de precificação.</w:t>
      </w:r>
    </w:p>
    <w:p>
      <w:pPr>
        <w:spacing w:after="1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2.3 Prévia de Receita — Sem Contaminar o Caixa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Sugestão validada: inserir uma prévia dos dados de receita/pagamento no início do onboard para dar um panorama indicativo ao usuário. Esses dados NÃO devem alimentar o caixa real.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8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O caixa é fidedigno — só entra o que realmente aconteceu. A prévia do onboarding fica em uma sessão separada de 'estimativa inicial' ou 'panorama de referência'.</w:t>
            </w:r>
          </w:p>
        </w:tc>
      </w:tr>
    </w:tbl>
    <w:p>
      <w:pPr>
        <w:spacing w:after="24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Fluxo de Caixa — Melhorias de Usabilidade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O módulo de caixa já tem a estrutura correta. Os ajustes são de usabilidade e categorização, para que o usuário consiga tomar decisões rápidas a partir da visualização.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3.1 Visão Diária do Fluxo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O usuário precisa ver dia a dia quanto vai entrar e sair, não só o consolidado mensal. Com a visão diária, é possível identificar antecipadamente quando o saldo ficará negativo e agir: fazer um resgate no banco, acionar a equipe de vendas para fechar negócio, antecipar uma entrada.</w:t>
      </w:r>
    </w:p>
    <w:p>
      <w:pPr>
        <w:spacing w:after="1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3.2 Categorias Pré-definidas no Lançamento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Incluir as categorias padrão como opções no dropdown de categoria ao lançar uma despesa ou receita. O usuário ainda pode digitar livremente, mas ter as categorias padronizadas garante relatórios coerentes e auto-soma correta por grupo.</w:t>
      </w:r>
    </w:p>
    <w:p>
      <w:pPr>
        <w:spacing w:after="8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Despesas — Categorias Sugeridas</w:t>
            </w:r>
          </w:p>
        </w:tc>
        <w:tc>
          <w:tcPr>
            <w:tcW w:type="dxa" w:w="475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Receitas — Categorias Sugeridas</w:t>
            </w:r>
          </w:p>
        </w:tc>
      </w:tr>
      <w:tr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Mão de obra indireta (administrativa)</w:t>
            </w:r>
          </w:p>
        </w:tc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Receita de serviços prestados</w:t>
            </w:r>
          </w:p>
        </w:tc>
      </w:tr>
      <w:tr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Mão de obra produtiva (salários + encargos)</w:t>
            </w:r>
          </w:p>
        </w:tc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Venda de produtos (home care, avulso)</w:t>
            </w:r>
          </w:p>
        </w:tc>
      </w:tr>
      <w:tr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Comissões sobre vendas/serviços</w:t>
            </w:r>
          </w:p>
        </w:tc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Adiantamentos e entradas de clientes</w:t>
            </w:r>
          </w:p>
        </w:tc>
      </w:tr>
      <w:tr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Fretes e logística</w:t>
            </w:r>
          </w:p>
        </w:tc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Outras receitas operacionais</w:t>
            </w:r>
          </w:p>
        </w:tc>
      </w:tr>
      <w:tr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DRF / Impostos e tributos</w:t>
            </w:r>
          </w:p>
        </w:tc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Despesas fixas operacionais</w:t>
            </w:r>
          </w:p>
        </w:tc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Custos variáveis de insumos</w:t>
            </w:r>
          </w:p>
        </w:tc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3.3 Comissão como Categoria Variável Separada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Comissão não deve ser agrupada em salários. Ela é uma despesa variável e precisa ter sua própria categoria para análise correta da DRE e separação na hora de precificar.</w:t>
      </w:r>
    </w:p>
    <w:p>
      <w:pPr>
        <w:spacing w:after="1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3.4 Fretes e Logística Isolados da Operação Geral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 Lucro Real, o valor de frete CIF tem tributação especial de ICMS. Se os fretes ficarem misturados no caixa geral, a alíquota será calculada sobre uma base errada. A categoria de logística/frete deve ser isolada para não interferir na contabilização tributária.</w:t>
      </w:r>
    </w:p>
    <w:p>
      <w:pPr>
        <w:spacing w:after="240" w:before="8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Cadastro de Produtos — Conversão de Unidade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4.1 Cadastro em Unidade com Uso em Fração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O sistema já suporta conversão de unidade de medida. O fluxo para salões precisa ser validado: a dono do salão cadastra o shampoo em mililitros (ex: 1000 ml = 1 frasco) e na ficha de serviço informa quantos ml usa por atendimento (ex: 30 ml). O sistema calcula automaticamente o custo do insumo por atendimento.</w:t>
      </w:r>
    </w:p>
    <w:p>
      <w:pPr>
        <w:spacing w:after="8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Cadastro do produto</w:t>
            </w:r>
          </w:p>
        </w:tc>
        <w:tc>
          <w:tcPr>
            <w:tcW w:type="dxa" w:w="475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 no serviço</w:t>
            </w:r>
          </w:p>
        </w:tc>
      </w:tr>
      <w:tr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Shampoo L'Oréal — 1000 ml (1 unidade)</w:t>
            </w:r>
          </w:p>
        </w:tc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Uso por atendimento: 30 ml</w:t>
            </w:r>
          </w:p>
        </w:tc>
      </w:tr>
      <w:tr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Custo unitário: R$ 48,00</w:t>
            </w:r>
          </w:p>
        </w:tc>
        <w:tc>
          <w:tcPr>
            <w:tcW w:type="dxa" w:w="4753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Custo por atendimento: R$ 1,44</w:t>
            </w:r>
          </w:p>
        </w:tc>
      </w:tr>
    </w:tbl>
    <w:p>
      <w:pPr>
        <w:spacing w:after="1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4.2 Linguagem para o Usuário Leigo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 interface deve usar linguagem acessível. Em vez de 'conversão de unidade de medida', usar perguntas como: 'Quanto você compra de uma vez?' e 'Quanto usa em cada serviço?'. A dono de salão não pensa em termos técnicos — a usabilidade precisa respeitar isso.</w:t>
      </w:r>
    </w:p>
    <w:p>
      <w:pPr>
        <w:spacing w:after="240" w:before="8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Tributação — Evolução por Regime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 arquitetura de tributação já diferencia os regimes. Os ajustes são de validação e de separação conceitual entre os impostos por dentro e por fora.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5.1 Regime Tributário Trava a Lógica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Quando o usuário muda o regime tributário (ou o CNPJ é carregado com um regime vinculado), toda a lógica de precificação, campos exibidos e alíquotas mudam juntas. Foi identificado um bug onde o Lucro Real não carregava ao trocar o CNPJ — verificar se o save está sendo persistido antes do render.</w:t>
      </w:r>
    </w:p>
    <w:p>
      <w:pPr>
        <w:spacing w:after="1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5.2 Impostos Por Dentro vs Por Fora</w:t>
      </w:r>
    </w:p>
    <w:p>
      <w:pPr>
        <w:spacing w:after="1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 Lucro Real, ICMS e PIS/COFINS têm cálculo por dentro (a base de cálculo inclui o próprio imposto). Os demais impostos são destacados por fora. O sistema trata essas duas situações de forma distinta na nota fiscal e na precificação — garantir que a distinção esteja documentada e testada para os diferentes regimes.</w:t>
      </w:r>
    </w:p>
    <w:p>
      <w:pPr>
        <w:spacing w:after="1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FB5"/>
          <w:sz w:val="26"/>
          <w:szCs w:val="26"/>
        </w:rPr>
        <w:t xml:space="preserve">5.3 Roadmap de Tributação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6"/>
        <w:gridCol w:w="3000"/>
      </w:tblGrid>
      <w:t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50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Regime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MEI e Simples Nacional</w:t>
            </w:r>
          </w:p>
        </w:tc>
        <w:tc>
          <w:tcPr>
            <w:tcW w:type="dxa" w:w="30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Prioridade imediata</w:t>
            </w:r>
          </w:p>
        </w:tc>
      </w:tr>
      <w:tr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Lucro Presumido</w:t>
            </w:r>
          </w:p>
        </w:tc>
        <w:tc>
          <w:tcPr>
            <w:tcW w:type="dxa" w:w="30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Próxima fase</w:t>
            </w:r>
          </w:p>
        </w:tc>
      </w:tr>
      <w:tr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Lucro Real</w:t>
            </w:r>
          </w:p>
        </w:tc>
        <w:tc>
          <w:tcPr>
            <w:tcW w:type="dxa" w:w="30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63030"/>
                <w:sz w:val="20"/>
                <w:szCs w:val="20"/>
              </w:rPr>
              <w:t xml:space="preserve">Fase futura</w:t>
            </w:r>
          </w:p>
        </w:tc>
      </w:tr>
    </w:tbl>
    <w:p>
      <w:pPr>
        <w:spacing w:after="240" w:before="12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Resumo de Ações — O Que Fazer Agora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06"/>
        <w:gridCol w:w="1500"/>
        <w:gridCol w:w="1500"/>
      </w:tblGrid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</w:tr>
      <w:tr>
        <w:tc>
          <w:tcPr>
            <w:tcW w:type="dxa" w:w="8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Bloquear despesa fixa e mão de obra na precificação de produto para negócios de serviço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6303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Precificação</w:t>
            </w:r>
          </w:p>
        </w:tc>
      </w:tr>
      <w:tr>
        <w:tc>
          <w:tcPr>
            <w:tcW w:type="dxa" w:w="8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Conectar quadro de funcionários do onboarding ao cálculo do minuto produtivo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6303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8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Corrigir bug do regime tributário que não carrega ao trocar CNPJ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6303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Tributação</w:t>
            </w:r>
          </w:p>
        </w:tc>
      </w:tr>
      <w:tr>
        <w:tc>
          <w:tcPr>
            <w:tcW w:type="dxa" w:w="8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Incluir categorias pré-definidas no dropdown de lançamento do caixa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Caixa</w:t>
            </w:r>
          </w:p>
        </w:tc>
      </w:tr>
      <w:tr>
        <w:tc>
          <w:tcPr>
            <w:tcW w:type="dxa" w:w="8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Implementar visão diária no fluxo de caixa (além da mensal)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Caixa</w:t>
            </w:r>
          </w:p>
        </w:tc>
      </w:tr>
      <w:tr>
        <w:tc>
          <w:tcPr>
            <w:tcW w:type="dxa" w:w="8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Separar comissão como categoria variável distinta de salários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Caixa</w:t>
            </w:r>
          </w:p>
        </w:tc>
      </w:tr>
      <w:tr>
        <w:tc>
          <w:tcPr>
            <w:tcW w:type="dxa" w:w="8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Criar categoria isolada de fretes/logística no caixa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Caixa</w:t>
            </w:r>
          </w:p>
        </w:tc>
      </w:tr>
      <w:tr>
        <w:tc>
          <w:tcPr>
            <w:tcW w:type="dxa" w:w="8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Validar fluxo de conversão de unidade de medida para salões (ml por atendimento)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Cadastro</w:t>
            </w:r>
          </w:p>
        </w:tc>
      </w:tr>
      <w:tr>
        <w:tc>
          <w:tcPr>
            <w:tcW w:type="dxa" w:w="8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Criar sessão de prévia/estimativa no onboarding separada do caixa real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8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Evoluir lógica para Lucro Presumido após validação do Simples Nacional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5D4E0" w:sz="1"/>
              <w:left w:val="single" w:color="C5D4E0" w:sz="1"/>
              <w:bottom w:val="single" w:color="C5D4E0" w:sz="1"/>
              <w:right w:val="single" w:color="C5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Tributação</w:t>
            </w:r>
          </w:p>
        </w:tc>
      </w:tr>
    </w:tbl>
    <w:p>
      <w:pPr>
        <w:spacing w:after="160" w:before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4E0" w:sz="6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3D5166"/>
        <w:sz w:val="16"/>
        <w:szCs w:val="16"/>
      </w:rPr>
      <w:t xml:space="preserve">Documento gerado em 17/03/2026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D5166"/>
        <w:sz w:val="16"/>
        <w:szCs w:val="16"/>
      </w:rPr>
      <w:t xml:space="preserve">Precifica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spacing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Precifica — Relatório de Melhorias do Sistema</w:t>
    </w:r>
    <w:r>
      <w:rPr>
        <w:rFonts w:ascii="Arial" w:cs="Arial" w:eastAsia="Arial" w:hAnsi="Arial"/>
        <w:color w:val="3D5166"/>
        <w:sz w:val="18"/>
        <w:szCs w:val="18"/>
      </w:rPr>
      <w:t xml:space="preserve">     Reunião: Felipe Klein &amp; Matheus Torquato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7F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2026-03-17T23:31:24.752Z</dcterms:created>
  <dcterms:modified xsi:type="dcterms:W3CDTF">2026-03-17T23:31:24.753Z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