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Precifica Certo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Relatório de Correções — 30/07/2026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Itens organizados por plataforma: Desktop e Mobile</w:t>
      </w:r>
    </w:p>
    <w:p>
      <w:pPr>
        <w:pStyle w:val="Heading1"/>
        <w:pBdr>
          <w:bottom w:val="single" w:color="1F4E79" w:sz="12" w:space="4"/>
        </w:pBdr>
        <w:spacing w:after="200" w:before="400"/>
      </w:pPr>
      <w:r>
        <w:rPr>
          <w:b/>
          <w:bCs/>
          <w:color w:val="1F4E79"/>
        </w:rPr>
        <w:t xml:space="preserve">CORREÇÕES — DESKTOP</w:t>
      </w:r>
    </w:p>
    <w:p>
      <w:pPr>
        <w:pStyle w:val="Heading2"/>
        <w:spacing w:after="100" w:before="260"/>
      </w:pPr>
      <w:r>
        <w:t xml:space="preserve">1. Permissões de Acesso — paridade com o menu (regra inviolável)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Todos os itens do menu devem existir em Permissões de Acesso</w:t>
      </w:r>
    </w:p>
    <w:p>
      <w:pPr>
        <w:spacing w:after="60"/>
      </w:pPr>
      <w:r>
        <w:rPr>
          <w:sz w:val="20"/>
          <w:szCs w:val="20"/>
        </w:rPr>
        <w:t xml:space="preserve">Toda seção/item presente no menu principal (Início, Cadastros, Comercial, Financeiro, Operacional) deve obrigatoriamente estar representado em Permissões de Acesso, no cadastro de Funcionário.</w:t>
      </w:r>
    </w:p>
    <w:p>
      <w:pPr>
        <w:spacing w:after="60"/>
      </w:pPr>
      <w:r>
        <w:rPr>
          <w:sz w:val="20"/>
          <w:szCs w:val="20"/>
        </w:rPr>
        <w:t xml:space="preserve">Vale retroativamente para o que já existe e prospectivamente para qualquer item novo criado no menu.</w:t>
      </w:r>
    </w:p>
    <w:p>
      <w:pPr>
        <w:spacing w:after="60"/>
      </w:pPr>
      <w:r>
        <w:rPr>
          <w:sz w:val="20"/>
          <w:szCs w:val="20"/>
        </w:rPr>
        <w:t xml:space="preserve">Faltando hoje: Pedidos (Comercial); Fluxo de Caixa, Caixa, Controle Financeiro, Análise Financeira, Comissão de Vendedor, RT Comissões (Financeiro — seção inteira ausente); Agenda, Relatório Agenda, Conectividade, Usuários (Operacional — seção inteira ausente).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Permissões de Acesso no cadastro de Funcionário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2. Pedidos — estrutura deve espelhar Orçamentos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Tela "Editar pedido" não replica a estrutura de Orçamentos</w:t>
      </w:r>
    </w:p>
    <w:p>
      <w:pPr>
        <w:spacing w:after="60"/>
      </w:pPr>
      <w:r>
        <w:rPr>
          <w:sz w:val="20"/>
          <w:szCs w:val="20"/>
        </w:rPr>
        <w:t xml:space="preserve">A Memória Cascata é exibida, mas falta acesso aos produtos e a opção de aplicar desconto dentro da própria edição do pedido.</w:t>
      </w:r>
    </w:p>
    <w:p>
      <w:pPr>
        <w:spacing w:after="60"/>
      </w:pPr>
      <w:r>
        <w:rPr>
          <w:sz w:val="20"/>
          <w:szCs w:val="20"/>
        </w:rPr>
        <w:t xml:space="preserve">Pedidos deve ter: produtos, opção de produto manual, opção de desconto, cards de comissão e lucro, e a cascata completa — exatamente como em Orçamentos.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Botão "Enviar para Aprovação" deve virar "Enviar para Vendas"</w:t>
      </w:r>
    </w:p>
    <w:p>
      <w:pPr>
        <w:spacing w:after="60"/>
      </w:pPr>
      <w:r>
        <w:rPr>
          <w:sz w:val="20"/>
          <w:szCs w:val="20"/>
        </w:rPr>
        <w:t xml:space="preserve">Renomear o botão na coluna Ações da tela Pedidos.</w:t>
      </w:r>
    </w:p>
    <w:p>
      <w:pPr>
        <w:spacing w:after="60"/>
      </w:pPr>
      <w:r>
        <w:rPr>
          <w:sz w:val="20"/>
          <w:szCs w:val="20"/>
        </w:rPr>
        <w:t xml:space="preserve">Ao ser enviado, o pedido fica em Vendas aguardando efetivação — outra pessoa (Financeiro) precisa confirmar o recebimento.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Editar pedido — estrutura incompleta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Pedidos — botão "Enviar para Aprovação"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3. Relatório de Vendas — remoção de abas duplicadas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Remover abas "Relatório de Comissões" e "RT Comissões"</w:t>
      </w:r>
    </w:p>
    <w:p>
      <w:pPr>
        <w:spacing w:after="60"/>
      </w:pPr>
      <w:r>
        <w:rPr>
          <w:sz w:val="20"/>
          <w:szCs w:val="20"/>
        </w:rPr>
        <w:t xml:space="preserve">Essas informações já passaram a ter cards próprios no menu Comercial, tornando as abas redundantes dentro de Relatório de Vendas.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Relatório de Vendas — abas atuais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4. "Itens do produto" — alinhamento com a tabela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Linha "Mão de obra produtiva" deve alinhar com as colunas da tabela</w:t>
      </w:r>
    </w:p>
    <w:p>
      <w:pPr>
        <w:spacing w:after="60"/>
      </w:pPr>
      <w:r>
        <w:rPr>
          <w:sz w:val="20"/>
          <w:szCs w:val="20"/>
        </w:rPr>
        <w:t xml:space="preserve">O campo de minutos deve alinhar com a coluna "QTD. POR UNIDADE".</w:t>
      </w:r>
    </w:p>
    <w:p>
      <w:pPr>
        <w:spacing w:after="60"/>
      </w:pPr>
      <w:r>
        <w:rPr>
          <w:sz w:val="20"/>
          <w:szCs w:val="20"/>
        </w:rPr>
        <w:t xml:space="preserve">O valor em R$ deve alinhar com a coluna "LÍQUIDO".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"Itens do produto" — tabela e linha de mão de obra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5. Precificação final do produto — padronização de campos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Tamanho de campo e fonte inconsistentes entre as alíquotas</w:t>
      </w:r>
    </w:p>
    <w:p>
      <w:pPr>
        <w:spacing w:after="60"/>
      </w:pPr>
      <w:r>
        <w:rPr>
          <w:sz w:val="20"/>
          <w:szCs w:val="20"/>
        </w:rPr>
        <w:t xml:space="preserve">Campos a partir de "Alíq. adicional IRPJ", "ICMS (%)", "PIS/Cofins (% NCM)", "RT", "Comissão total do vendedor" e "Lucro" estão maiores que o padrão.</w:t>
      </w:r>
    </w:p>
    <w:p>
      <w:pPr>
        <w:spacing w:after="60"/>
      </w:pPr>
      <w:r>
        <w:rPr>
          <w:sz w:val="20"/>
          <w:szCs w:val="20"/>
        </w:rPr>
        <w:t xml:space="preserve">Padrão de referência: tamanho do campo "CSLL (9% sobre lucro)", igual a "Mão de obra administrativa", "Despesas fixas/variáveis/financeiras".</w:t>
      </w:r>
    </w:p>
    <w:p>
      <w:pPr>
        <w:spacing w:after="60"/>
      </w:pPr>
      <w:r>
        <w:rPr>
          <w:sz w:val="20"/>
          <w:szCs w:val="20"/>
        </w:rPr>
        <w:t xml:space="preserve">Aplica-se também aos campos de IBS, CBS, IS e IPI.</w:t>
      </w:r>
    </w:p>
    <w:p>
      <w:pPr>
        <w:spacing w:after="60"/>
      </w:pPr>
      <w:r>
        <w:rPr>
          <w:sz w:val="20"/>
          <w:szCs w:val="20"/>
        </w:rPr>
        <w:t xml:space="preserve">A mesma padronização (alinhamento, tamanho de campo e fonte) se aplica igualmente à seção de Serviços.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Precificação final — campos de alíquota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2495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Impostos (IBS/CBS) e (IS/IPI)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3476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Alíquota adicional / CSLL / ICMS</w:t>
            </w:r>
          </w:p>
        </w:tc>
      </w:tr>
    </w:tbl>
    <w:p>
      <w:pPr>
        <w:pStyle w:val="Heading2"/>
        <w:spacing w:after="100" w:before="260"/>
      </w:pPr>
      <w:r>
        <w:t xml:space="preserve">6. Estoque — ordenação alfabética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Listagem de Estoque não está em ordem alfabética</w:t>
      </w:r>
    </w:p>
    <w:p>
      <w:pPr>
        <w:spacing w:after="60"/>
      </w:pPr>
      <w:r>
        <w:rPr>
          <w:sz w:val="20"/>
          <w:szCs w:val="20"/>
        </w:rPr>
        <w:t xml:space="preserve">Deve ser ordenada alfabeticamente por nome.</w:t>
      </w:r>
    </w:p>
    <w:p>
      <w:pPr>
        <w:spacing w:after="60"/>
      </w:pPr>
      <w:r>
        <w:rPr>
          <w:sz w:val="20"/>
          <w:szCs w:val="20"/>
        </w:rPr>
        <w:t xml:space="preserve">A mesma regra se aplica à seção de Serviços dentro de Estoque.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Tela Estoque — listagem atual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7. Histórico do Cliente — somente vendas efetivadas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Vendas canceladas não podem aparecer no Histórico do Cliente</w:t>
      </w:r>
    </w:p>
    <w:p>
      <w:pPr>
        <w:spacing w:after="60"/>
      </w:pPr>
      <w:r>
        <w:rPr>
          <w:sz w:val="20"/>
          <w:szCs w:val="20"/>
        </w:rPr>
        <w:t xml:space="preserve">Regra emergencial inviolável: exibir somente vendas efetivadas/já lançadas — inclui condição de pagamento tipo caderneta e vendas com vencimentos no Fluxo de Caixa.</w:t>
      </w:r>
    </w:p>
    <w:p>
      <w:pPr>
        <w:spacing w:after="60"/>
      </w:pPr>
      <w:r>
        <w:rPr>
          <w:sz w:val="20"/>
          <w:szCs w:val="20"/>
        </w:rPr>
        <w:t xml:space="preserve">Pedidos e Orçamentos em Rascunho não devem aparecer no Histórico.</w:t>
      </w:r>
    </w:p>
    <w:p>
      <w:pPr>
        <w:spacing w:after="60"/>
      </w:pPr>
      <w:r>
        <w:rPr>
          <w:sz w:val="20"/>
          <w:szCs w:val="20"/>
        </w:rPr>
        <w:t xml:space="preserve">Bug identificado: cliente Baron Moacir aparece no histórico com uma venda cancelada que não existe mais em Vendas.</w:t>
      </w:r>
    </w:p>
    <w:p>
      <w:pPr>
        <w:spacing w:after="60"/>
      </w:pPr>
      <w:r>
        <w:rPr>
          <w:sz w:val="20"/>
          <w:szCs w:val="20"/>
        </w:rPr>
        <w:t xml:space="preserve">Cada venda efetivada deve exibir: número da venda, produtos, valores, descontos aplicados e condições de pagamento (incluindo parcelas liquidadas e saldo em aberto, quando houver).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Editar Cliente — Histórico do Cliente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8. Memória Cascata — Etapa 11 (Aplicação do desconto)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Base de cálculo e nomenclatura corrigidas</w:t>
      </w:r>
    </w:p>
    <w:p>
      <w:pPr>
        <w:spacing w:after="60"/>
      </w:pPr>
      <w:r>
        <w:rPr>
          <w:sz w:val="20"/>
          <w:szCs w:val="20"/>
        </w:rPr>
        <w:t xml:space="preserve">BUG: a Base (R$) exibida na linha principal da Etapa 11 está incorreta — hoje mostra o valor já líquido de produtos manuais (ex.: R$ 144.382,48); deveria mostrar o valor TOTAL antes do desconto, incluindo os produtos inseridos manualmente (ex.: R$ 167.082,48).</w:t>
      </w:r>
    </w:p>
    <w:p>
      <w:pPr>
        <w:spacing w:after="60"/>
      </w:pPr>
      <w:r>
        <w:rPr>
          <w:sz w:val="20"/>
          <w:szCs w:val="20"/>
        </w:rPr>
        <w:t xml:space="preserve">Sequência correta com valores de exemplo: Base R$ 167.082,48 (total antes do desconto, com produto manual) → desconto de 5% (-R$ 7.219,12, calculado sobre a base correta) → Venda Consolidada pós-desconto R$ 158.728,36 → abate produtos inseridos manualmente + Despesas Acessórias (valores estáticos, sem desconto) → Restante distribuível.</w:t>
      </w:r>
    </w:p>
    <w:p>
      <w:pPr>
        <w:spacing w:after="60"/>
      </w:pPr>
      <w:r>
        <w:rPr>
          <w:sz w:val="20"/>
          <w:szCs w:val="20"/>
        </w:rPr>
        <w:t xml:space="preserve">Nomenclatura: trocar a sub-linha "(−) Tributos por fora + Desp. Acessórias (não distribuíveis)" por "(−) Produtos inseridos manualmente + Desp. Acessórias (não distribuíveis)".</w:t>
      </w:r>
    </w:p>
    <w:p>
      <w:pPr>
        <w:spacing w:after="60"/>
      </w:pPr>
      <w:r>
        <w:rPr>
          <w:sz w:val="20"/>
          <w:szCs w:val="20"/>
        </w:rPr>
        <w:t xml:space="preserve">O valor de produtos manuais usado nesse abatimento deve ser exatamente o mesmo usado na consolidação da venda (Etapa 9) e o mesmo definido no cadastro do produto manual — nunca sofre alteração/desconto entre essas referências.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400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Etapa 11 — Aplicação do desconto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2E7D32" w:sz="12" w:space="4"/>
        </w:pBdr>
        <w:spacing w:after="200" w:before="400"/>
      </w:pPr>
      <w:r>
        <w:rPr>
          <w:b/>
          <w:bCs/>
          <w:color w:val="2E7D32"/>
        </w:rPr>
        <w:t xml:space="preserve">CORREÇÕES — MOBILE</w:t>
      </w:r>
    </w:p>
    <w:p>
      <w:pPr>
        <w:pStyle w:val="Heading2"/>
        <w:spacing w:after="100" w:before="260"/>
      </w:pPr>
      <w:r>
        <w:t xml:space="preserve">1. Regra prioritária/emergencial: abolição de truncamentos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Nenhuma informação pode aparecer cortada/truncada</w:t>
      </w:r>
    </w:p>
    <w:p>
      <w:pPr>
        <w:spacing w:after="60"/>
      </w:pPr>
      <w:r>
        <w:rPr>
          <w:sz w:val="20"/>
          <w:szCs w:val="20"/>
        </w:rPr>
        <w:t xml:space="preserve">Regra geral já registrada, reforçada como prioridade emergencial: cards, textos e valores nunca podem truncar — reduzir fonte/ícone quando necessário para caber por completo.</w:t>
      </w:r>
    </w:p>
    <w:p>
      <w:pPr>
        <w:spacing w:after="60"/>
      </w:pPr>
      <w:r>
        <w:rPr>
          <w:sz w:val="20"/>
          <w:szCs w:val="20"/>
        </w:rPr>
        <w:t xml:space="preserve">Confirmado especificamente em: Relatório de Vendas (todas as abas), Estoque, Controle Financeiro (todas as abas), RT Comissões, Recorrência e Vendas.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3257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Vendas — cards truncados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3209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Relatório de Vendas — truncamento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3219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Controle Financeiro — truncamento</w:t>
            </w:r>
          </w:p>
        </w:tc>
      </w:tr>
    </w:tbl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3219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RT Comissões — truncamento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3248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Relatório de Vendas — truncamento (aba adicional)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2. "Itens do produto" — alinhamentos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Campo "Buscar item" e botão "Incluir" desalinhados</w:t>
      </w:r>
    </w:p>
    <w:p>
      <w:pPr>
        <w:spacing w:after="60"/>
      </w:pPr>
      <w:r>
        <w:rPr>
          <w:sz w:val="20"/>
          <w:szCs w:val="20"/>
        </w:rPr>
        <w:t xml:space="preserve">O botão "Incluir" pode ficar maior, alinhado corretamente com o campo de seleção.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"Mão de obra produtiva": minutos à esquerda, valor à direita</w:t>
      </w:r>
    </w:p>
    <w:p>
      <w:pPr>
        <w:spacing w:after="60"/>
      </w:pPr>
      <w:r>
        <w:rPr>
          <w:sz w:val="20"/>
          <w:szCs w:val="20"/>
        </w:rPr>
        <w:t xml:space="preserve">Reforço de requisito já registrado — ambos na mesma linha.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2895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"Itens do produto" — Buscar item / Incluir e Mão de obra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3. Impostos (IBS/CBS) — layout de 3 linhas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Padrão de exibição por tributo (Produtos e Orçamentos)</w:t>
      </w:r>
    </w:p>
    <w:p>
      <w:pPr>
        <w:spacing w:after="60"/>
      </w:pPr>
      <w:r>
        <w:rPr>
          <w:sz w:val="20"/>
          <w:szCs w:val="20"/>
        </w:rPr>
        <w:t xml:space="preserve">Linha 1: nome do tributo.</w:t>
      </w:r>
    </w:p>
    <w:p>
      <w:pPr>
        <w:spacing w:after="60"/>
      </w:pPr>
      <w:r>
        <w:rPr>
          <w:sz w:val="20"/>
          <w:szCs w:val="20"/>
        </w:rPr>
        <w:t xml:space="preserve">Linha 2: campo de percentual alinhado à esquerda, com alíquota cheia → efetiva (fator) na mesma linha.</w:t>
      </w:r>
    </w:p>
    <w:p>
      <w:pPr>
        <w:spacing w:after="60"/>
      </w:pPr>
      <w:r>
        <w:rPr>
          <w:sz w:val="20"/>
          <w:szCs w:val="20"/>
        </w:rPr>
        <w:t xml:space="preserve">Linha 3: valor em R$ resultante.</w:t>
      </w:r>
    </w:p>
    <w:p>
      <w:pPr>
        <w:spacing w:after="60"/>
      </w:pPr>
      <w:r>
        <w:rPr>
          <w:sz w:val="20"/>
          <w:szCs w:val="20"/>
        </w:rPr>
        <w:t xml:space="preserve">Vale para IBS e CBS.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Impostos (IBS/CBS) e (IS/IPI) — layout mobile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4. Histórico do Cliente — somente vendas efetivadas (mobile)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Mesma regra emergencial do desktop, aplicada ao mobile</w:t>
      </w:r>
    </w:p>
    <w:p>
      <w:pPr>
        <w:spacing w:after="60"/>
      </w:pPr>
      <w:r>
        <w:rPr>
          <w:sz w:val="20"/>
          <w:szCs w:val="20"/>
        </w:rPr>
        <w:t xml:space="preserve">Exibir somente vendas efetivadas/lançadas, incluindo condição de caderneta e vencimentos no Fluxo de Caixa.</w:t>
      </w:r>
    </w:p>
    <w:p>
      <w:pPr>
        <w:spacing w:after="60"/>
      </w:pPr>
      <w:r>
        <w:rPr>
          <w:sz w:val="20"/>
          <w:szCs w:val="20"/>
        </w:rPr>
        <w:t xml:space="preserve">Não exibir Pedidos/Orçamentos em Rascunho.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Editar Cliente (mobile) — Histórico do Cliente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5. Tela "Caixa de [Mês/Ano]" — seletor de período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Navegação para meses fora da lista fixa</w:t>
      </w:r>
    </w:p>
    <w:p>
      <w:pPr>
        <w:spacing w:after="60"/>
      </w:pPr>
      <w:r>
        <w:rPr>
          <w:sz w:val="20"/>
          <w:szCs w:val="20"/>
        </w:rPr>
        <w:t xml:space="preserve">Solução: campo de seleção de ano (com o ano vigente já preenchido) e, na mesma linha à direita, seletor de mês.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Caixa — seletor de mês atual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Heading2"/>
        <w:spacing w:after="100" w:before="260"/>
      </w:pPr>
      <w:r>
        <w:t xml:space="preserve">6. Fluxo de Caixa — reposicionamento de botão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Botão "+ Novo Lançamento" na mesma linha do seletor de mês</w:t>
      </w:r>
    </w:p>
    <w:p>
      <w:pPr>
        <w:spacing w:after="60"/>
      </w:pPr>
      <w:r>
        <w:rPr>
          <w:sz w:val="20"/>
          <w:szCs w:val="20"/>
        </w:rPr>
        <w:t xml:space="preserve">Mês à esquerda (ex.: julho 2026), botão na borda direita da mesma linha.</w:t>
      </w:r>
    </w:p>
    <w:p>
      <w:pPr>
        <w:spacing w:after="60"/>
      </w:pPr>
      <w:r>
        <w:rPr>
          <w:sz w:val="20"/>
          <w:szCs w:val="20"/>
        </w:rPr>
        <w:t xml:space="preserve">Linha abaixo: "Saldo Mês Ant." e "Exportar".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0975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Fluxo de Caixa — cabeçalho de controles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71cf3767de92ba46a400e43ba0d8ea5692aa70.png"/><Relationship Id="rId8" Type="http://schemas.openxmlformats.org/officeDocument/2006/relationships/image" Target="media/c1acddc7ae680954f3da73f5a725029031f09d1a.png"/><Relationship Id="rId9" Type="http://schemas.openxmlformats.org/officeDocument/2006/relationships/image" Target="media/8a17337b828c9916a6e4fba36a42ae079c60246f.png"/><Relationship Id="rId10" Type="http://schemas.openxmlformats.org/officeDocument/2006/relationships/image" Target="media/10322a1d0913347e9bbb024273306c04e96b604e.png"/><Relationship Id="rId11" Type="http://schemas.openxmlformats.org/officeDocument/2006/relationships/image" Target="media/265d9268832b53cf18455fbe046ff25f872e82d9.png"/><Relationship Id="rId12" Type="http://schemas.openxmlformats.org/officeDocument/2006/relationships/image" Target="media/0cfa5e92723f8b53f334579fec4c216b3678aa2d.png"/><Relationship Id="rId13" Type="http://schemas.openxmlformats.org/officeDocument/2006/relationships/image" Target="media/6fe8e5e2cae2ef9a979618c55825da28ebb55638.png"/><Relationship Id="rId14" Type="http://schemas.openxmlformats.org/officeDocument/2006/relationships/image" Target="media/94b45678423a1b23b03e23aa3427ea6f17589d28.png"/><Relationship Id="rId15" Type="http://schemas.openxmlformats.org/officeDocument/2006/relationships/image" Target="media/4c842052388abc57ba2135300a66baea0876bbee.png"/><Relationship Id="rId16" Type="http://schemas.openxmlformats.org/officeDocument/2006/relationships/image" Target="media/a84c471e279f5b7511b960583c2f47e1891a7888.png"/><Relationship Id="rId17" Type="http://schemas.openxmlformats.org/officeDocument/2006/relationships/image" Target="media/04d6f19894b5e79e20ece2f3d7bdb1a7a181c1f6.png"/><Relationship Id="rId18" Type="http://schemas.openxmlformats.org/officeDocument/2006/relationships/image" Target="media/7b315bc47bc584de51bfdfad636c3c5aec8e9047.png"/><Relationship Id="rId19" Type="http://schemas.openxmlformats.org/officeDocument/2006/relationships/image" Target="media/e2da0e079a11a1061fe23887bbcbd18eb9a839d6.png"/><Relationship Id="rId20" Type="http://schemas.openxmlformats.org/officeDocument/2006/relationships/image" Target="media/a501c6101b250124d88653852534c6ef78a3204c.png"/><Relationship Id="rId21" Type="http://schemas.openxmlformats.org/officeDocument/2006/relationships/image" Target="media/538c0082fcc0ccaf3aba29bfd429c0ae99a51ab5.png"/><Relationship Id="rId22" Type="http://schemas.openxmlformats.org/officeDocument/2006/relationships/image" Target="media/6f05d748da86c7fcbdc653db1eb37cda418b5e33.png"/><Relationship Id="rId23" Type="http://schemas.openxmlformats.org/officeDocument/2006/relationships/image" Target="media/acc31c8f3dae8a32ba73e94009060873e5ebb776.png"/><Relationship Id="rId24" Type="http://schemas.openxmlformats.org/officeDocument/2006/relationships/image" Target="media/a1f55df9f9f6f0213c96603d360690d3aa8702f6.png"/><Relationship Id="rId25" Type="http://schemas.openxmlformats.org/officeDocument/2006/relationships/image" Target="media/6dd822e7285d666bb92e92126ce709dc622fc7ba.png"/><Relationship Id="rId26" Type="http://schemas.openxmlformats.org/officeDocument/2006/relationships/image" Target="media/6c7346aa2bdd6dc453e485eec8d2050d0382423a.png"/><Relationship Id="rId27" Type="http://schemas.openxmlformats.org/officeDocument/2006/relationships/image" Target="media/596b7ddf2b94894401ec43ca5a3029d7b9fe5d33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2026-07-30T21:36:10.423Z</dcterms:created>
  <dcterms:modified xsi:type="dcterms:W3CDTF">2026-07-30T21:36:10.437Z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