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20"/>
          <w:szCs w:val="20"/>
        </w:rPr>
        <w:t xml:space="preserve">PRECIFICA CERTO</w:t>
      </w:r>
    </w:p>
    <w:p>
      <w:pPr>
        <w:pStyle w:val="Title"/>
        <w:spacing w:after="100"/>
      </w:pPr>
      <w:r>
        <w:t xml:space="preserve">Memória Cascata — Bug de RT e Reestruturação (17→19 Etapas)</w:t>
      </w:r>
    </w:p>
    <w:p>
      <w:pPr>
        <w:spacing w:after="120"/>
      </w:pPr>
      <w:r>
        <w:rPr>
          <w:i/>
          <w:iCs/>
          <w:color w:val="555555"/>
        </w:rPr>
        <w:t xml:space="preserve">Documento técnico destinado ao desenvolvedor/LLM responsável pela implementação. Escopo restrito à sessão de 14/07/2026: diagnóstico da ausência da cascata em orçamentos com RT e especificação da nova estrutura.</w:t>
      </w:r>
    </w:p>
    <w:p>
      <w:pPr>
        <w:pBdr>
          <w:bottom w:val="single" w:color="999999" w:sz="6" w:space="1"/>
        </w:pBdr>
        <w:spacing w:after="200" w:before="200"/>
      </w:pPr>
    </w:p>
    <w:p>
      <w:pPr>
        <w:pStyle w:val="Heading1"/>
        <w:spacing w:after="200" w:before="400"/>
      </w:pPr>
      <w:r>
        <w:t xml:space="preserve">1. Sumário Executivo</w:t>
      </w:r>
    </w:p>
    <w:p>
      <w:pPr>
        <w:spacing w:after="120"/>
      </w:pPr>
      <w:r>
        <w:t xml:space="preserve">Esta sessão diagnosticou a causa raiz da ausência da Memória Cascata em orçamentos cujo produto possui RT (Comissão Reserva Técnica) configurado, e especificou a reestruturação completa da cascata — de 17 para 19 etapas — para acomodar o RT como etapa formal, tanto na fase pré-desconto quanto na fase pós-desconto. Também foi estabelecida uma regra de inviolabilidade: a cascata deve permanecer sempre visível e funcional, independentemente da configuração do orçamento.</w:t>
      </w:r>
    </w:p>
    <w:p>
      <w:pPr>
        <w:pStyle w:val="Heading1"/>
        <w:spacing w:after="200" w:before="400"/>
      </w:pPr>
      <w:r>
        <w:t xml:space="preserve">2. Diagnóstico — Ausência da Memória Cascata em Orçamentos com RT</w:t>
      </w:r>
    </w:p>
    <w:p>
      <w:pPr>
        <w:spacing w:after="120"/>
      </w:pPr>
      <w:r>
        <w:rPr>
          <w:b/>
          <w:bCs/>
          <w:color w:val="1F4E79"/>
          <w:sz w:val="24"/>
          <w:szCs w:val="24"/>
        </w:rPr>
        <w:t xml:space="preserve">BUG-CASCATA-RT-AUSENTE-001</w:t>
      </w:r>
      <w:r>
        <w:rPr>
          <w:b/>
          <w:bCs/>
          <w:color w:val="B00020"/>
          <w:sz w:val="20"/>
          <w:szCs w:val="20"/>
        </w:rPr>
        <w:t xml:space="preserve">   [Prioridade: Alta]</w:t>
      </w:r>
      <w:r>
        <w:rPr>
          <w:i/>
          <w:iCs/>
          <w:color w:val="555555"/>
          <w:sz w:val="20"/>
          <w:szCs w:val="20"/>
        </w:rPr>
        <w:t xml:space="preserve">   [Status: Diagnosticado — solução especificada na Seção 3]</w:t>
      </w:r>
    </w:p>
    <w:p>
      <w:pPr>
        <w:pStyle w:val="Heading2"/>
        <w:spacing w:after="150" w:before="300"/>
      </w:pPr>
      <w:r>
        <w:t xml:space="preserve">2.1 Evidências</w:t>
      </w:r>
    </w:p>
    <w:p>
      <w:pPr>
        <w:pStyle w:val="ListParagraph"/>
        <w:numPr>
          <w:ilvl w:val="0"/>
          <w:numId w:val="1"/>
        </w:numPr>
        <w:spacing w:after="80"/>
      </w:pPr>
      <w:r>
        <w:t xml:space="preserve">Produto sem RT configurado (ex.: 'Alex Sandro Fischer') → Memória Cascata renderiza normalmente no modal de Orçamento, independente do Modo de cálculo selecionado.</w:t>
      </w:r>
    </w:p>
    <w:p>
      <w:pPr>
        <w:pStyle w:val="ListParagraph"/>
        <w:numPr>
          <w:ilvl w:val="0"/>
          <w:numId w:val="1"/>
        </w:numPr>
        <w:spacing w:after="80"/>
      </w:pPr>
      <w:r>
        <w:t xml:space="preserve">Produto com RT configurado na Precificação Final (ex.: 'TesteRT', RT = 4,000%) → Memória Cascata ausente por completo no mesmo modal, mesmo Modo de cálculo, mesmo fluxo.</w:t>
      </w:r>
    </w:p>
    <w:p>
      <w:pPr>
        <w:pStyle w:val="ListParagraph"/>
        <w:numPr>
          <w:ilvl w:val="0"/>
          <w:numId w:val="1"/>
        </w:numPr>
        <w:spacing w:after="80"/>
      </w:pPr>
      <w:r>
        <w:t xml:space="preserve">O card 'Distribuição do Resultado' (Comissão do Vendedor / Lucro da Empresa) continua exibindo valores normalmente nos dois casos — indicando que esse card calcula de forma isolada e não depende do fechamento da cascata.</w:t>
      </w:r>
    </w:p>
    <w:p>
      <w:pPr>
        <w:pStyle w:val="ListParagraph"/>
        <w:numPr>
          <w:ilvl w:val="0"/>
          <w:numId w:val="1"/>
        </w:numPr>
        <w:spacing w:after="80"/>
      </w:pPr>
      <w:r>
        <w:t xml:space="preserve">Orçamentos antigos, criados antes da existência do campo RT em Produtos, preservam a Memória Cascata ativa — confirmando que o problema é específico à presença de RT &gt; 0% no produto, não uma regressão geral do componente.</w:t>
      </w:r>
    </w:p>
    <w:p>
      <w:pPr>
        <w:pStyle w:val="Heading2"/>
        <w:spacing w:after="150" w:before="300"/>
      </w:pPr>
      <w:r>
        <w:t xml:space="preserve">2.2 Causa raiz</w:t>
      </w:r>
    </w:p>
    <w:p>
      <w:pPr>
        <w:spacing w:after="120"/>
      </w:pPr>
      <w:r>
        <w:t xml:space="preserve">A Memória Cascata (estrutura de 17 etapas vigente até esta sessão) não possui etapa formal de consolidação do RT. Quando um item de orçamento carrega um produto com RT configurado, o motor de cálculo tenta processar esse valor sem um ponto de encaixe definido na sequência de etapas. Isso quebra o fechamento matemático da cascata (a soma/rastreio das 17 etapas não fecha com o total esperado), e o componente de renderização — que depende desse fechamento para montar — falha silenciosamente, resultando na ausência total da seção 'MEMÓRIA CASCATA' na interface, sem mensagem de erro visível ao usuário.</w:t>
      </w:r>
    </w:p>
    <w:p>
      <w:pPr>
        <w:spacing w:after="120"/>
      </w:pPr>
      <w:r>
        <w:t xml:space="preserve">O fato de 'Distribuição do Resultado' continuar funcionando normalmente confirma que esse card não lê da cascata como fonte única de verdade, calculando em paralelo em vez de espelhar a etapa final de redistribuição.</w:t>
      </w:r>
    </w:p>
    <w:p>
      <w:pPr>
        <w:pStyle w:val="Heading1"/>
        <w:spacing w:after="200" w:before="400"/>
      </w:pPr>
      <w:r>
        <w:t xml:space="preserve">3. Especificação — Reestruturação da Memória Cascata (17 → 19 etapas)</w:t>
      </w:r>
    </w:p>
    <w:p>
      <w:pPr>
        <w:pStyle w:val="Heading2"/>
        <w:spacing w:after="150" w:before="300"/>
      </w:pPr>
      <w:r>
        <w:t xml:space="preserve">3.1 Regra estrutural</w:t>
      </w:r>
    </w:p>
    <w:p>
      <w:pPr>
        <w:spacing w:after="120"/>
      </w:pPr>
      <w:r>
        <w:t xml:space="preserve">O RT (Comissão Reserva Técnica) é tratado como mais um item de abatimento, na mesma linha lógica de custos e despesas operacionais — e não como um valor solto ou paralelo à cascata. Regra fixa: o RT deve sempre anteceder a etapa de apuração de margens (Comissão + Lucro), tanto no bloco de construção do produto (pré-desconto) quanto no bloco de cálculo do orçamento (pós-desconto).</w:t>
      </w:r>
    </w:p>
    <w:p>
      <w:pPr>
        <w:spacing w:after="120"/>
      </w:pPr>
      <w:r>
        <w:t xml:space="preserve">No bloco pós-desconto, o RT é abatido antes do cálculo do Resultado Residual Operacional (RRO). Isso preserva a definição conceitual do RRO como o resíduo final após todos os abatimentos — incluindo, a partir de agora, o RT — e não como um valor calculado e depois corrigido a posteriori.</w:t>
      </w:r>
    </w:p>
    <w:p>
      <w:pPr>
        <w:pStyle w:val="Heading2"/>
        <w:spacing w:after="150" w:before="300"/>
      </w:pPr>
      <w:r>
        <w:t xml:space="preserve">3.2 Nova sequência da Memória Cascata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3100"/>
      </w:tblGrid>
      <w:tr>
        <w:trPr>
          <w:tblHeader/>
        </w:trPr>
        <w:tc>
          <w:tcPr>
            <w:tcW w:type="dxa" w:w="700"/>
            <w:shd w:fill="1F4E79" w:color="auto" w:val="clear"/>
          </w:tcPr>
          <w:p>
            <w:r>
              <w:rPr>
                <w:b/>
                <w:bCs/>
                <w:color w:val="FFFFFF"/>
                <w:sz w:val="20"/>
                <w:szCs w:val="20"/>
              </w:rPr>
              <w:t xml:space="preserve">#</w:t>
            </w:r>
          </w:p>
        </w:tc>
        <w:tc>
          <w:tcPr>
            <w:tcW w:type="dxa" w:w="6700"/>
            <w:shd w:fill="1F4E79" w:color="auto" w:val="clear"/>
          </w:tcPr>
          <w:p>
            <w:r>
              <w:rPr>
                <w:b/>
                <w:bCs/>
                <w:color w:val="FFFFFF"/>
                <w:sz w:val="20"/>
                <w:szCs w:val="20"/>
              </w:rPr>
              <w:t xml:space="preserve">Etapa</w:t>
            </w:r>
          </w:p>
        </w:tc>
        <w:tc>
          <w:tcPr>
            <w:tcW w:type="dxa" w:w="3100"/>
            <w:shd w:fill="1F4E79" w:color="auto" w:val="clear"/>
          </w:tcPr>
          <w:p>
            <w:r>
              <w:rPr>
                <w:b/>
                <w:bCs/>
                <w:color w:val="FFFFFF"/>
                <w:sz w:val="20"/>
                <w:szCs w:val="20"/>
              </w:rPr>
              <w:t xml:space="preserve">Situação</w:t>
            </w:r>
          </w:p>
        </w:tc>
      </w:tr>
      <w:tr>
        <w:tc>
          <w:tcPr>
            <w:tcW w:type="dxa" w:w="700"/>
            <w:shd w:fill="F2F6FA" w:color="auto" w:val="clear"/>
          </w:tcPr>
          <w:p>
            <w:r>
              <w:rPr>
                <w:sz w:val="20"/>
                <w:szCs w:val="20"/>
              </w:rPr>
              <w:t xml:space="preserve">1</w:t>
            </w:r>
          </w:p>
        </w:tc>
        <w:tc>
          <w:tcPr>
            <w:tcW w:type="dxa" w:w="6700"/>
            <w:shd w:fill="F2F6FA" w:color="auto" w:val="clear"/>
          </w:tcPr>
          <w:p>
            <w:r>
              <w:rPr>
                <w:sz w:val="20"/>
                <w:szCs w:val="20"/>
              </w:rPr>
              <w:t xml:space="preserve">Fragmentação individual dos produtos</w:t>
            </w:r>
          </w:p>
        </w:tc>
        <w:tc>
          <w:tcPr>
            <w:tcW w:type="dxa" w:w="3100"/>
            <w:shd w:fill="F2F6FA" w:color="auto" w:val="clear"/>
          </w:tcPr>
          <w:p>
            <w:r>
              <w:rPr>
                <w:sz w:val="20"/>
                <w:szCs w:val="20"/>
              </w:rPr>
              <w:t xml:space="preserve">mantém</w:t>
            </w:r>
          </w:p>
        </w:tc>
      </w:tr>
      <w:tr>
        <w:tc>
          <w:tcPr>
            <w:tcW w:type="dxa" w:w="700"/>
            <w:shd w:fill="FFFFFF" w:color="auto" w:val="clear"/>
          </w:tcPr>
          <w:p>
            <w:r>
              <w:rPr>
                <w:sz w:val="20"/>
                <w:szCs w:val="20"/>
              </w:rPr>
              <w:t xml:space="preserve">2</w:t>
            </w:r>
          </w:p>
        </w:tc>
        <w:tc>
          <w:tcPr>
            <w:tcW w:type="dxa" w:w="6700"/>
            <w:shd w:fill="FFFFFF" w:color="auto" w:val="clear"/>
          </w:tcPr>
          <w:p>
            <w:r>
              <w:rPr>
                <w:sz w:val="20"/>
                <w:szCs w:val="20"/>
              </w:rPr>
              <w:t xml:space="preserve">Construção matemática individual</w:t>
            </w:r>
          </w:p>
        </w:tc>
        <w:tc>
          <w:tcPr>
            <w:tcW w:type="dxa" w:w="3100"/>
            <w:shd w:fill="FFFFFF" w:color="auto" w:val="clear"/>
          </w:tcPr>
          <w:p>
            <w:r>
              <w:rPr>
                <w:sz w:val="20"/>
                <w:szCs w:val="20"/>
              </w:rPr>
              <w:t xml:space="preserve">mantém</w:t>
            </w:r>
          </w:p>
        </w:tc>
      </w:tr>
      <w:tr>
        <w:tc>
          <w:tcPr>
            <w:tcW w:type="dxa" w:w="700"/>
            <w:shd w:fill="F2F6FA" w:color="auto" w:val="clear"/>
          </w:tcPr>
          <w:p>
            <w:r>
              <w:rPr>
                <w:sz w:val="20"/>
                <w:szCs w:val="20"/>
              </w:rPr>
              <w:t xml:space="preserve">3</w:t>
            </w:r>
          </w:p>
        </w:tc>
        <w:tc>
          <w:tcPr>
            <w:tcW w:type="dxa" w:w="6700"/>
            <w:shd w:fill="F2F6FA" w:color="auto" w:val="clear"/>
          </w:tcPr>
          <w:p>
            <w:r>
              <w:rPr>
                <w:sz w:val="20"/>
                <w:szCs w:val="20"/>
              </w:rPr>
              <w:t xml:space="preserve">Agrupamento por categorias</w:t>
            </w:r>
          </w:p>
        </w:tc>
        <w:tc>
          <w:tcPr>
            <w:tcW w:type="dxa" w:w="3100"/>
            <w:shd w:fill="F2F6FA" w:color="auto" w:val="clear"/>
          </w:tcPr>
          <w:p>
            <w:r>
              <w:rPr>
                <w:sz w:val="20"/>
                <w:szCs w:val="20"/>
              </w:rPr>
              <w:t xml:space="preserve">mantém</w:t>
            </w:r>
          </w:p>
        </w:tc>
      </w:tr>
      <w:tr>
        <w:tc>
          <w:tcPr>
            <w:tcW w:type="dxa" w:w="700"/>
            <w:shd w:fill="FFFFFF" w:color="auto" w:val="clear"/>
          </w:tcPr>
          <w:p>
            <w:r>
              <w:rPr>
                <w:sz w:val="20"/>
                <w:szCs w:val="20"/>
              </w:rPr>
              <w:t xml:space="preserve">4</w:t>
            </w:r>
          </w:p>
        </w:tc>
        <w:tc>
          <w:tcPr>
            <w:tcW w:type="dxa" w:w="6700"/>
            <w:shd w:fill="FFFFFF" w:color="auto" w:val="clear"/>
          </w:tcPr>
          <w:p>
            <w:r>
              <w:rPr>
                <w:sz w:val="20"/>
                <w:szCs w:val="20"/>
              </w:rPr>
              <w:t xml:space="preserve">Consolidação dos custos</w:t>
            </w:r>
          </w:p>
        </w:tc>
        <w:tc>
          <w:tcPr>
            <w:tcW w:type="dxa" w:w="3100"/>
            <w:shd w:fill="FFFFFF" w:color="auto" w:val="clear"/>
          </w:tcPr>
          <w:p>
            <w:r>
              <w:rPr>
                <w:sz w:val="20"/>
                <w:szCs w:val="20"/>
              </w:rPr>
              <w:t xml:space="preserve">mantém</w:t>
            </w:r>
          </w:p>
        </w:tc>
      </w:tr>
      <w:tr>
        <w:tc>
          <w:tcPr>
            <w:tcW w:type="dxa" w:w="700"/>
            <w:shd w:fill="F2F6FA" w:color="auto" w:val="clear"/>
          </w:tcPr>
          <w:p>
            <w:r>
              <w:rPr>
                <w:sz w:val="20"/>
                <w:szCs w:val="20"/>
              </w:rPr>
              <w:t xml:space="preserve">5</w:t>
            </w:r>
          </w:p>
        </w:tc>
        <w:tc>
          <w:tcPr>
            <w:tcW w:type="dxa" w:w="6700"/>
            <w:shd w:fill="F2F6FA" w:color="auto" w:val="clear"/>
          </w:tcPr>
          <w:p>
            <w:r>
              <w:rPr>
                <w:sz w:val="20"/>
                <w:szCs w:val="20"/>
              </w:rPr>
              <w:t xml:space="preserve">Consolidação das despesas operacionais</w:t>
            </w:r>
          </w:p>
        </w:tc>
        <w:tc>
          <w:tcPr>
            <w:tcW w:type="dxa" w:w="3100"/>
            <w:shd w:fill="F2F6FA" w:color="auto" w:val="clear"/>
          </w:tcPr>
          <w:p>
            <w:r>
              <w:rPr>
                <w:sz w:val="20"/>
                <w:szCs w:val="20"/>
              </w:rPr>
              <w:t xml:space="preserve">mantém</w:t>
            </w:r>
          </w:p>
        </w:tc>
      </w:tr>
      <w:tr>
        <w:tc>
          <w:tcPr>
            <w:tcW w:type="dxa" w:w="700"/>
            <w:shd w:fill="FFFFFF" w:color="auto" w:val="clear"/>
          </w:tcPr>
          <w:p>
            <w:r>
              <w:rPr>
                <w:sz w:val="20"/>
                <w:szCs w:val="20"/>
              </w:rPr>
              <w:t xml:space="preserve">6</w:t>
            </w:r>
          </w:p>
        </w:tc>
        <w:tc>
          <w:tcPr>
            <w:tcW w:type="dxa" w:w="6700"/>
            <w:shd w:fill="FFFFFF" w:color="auto" w:val="clear"/>
          </w:tcPr>
          <w:p>
            <w:r>
              <w:rPr>
                <w:sz w:val="20"/>
                <w:szCs w:val="20"/>
              </w:rPr>
              <w:t xml:space="preserve">Consolidação do RT (pré-desconto)</w:t>
            </w:r>
          </w:p>
        </w:tc>
        <w:tc>
          <w:tcPr>
            <w:tcW w:type="dxa" w:w="3100"/>
            <w:shd w:fill="FFFFFF" w:color="auto" w:val="clear"/>
          </w:tcPr>
          <w:p>
            <w:r>
              <w:rPr>
                <w:sz w:val="20"/>
                <w:szCs w:val="20"/>
              </w:rPr>
              <w:t xml:space="preserve">NOVA — inserida antes da apuração de margens</w:t>
            </w:r>
          </w:p>
        </w:tc>
      </w:tr>
      <w:tr>
        <w:tc>
          <w:tcPr>
            <w:tcW w:type="dxa" w:w="700"/>
            <w:shd w:fill="F2F6FA" w:color="auto" w:val="clear"/>
          </w:tcPr>
          <w:p>
            <w:r>
              <w:rPr>
                <w:sz w:val="20"/>
                <w:szCs w:val="20"/>
              </w:rPr>
              <w:t xml:space="preserve">7</w:t>
            </w:r>
          </w:p>
        </w:tc>
        <w:tc>
          <w:tcPr>
            <w:tcW w:type="dxa" w:w="6700"/>
            <w:shd w:fill="F2F6FA" w:color="auto" w:val="clear"/>
          </w:tcPr>
          <w:p>
            <w:r>
              <w:rPr>
                <w:sz w:val="20"/>
                <w:szCs w:val="20"/>
              </w:rPr>
              <w:t xml:space="preserve">Consolidação das margens (Comissão, Lucro, IRPJ, CSLL)</w:t>
            </w:r>
          </w:p>
        </w:tc>
        <w:tc>
          <w:tcPr>
            <w:tcW w:type="dxa" w:w="3100"/>
            <w:shd w:fill="F2F6FA" w:color="auto" w:val="clear"/>
          </w:tcPr>
          <w:p>
            <w:r>
              <w:rPr>
                <w:sz w:val="20"/>
                <w:szCs w:val="20"/>
              </w:rPr>
              <w:t xml:space="preserve">era etapa 6</w:t>
            </w:r>
          </w:p>
        </w:tc>
      </w:tr>
      <w:tr>
        <w:tc>
          <w:tcPr>
            <w:tcW w:type="dxa" w:w="700"/>
            <w:shd w:fill="FFFFFF" w:color="auto" w:val="clear"/>
          </w:tcPr>
          <w:p>
            <w:r>
              <w:rPr>
                <w:sz w:val="20"/>
                <w:szCs w:val="20"/>
              </w:rPr>
              <w:t xml:space="preserve">8</w:t>
            </w:r>
          </w:p>
        </w:tc>
        <w:tc>
          <w:tcPr>
            <w:tcW w:type="dxa" w:w="6700"/>
            <w:shd w:fill="FFFFFF" w:color="auto" w:val="clear"/>
          </w:tcPr>
          <w:p>
            <w:r>
              <w:rPr>
                <w:sz w:val="20"/>
                <w:szCs w:val="20"/>
              </w:rPr>
              <w:t xml:space="preserve">Formação Op Interna</w:t>
            </w:r>
          </w:p>
        </w:tc>
        <w:tc>
          <w:tcPr>
            <w:tcW w:type="dxa" w:w="3100"/>
            <w:shd w:fill="FFFFFF" w:color="auto" w:val="clear"/>
          </w:tcPr>
          <w:p>
            <w:r>
              <w:rPr>
                <w:sz w:val="20"/>
                <w:szCs w:val="20"/>
              </w:rPr>
              <w:t xml:space="preserve">era etapa 7</w:t>
            </w:r>
          </w:p>
        </w:tc>
      </w:tr>
      <w:tr>
        <w:tc>
          <w:tcPr>
            <w:tcW w:type="dxa" w:w="700"/>
            <w:shd w:fill="F2F6FA" w:color="auto" w:val="clear"/>
          </w:tcPr>
          <w:p>
            <w:r>
              <w:rPr>
                <w:sz w:val="20"/>
                <w:szCs w:val="20"/>
              </w:rPr>
              <w:t xml:space="preserve">9</w:t>
            </w:r>
          </w:p>
        </w:tc>
        <w:tc>
          <w:tcPr>
            <w:tcW w:type="dxa" w:w="6700"/>
            <w:shd w:fill="F2F6FA" w:color="auto" w:val="clear"/>
          </w:tcPr>
          <w:p>
            <w:r>
              <w:rPr>
                <w:sz w:val="20"/>
                <w:szCs w:val="20"/>
              </w:rPr>
              <w:t xml:space="preserve">Formação Op Externa</w:t>
            </w:r>
          </w:p>
        </w:tc>
        <w:tc>
          <w:tcPr>
            <w:tcW w:type="dxa" w:w="3100"/>
            <w:shd w:fill="F2F6FA" w:color="auto" w:val="clear"/>
          </w:tcPr>
          <w:p>
            <w:r>
              <w:rPr>
                <w:sz w:val="20"/>
                <w:szCs w:val="20"/>
              </w:rPr>
              <w:t xml:space="preserve">era etapa 8</w:t>
            </w:r>
          </w:p>
        </w:tc>
      </w:tr>
      <w:tr>
        <w:tc>
          <w:tcPr>
            <w:tcW w:type="dxa" w:w="700"/>
            <w:shd w:fill="FFFFFF" w:color="auto" w:val="clear"/>
          </w:tcPr>
          <w:p>
            <w:r>
              <w:rPr>
                <w:sz w:val="20"/>
                <w:szCs w:val="20"/>
              </w:rPr>
              <w:t xml:space="preserve">10</w:t>
            </w:r>
          </w:p>
        </w:tc>
        <w:tc>
          <w:tcPr>
            <w:tcW w:type="dxa" w:w="6700"/>
            <w:shd w:fill="FFFFFF" w:color="auto" w:val="clear"/>
          </w:tcPr>
          <w:p>
            <w:r>
              <w:rPr>
                <w:sz w:val="20"/>
                <w:szCs w:val="20"/>
              </w:rPr>
              <w:t xml:space="preserve">Venda consolidada</w:t>
            </w:r>
          </w:p>
        </w:tc>
        <w:tc>
          <w:tcPr>
            <w:tcW w:type="dxa" w:w="3100"/>
            <w:shd w:fill="FFFFFF" w:color="auto" w:val="clear"/>
          </w:tcPr>
          <w:p>
            <w:r>
              <w:rPr>
                <w:sz w:val="20"/>
                <w:szCs w:val="20"/>
              </w:rPr>
              <w:t xml:space="preserve">era etapa 9</w:t>
            </w:r>
          </w:p>
        </w:tc>
      </w:tr>
      <w:tr>
        <w:tc>
          <w:tcPr>
            <w:tcW w:type="dxa" w:w="700"/>
            <w:shd w:fill="F2F6FA" w:color="auto" w:val="clear"/>
          </w:tcPr>
          <w:p>
            <w:r>
              <w:rPr>
                <w:sz w:val="20"/>
                <w:szCs w:val="20"/>
              </w:rPr>
              <w:t xml:space="preserve">11</w:t>
            </w:r>
          </w:p>
        </w:tc>
        <w:tc>
          <w:tcPr>
            <w:tcW w:type="dxa" w:w="6700"/>
            <w:shd w:fill="F2F6FA" w:color="auto" w:val="clear"/>
          </w:tcPr>
          <w:p>
            <w:r>
              <w:rPr>
                <w:sz w:val="20"/>
                <w:szCs w:val="20"/>
              </w:rPr>
              <w:t xml:space="preserve">Pesos estruturais</w:t>
            </w:r>
          </w:p>
        </w:tc>
        <w:tc>
          <w:tcPr>
            <w:tcW w:type="dxa" w:w="3100"/>
            <w:shd w:fill="F2F6FA" w:color="auto" w:val="clear"/>
          </w:tcPr>
          <w:p>
            <w:r>
              <w:rPr>
                <w:sz w:val="20"/>
                <w:szCs w:val="20"/>
              </w:rPr>
              <w:t xml:space="preserve">era etapa 10</w:t>
            </w:r>
          </w:p>
        </w:tc>
      </w:tr>
      <w:tr>
        <w:tc>
          <w:tcPr>
            <w:tcW w:type="dxa" w:w="700"/>
            <w:shd w:fill="FFFFFF" w:color="auto" w:val="clear"/>
          </w:tcPr>
          <w:p>
            <w:r>
              <w:rPr>
                <w:sz w:val="20"/>
                <w:szCs w:val="20"/>
              </w:rPr>
              <w:t xml:space="preserve">12</w:t>
            </w:r>
          </w:p>
        </w:tc>
        <w:tc>
          <w:tcPr>
            <w:tcW w:type="dxa" w:w="6700"/>
            <w:shd w:fill="FFFFFF" w:color="auto" w:val="clear"/>
          </w:tcPr>
          <w:p>
            <w:r>
              <w:rPr>
                <w:sz w:val="20"/>
                <w:szCs w:val="20"/>
              </w:rPr>
              <w:t xml:space="preserve">Aplicação do desconto</w:t>
            </w:r>
          </w:p>
        </w:tc>
        <w:tc>
          <w:tcPr>
            <w:tcW w:type="dxa" w:w="3100"/>
            <w:shd w:fill="FFFFFF" w:color="auto" w:val="clear"/>
          </w:tcPr>
          <w:p>
            <w:r>
              <w:rPr>
                <w:sz w:val="20"/>
                <w:szCs w:val="20"/>
              </w:rPr>
              <w:t xml:space="preserve">era etapa 11</w:t>
            </w:r>
          </w:p>
        </w:tc>
      </w:tr>
      <w:tr>
        <w:tc>
          <w:tcPr>
            <w:tcW w:type="dxa" w:w="700"/>
            <w:shd w:fill="F2F6FA" w:color="auto" w:val="clear"/>
          </w:tcPr>
          <w:p>
            <w:r>
              <w:rPr>
                <w:sz w:val="20"/>
                <w:szCs w:val="20"/>
              </w:rPr>
              <w:t xml:space="preserve">13</w:t>
            </w:r>
          </w:p>
        </w:tc>
        <w:tc>
          <w:tcPr>
            <w:tcW w:type="dxa" w:w="6700"/>
            <w:shd w:fill="F2F6FA" w:color="auto" w:val="clear"/>
          </w:tcPr>
          <w:p>
            <w:r>
              <w:rPr>
                <w:sz w:val="20"/>
                <w:szCs w:val="20"/>
              </w:rPr>
              <w:t xml:space="preserve">Âncora Interna (pós-desconto)</w:t>
            </w:r>
          </w:p>
        </w:tc>
        <w:tc>
          <w:tcPr>
            <w:tcW w:type="dxa" w:w="3100"/>
            <w:shd w:fill="F2F6FA" w:color="auto" w:val="clear"/>
          </w:tcPr>
          <w:p>
            <w:r>
              <w:rPr>
                <w:sz w:val="20"/>
                <w:szCs w:val="20"/>
              </w:rPr>
              <w:t xml:space="preserve">era etapa 12</w:t>
            </w:r>
          </w:p>
        </w:tc>
      </w:tr>
      <w:tr>
        <w:tc>
          <w:tcPr>
            <w:tcW w:type="dxa" w:w="700"/>
            <w:shd w:fill="FFFFFF" w:color="auto" w:val="clear"/>
          </w:tcPr>
          <w:p>
            <w:r>
              <w:rPr>
                <w:sz w:val="20"/>
                <w:szCs w:val="20"/>
              </w:rPr>
              <w:t xml:space="preserve">14</w:t>
            </w:r>
          </w:p>
        </w:tc>
        <w:tc>
          <w:tcPr>
            <w:tcW w:type="dxa" w:w="6700"/>
            <w:shd w:fill="FFFFFF" w:color="auto" w:val="clear"/>
          </w:tcPr>
          <w:p>
            <w:r>
              <w:rPr>
                <w:sz w:val="20"/>
                <w:szCs w:val="20"/>
              </w:rPr>
              <w:t xml:space="preserve">Cascata tributária</w:t>
            </w:r>
          </w:p>
        </w:tc>
        <w:tc>
          <w:tcPr>
            <w:tcW w:type="dxa" w:w="3100"/>
            <w:shd w:fill="FFFFFF" w:color="auto" w:val="clear"/>
          </w:tcPr>
          <w:p>
            <w:r>
              <w:rPr>
                <w:sz w:val="20"/>
                <w:szCs w:val="20"/>
              </w:rPr>
              <w:t xml:space="preserve">era etapa 13</w:t>
            </w:r>
          </w:p>
        </w:tc>
      </w:tr>
      <w:tr>
        <w:tc>
          <w:tcPr>
            <w:tcW w:type="dxa" w:w="700"/>
            <w:shd w:fill="F2F6FA" w:color="auto" w:val="clear"/>
          </w:tcPr>
          <w:p>
            <w:r>
              <w:rPr>
                <w:sz w:val="20"/>
                <w:szCs w:val="20"/>
              </w:rPr>
              <w:t xml:space="preserve">15</w:t>
            </w:r>
          </w:p>
        </w:tc>
        <w:tc>
          <w:tcPr>
            <w:tcW w:type="dxa" w:w="6700"/>
            <w:shd w:fill="F2F6FA" w:color="auto" w:val="clear"/>
          </w:tcPr>
          <w:p>
            <w:r>
              <w:rPr>
                <w:sz w:val="20"/>
                <w:szCs w:val="20"/>
              </w:rPr>
              <w:t xml:space="preserve">Redução de custos e despesas</w:t>
            </w:r>
          </w:p>
        </w:tc>
        <w:tc>
          <w:tcPr>
            <w:tcW w:type="dxa" w:w="3100"/>
            <w:shd w:fill="F2F6FA" w:color="auto" w:val="clear"/>
          </w:tcPr>
          <w:p>
            <w:r>
              <w:rPr>
                <w:sz w:val="20"/>
                <w:szCs w:val="20"/>
              </w:rPr>
              <w:t xml:space="preserve">era etapa 14</w:t>
            </w:r>
          </w:p>
        </w:tc>
      </w:tr>
      <w:tr>
        <w:tc>
          <w:tcPr>
            <w:tcW w:type="dxa" w:w="700"/>
            <w:shd w:fill="FFFFFF" w:color="auto" w:val="clear"/>
          </w:tcPr>
          <w:p>
            <w:r>
              <w:rPr>
                <w:sz w:val="20"/>
                <w:szCs w:val="20"/>
              </w:rPr>
              <w:t xml:space="preserve">16</w:t>
            </w:r>
          </w:p>
        </w:tc>
        <w:tc>
          <w:tcPr>
            <w:tcW w:type="dxa" w:w="6700"/>
            <w:shd w:fill="FFFFFF" w:color="auto" w:val="clear"/>
          </w:tcPr>
          <w:p>
            <w:r>
              <w:rPr>
                <w:sz w:val="20"/>
                <w:szCs w:val="20"/>
              </w:rPr>
              <w:t xml:space="preserve">Consolidação do RT (pós-desconto)</w:t>
            </w:r>
          </w:p>
        </w:tc>
        <w:tc>
          <w:tcPr>
            <w:tcW w:type="dxa" w:w="3100"/>
            <w:shd w:fill="FFFFFF" w:color="auto" w:val="clear"/>
          </w:tcPr>
          <w:p>
            <w:r>
              <w:rPr>
                <w:sz w:val="20"/>
                <w:szCs w:val="20"/>
              </w:rPr>
              <w:t xml:space="preserve">NOVA — abate o RT como resíduo, antes do cálculo do RRO</w:t>
            </w:r>
          </w:p>
        </w:tc>
      </w:tr>
      <w:tr>
        <w:tc>
          <w:tcPr>
            <w:tcW w:type="dxa" w:w="700"/>
            <w:shd w:fill="F2F6FA" w:color="auto" w:val="clear"/>
          </w:tcPr>
          <w:p>
            <w:r>
              <w:rPr>
                <w:sz w:val="20"/>
                <w:szCs w:val="20"/>
              </w:rPr>
              <w:t xml:space="preserve">17</w:t>
            </w:r>
          </w:p>
        </w:tc>
        <w:tc>
          <w:tcPr>
            <w:tcW w:type="dxa" w:w="6700"/>
            <w:shd w:fill="F2F6FA" w:color="auto" w:val="clear"/>
          </w:tcPr>
          <w:p>
            <w:r>
              <w:rPr>
                <w:sz w:val="20"/>
                <w:szCs w:val="20"/>
              </w:rPr>
              <w:t xml:space="preserve">Resultado Residual Operacional (RRO)</w:t>
            </w:r>
          </w:p>
        </w:tc>
        <w:tc>
          <w:tcPr>
            <w:tcW w:type="dxa" w:w="3100"/>
            <w:shd w:fill="F2F6FA" w:color="auto" w:val="clear"/>
          </w:tcPr>
          <w:p>
            <w:r>
              <w:rPr>
                <w:sz w:val="20"/>
                <w:szCs w:val="20"/>
              </w:rPr>
              <w:t xml:space="preserve">era etapa 15 — cálculo preservado intacto, agora incidindo sobre base já líquida de RT</w:t>
            </w:r>
          </w:p>
        </w:tc>
      </w:tr>
      <w:tr>
        <w:tc>
          <w:tcPr>
            <w:tcW w:type="dxa" w:w="700"/>
            <w:shd w:fill="FFFFFF" w:color="auto" w:val="clear"/>
          </w:tcPr>
          <w:p>
            <w:r>
              <w:rPr>
                <w:sz w:val="20"/>
                <w:szCs w:val="20"/>
              </w:rPr>
              <w:t xml:space="preserve">18</w:t>
            </w:r>
          </w:p>
        </w:tc>
        <w:tc>
          <w:tcPr>
            <w:tcW w:type="dxa" w:w="6700"/>
            <w:shd w:fill="FFFFFF" w:color="auto" w:val="clear"/>
          </w:tcPr>
          <w:p>
            <w:r>
              <w:rPr>
                <w:sz w:val="20"/>
                <w:szCs w:val="20"/>
              </w:rPr>
              <w:t xml:space="preserve">Redistribuição RRO (Comissão + Lucro + IRPJ + CSLL)</w:t>
            </w:r>
          </w:p>
        </w:tc>
        <w:tc>
          <w:tcPr>
            <w:tcW w:type="dxa" w:w="3100"/>
            <w:shd w:fill="FFFFFF" w:color="auto" w:val="clear"/>
          </w:tcPr>
          <w:p>
            <w:r>
              <w:rPr>
                <w:sz w:val="20"/>
                <w:szCs w:val="20"/>
              </w:rPr>
              <w:t xml:space="preserve">era etapa 16 — sem alteração de função</w:t>
            </w:r>
          </w:p>
        </w:tc>
      </w:tr>
      <w:tr>
        <w:tc>
          <w:tcPr>
            <w:tcW w:type="dxa" w:w="700"/>
            <w:shd w:fill="F2F6FA" w:color="auto" w:val="clear"/>
          </w:tcPr>
          <w:p>
            <w:r>
              <w:rPr>
                <w:sz w:val="20"/>
                <w:szCs w:val="20"/>
              </w:rPr>
              <w:t xml:space="preserve">19</w:t>
            </w:r>
          </w:p>
        </w:tc>
        <w:tc>
          <w:tcPr>
            <w:tcW w:type="dxa" w:w="6700"/>
            <w:shd w:fill="F2F6FA" w:color="auto" w:val="clear"/>
          </w:tcPr>
          <w:p>
            <w:r>
              <w:rPr>
                <w:sz w:val="20"/>
                <w:szCs w:val="20"/>
              </w:rPr>
              <w:t xml:space="preserve">Consolidação final da operação</w:t>
            </w:r>
          </w:p>
        </w:tc>
        <w:tc>
          <w:tcPr>
            <w:tcW w:type="dxa" w:w="3100"/>
            <w:shd w:fill="F2F6FA" w:color="auto" w:val="clear"/>
          </w:tcPr>
          <w:p>
            <w:r>
              <w:rPr>
                <w:sz w:val="20"/>
                <w:szCs w:val="20"/>
              </w:rPr>
              <w:t xml:space="preserve">era etapa 17</w:t>
            </w:r>
          </w:p>
        </w:tc>
      </w:tr>
    </w:tbl>
    <w:p>
      <w:pPr>
        <w:pStyle w:val="Heading2"/>
        <w:spacing w:after="150" w:before="300"/>
      </w:pPr>
      <w:r>
        <w:t xml:space="preserve">3.3 Tratamento em cenários multiproduto (agrupamento seletivo de RT)</w:t>
      </w:r>
    </w:p>
    <w:p>
      <w:pPr>
        <w:spacing w:after="120"/>
      </w:pPr>
      <w:r>
        <w:t xml:space="preserve">A cascata agrupa valores por categoria em cada etapa de consolidação. Em orçamentos com múltiplos produtos, é comum que apenas parte dos itens tenha RT configurado. A regra a ser implementada:</w:t>
      </w:r>
    </w:p>
    <w:p>
      <w:pPr>
        <w:pStyle w:val="ListParagraph"/>
        <w:numPr>
          <w:ilvl w:val="0"/>
          <w:numId w:val="1"/>
        </w:numPr>
        <w:spacing w:after="80"/>
      </w:pPr>
      <w:r>
        <w:t xml:space="preserve">Nas etapas 6 e 16 (Consolidação do RT, pré e pós-desconto), somar exclusivamente os valores de RT dos produtos que efetivamente possuem RT configurado (RT &gt; 0%).</w:t>
      </w:r>
    </w:p>
    <w:p>
      <w:pPr>
        <w:pStyle w:val="ListParagraph"/>
        <w:numPr>
          <w:ilvl w:val="0"/>
          <w:numId w:val="1"/>
        </w:numPr>
        <w:spacing w:after="80"/>
      </w:pPr>
      <w:r>
        <w:t xml:space="preserve">Produtos sem RT configurado (RT = 0% ou campo ausente) contribuem com valor zero nessa etapa, sem gerar erro, sem quebrar o fechamento da cascata e sem exigir tratamento condicional especial nas demais etapas.</w:t>
      </w:r>
    </w:p>
    <w:p>
      <w:pPr>
        <w:pStyle w:val="ListParagraph"/>
        <w:numPr>
          <w:ilvl w:val="0"/>
          <w:numId w:val="1"/>
        </w:numPr>
        <w:spacing w:after="80"/>
      </w:pPr>
      <w:r>
        <w:t xml:space="preserve">O restante do fluxo de cálculo (despesas, margens, tributos, desconto, RRO, redistribuição) permanece agregado normalmente sobre a base consolidada de todos os produtos, como já ocorre hoje.</w:t>
      </w:r>
    </w:p>
    <w:p>
      <w:pPr>
        <w:spacing w:after="120"/>
      </w:pPr>
      <w:r>
        <w:t xml:space="preserve">Em outras palavras: a etapa de RT deve comportar-se como uma consolidação normal de categoria — soma apenas do que existe — igual às demais etapas de consolidação já presentes na estrutura (ex.: Consolidação dos custos, Consolidação das despesas operacionais).</w:t>
      </w:r>
    </w:p>
    <w:p>
      <w:pPr>
        <w:pStyle w:val="Heading2"/>
        <w:spacing w:after="150" w:before="300"/>
      </w:pPr>
      <w:r>
        <w:t xml:space="preserve">3.4 Mecânica de cálculo do RT: alíquota efetiva congelada</w:t>
      </w:r>
    </w:p>
    <w:p>
      <w:pPr>
        <w:spacing w:after="120"/>
      </w:pPr>
      <w:r>
        <w:t xml:space="preserve">A etapa de Consolidação do RT (pré-desconto, posição 6) deve seguir a seguinte mecânica, válida tanto para orçamento de produto único quanto multiproduto:</w:t>
      </w:r>
    </w:p>
    <w:p>
      <w:pPr>
        <w:pStyle w:val="ListParagraph"/>
        <w:numPr>
          <w:ilvl w:val="0"/>
          <w:numId w:val="1"/>
        </w:numPr>
        <w:spacing w:after="80"/>
      </w:pPr>
      <w:r>
        <w:t xml:space="preserve">Somar o valor de RT de todos os produtos da categoria que possuem RT configurado, obtendo o valor total de RT do orçamento.</w:t>
      </w:r>
    </w:p>
    <w:p>
      <w:pPr>
        <w:pStyle w:val="ListParagraph"/>
        <w:numPr>
          <w:ilvl w:val="0"/>
          <w:numId w:val="1"/>
        </w:numPr>
        <w:spacing w:after="80"/>
      </w:pPr>
      <w:r>
        <w:t xml:space="preserve">A partir desse valor total, calcular o percentual efetivo do RT sobre a Operação Interna (mesma lógica de alíquota efetiva já aplicada às demais categorias da cascata, como Comissão e Lucro).</w:t>
      </w:r>
    </w:p>
    <w:p>
      <w:pPr>
        <w:pStyle w:val="ListParagraph"/>
        <w:numPr>
          <w:ilvl w:val="0"/>
          <w:numId w:val="1"/>
        </w:numPr>
        <w:spacing w:after="80"/>
      </w:pPr>
      <w:r>
        <w:t xml:space="preserve">Esse percentual efetivo apurado na etapa 6 (pré-desconto) é CONGELADO — ou seja, torna-se um valor fixo de referência que não é recalculado do zero na fase pós-desconto.</w:t>
      </w:r>
    </w:p>
    <w:p>
      <w:pPr>
        <w:spacing w:after="120"/>
      </w:pPr>
      <w:r>
        <w:t xml:space="preserve">Na etapa de Consolidação do RT pós-desconto (posição 16), a redução do RT não é recalculada a partir dos valores brutos novamente — ela aplica a alíquota já congelada (apurada na etapa 6) sobre a Operação Interna pós-desconto. Ou seja, o desconto reduz a base (Operação Interna), e a alíquota congelada do RT incide sobre essa nova base menor, produzindo o valor de RT já reduzido proporcionalmente ao desconto aplicado — preservando a coerência percentual entre as fases pré e pós-desconto.</w:t>
      </w:r>
    </w:p>
    <w:p>
      <w:pPr>
        <w:spacing w:after="120"/>
      </w:pPr>
      <w:r>
        <w:t xml:space="preserve">Essa lógica é idêntica em espírito ao tratamento já dado a Comissão, Lucro, IRPJ e CSLL na cascata: a alíquota é fixada uma vez sobre a base de referência e reaplicada sobre a base reduzida pós-desconto, preservando a proporcionalidade e a integridade da precificação original do produto.</w:t>
      </w:r>
    </w:p>
    <w:p>
      <w:pPr>
        <w:pStyle w:val="Heading1"/>
        <w:spacing w:after="200" w:before="400"/>
      </w:pPr>
      <w:r>
        <w:t xml:space="preserve">4. Operação por Fora — Representação Obrigatória na Cascata</w:t>
      </w:r>
    </w:p>
    <w:p>
      <w:pPr>
        <w:spacing w:after="120"/>
      </w:pPr>
      <w:r>
        <w:t xml:space="preserve">Regra inviolável: quando um produto do orçamento possuir valores de precificação por fora (tributos calculados "por fora", fora da base de preço, em vez de "por dentro"), esses valores devem obrigatoriamente estar representados dentro da estrutura da cascata — nunca tratados à parte ou omitidos das etapas.</w:t>
      </w:r>
    </w:p>
    <w:p>
      <w:pPr>
        <w:spacing w:after="120"/>
      </w:pPr>
      <w:r>
        <w:t xml:space="preserve">Nesses casos, os valores da Operação por Fora são abatidos na cascata por peso (ponderação entre Operação Interna e Operação Externa), seguindo a mesma lógica de pesos estruturais já existente na etapa de Pesos Estruturais (posição 11) e na etapa de Âncora Interna pós-desconto (posição 13). Ou seja: a cascata já possui a estrutura de pesos Op. Interna / Op. Externa — essa estrutura deve ser respeitada e utilizada de forma consistente em todas as etapas afetadas pela presença de valores por fora, garantindo que nada do cálculo por fora fique invisível ou fora da auditoria da cascata.</w:t>
      </w:r>
    </w:p>
    <w:p>
      <w:pPr>
        <w:spacing w:after="120"/>
      </w:pPr>
      <w:r>
        <w:t xml:space="preserve">Autonomia de implementação: caso a estrutura atual das 19 etapas não seja suficiente para representar adequadamente a precificação por fora em algum ponto do fluxo, o desenvolvedor/LLM responsável pela implementação tem autonomia para acrescentar etapas adicionais à cascata, desde que documentadas no arquivo estrutural do sistema, seguindo o mesmo padrão de nomenclatura e posicionamento lógico já estabelecido neste documento.</w:t>
      </w:r>
    </w:p>
    <w:p>
      <w:pPr>
        <w:pStyle w:val="Heading2"/>
        <w:spacing w:after="150" w:before="300"/>
      </w:pPr>
      <w:r>
        <w:t xml:space="preserve">4.1 Nomenclatura individualizada dos tributos por fora</w:t>
      </w:r>
    </w:p>
    <w:p>
      <w:pPr>
        <w:spacing w:after="120"/>
      </w:pPr>
      <w:r>
        <w:t xml:space="preserve">Na etapa final de apuração dos impostos por fora, a cascata deve exibir cada tributo nominalmente, com sua própria alíquota efetiva — seguindo o mesmo padrão já usado na cascata tributária dos tributos por dentro (onde ICMS, ISS e PIS/COFINS aparecem como sub-itens nomeados, cada um com sua alíquota efetiva e valor, dentro da etapa 'Cascata tributária').</w:t>
      </w:r>
    </w:p>
    <w:p>
      <w:pPr>
        <w:spacing w:after="120"/>
      </w:pPr>
      <w:r>
        <w:t xml:space="preserve">Especificamente, os tributos da Reforma Tributária (LC 214/2025) tratados por fora — IBS, CBS e IS (Imposto Seletivo), além de quaisquer outros tributos por fora aplicáveis — devem aparecer individualmente na cascata, cada um com:</w:t>
      </w:r>
    </w:p>
    <w:p>
      <w:pPr>
        <w:pStyle w:val="ListParagraph"/>
        <w:numPr>
          <w:ilvl w:val="0"/>
          <w:numId w:val="1"/>
        </w:numPr>
        <w:spacing w:after="80"/>
      </w:pPr>
      <w:r>
        <w:t xml:space="preserve">Nome do tributo por extenso/sigla (ex.: IBS, CBS, IS).</w:t>
      </w:r>
    </w:p>
    <w:p>
      <w:pPr>
        <w:pStyle w:val="ListParagraph"/>
        <w:numPr>
          <w:ilvl w:val="0"/>
          <w:numId w:val="1"/>
        </w:numPr>
        <w:spacing w:after="80"/>
      </w:pPr>
      <w:r>
        <w:t xml:space="preserve">Alíquota efetiva aplicada, calculada sobre o valor da própria operação por fora (ou sobre o total, conforme a base de incidência de cada tributo).</w:t>
      </w:r>
    </w:p>
    <w:p>
      <w:pPr>
        <w:pStyle w:val="ListParagraph"/>
        <w:numPr>
          <w:ilvl w:val="0"/>
          <w:numId w:val="1"/>
        </w:numPr>
        <w:spacing w:after="80"/>
      </w:pPr>
      <w:r>
        <w:t xml:space="preserve">Valor em R$ resultante daquele tributo especificamente.</w:t>
      </w:r>
    </w:p>
    <w:p>
      <w:pPr>
        <w:spacing w:after="120"/>
      </w:pPr>
      <w:r>
        <w:t xml:space="preserve">Essa estrutura deve ser tão apresentável e auditável quanto a sub-listagem já existente para os tributos por dentro, permitindo que a gestão da empresa audite exatamente qual tributo por fora está incidindo, com qual alíquota efetiva, e qual o impacto de cada um isoladamente no resultado final do orçamento.</w:t>
      </w:r>
    </w:p>
    <w:p>
      <w:pPr>
        <w:pStyle w:val="Heading1"/>
        <w:spacing w:after="200" w:before="400"/>
      </w:pPr>
      <w:r>
        <w:t xml:space="preserve">5. Propósito da Memória Cascata</w:t>
      </w:r>
    </w:p>
    <w:p>
      <w:pPr>
        <w:spacing w:after="120"/>
      </w:pPr>
      <w:r>
        <w:t xml:space="preserve">A Memória Cascata funciona como uma auditoria completa de construção e desconstrução dos valores do orçamento — mostrando, etapa a etapa, como o preço é formado (pré-desconto) e como ele é reduzido e redistribuído (pós-desconto). Esse é o motivo pelo qual a regra de inviolabilidade (Seção 6) é crítica: qualquer ausência ou falha na cascata compromete diretamente a capacidade da gestão da empresa de entender e confiar na precificação e no resultado financeiro apresentado.</w:t>
      </w:r>
    </w:p>
    <w:p>
      <w:pPr>
        <w:pStyle w:val="Heading1"/>
        <w:spacing w:after="200" w:before="400"/>
      </w:pPr>
      <w:r>
        <w:t xml:space="preserve">6. Regra de Inviolabilidade da Cascata</w:t>
      </w:r>
    </w:p>
    <w:p>
      <w:pPr>
        <w:spacing w:after="120"/>
      </w:pPr>
      <w:r>
        <w:rPr>
          <w:b/>
          <w:bCs/>
        </w:rPr>
        <w:t xml:space="preserve">Estabelece-se a seguinte regra como requisito não-funcional permanente do sistema, com prioridade máxima sobre qualquer feature ou variação de dados:</w:t>
      </w:r>
    </w:p>
    <w:p>
      <w:pPr>
        <w:pBdr>
          <w:left w:val="single" w:color="1F4E79" w:sz="18" w:space="8"/>
        </w:pBdr>
        <w:spacing w:after="200" w:before="100"/>
        <w:ind w:left="400"/>
      </w:pPr>
      <w:r>
        <w:rPr>
          <w:i/>
          <w:iCs/>
        </w:rPr>
        <w:t xml:space="preserve">A Memória Cascata deve permanecer visível e funcional em qualquer orçamento, independentemente da quantidade de produtos, do tipo de produto, da presença ou ausência de RT, de qualquer alíquota zerada, do modo de cálculo (operação por dentro ou por fora), ou de qualquer outra variação de configuração. Isso vale tanto para produtos cadastrados antes da introdução do campo RT (produtos antigos, sem RT) quanto para produtos cadastrados após essa mudança (produtos novos, com ou sem RT configurado) — em nenhuma das duas situações a cascata pode deixar de aparecer. A cascata nunca pode falhar silenciosamente nem deixar de renderizar.</w:t>
      </w:r>
    </w:p>
    <w:p>
      <w:pPr>
        <w:spacing w:after="120"/>
      </w:pPr>
      <w:r>
        <w:t xml:space="preserve">Implicações técnicas desta regra:</w:t>
      </w:r>
    </w:p>
    <w:p>
      <w:pPr>
        <w:pStyle w:val="ListParagraph"/>
        <w:numPr>
          <w:ilvl w:val="0"/>
          <w:numId w:val="1"/>
        </w:numPr>
        <w:spacing w:after="80"/>
      </w:pPr>
      <w:r>
        <w:t xml:space="preserve">Compatibilidade retroativa obrigatória: orçamentos e produtos criados antes da existência do campo RT devem continuar funcionando exatamente como hoje — a etapa de Consolidação do RT (pré e pós-desconto) deve tratar a ausência do campo RT como RT = 0%, nunca como erro ou dado faltante que impeça o cálculo.</w:t>
      </w:r>
    </w:p>
    <w:p>
      <w:pPr>
        <w:pStyle w:val="ListParagraph"/>
        <w:numPr>
          <w:ilvl w:val="0"/>
          <w:numId w:val="1"/>
        </w:numPr>
        <w:spacing w:after="80"/>
      </w:pPr>
      <w:r>
        <w:t xml:space="preserve">Nenhuma etapa da cascata pode gerar erro fatal de cálculo (NaN, undefined, divisão por zero) quando uma variável de entrada for zero ou ausente — cada etapa deve ter tratamento explícito para valor zero, resultando em R$ 0,00 na etapa, nunca em falha de renderização do componente.</w:t>
      </w:r>
    </w:p>
    <w:p>
      <w:pPr>
        <w:pStyle w:val="ListParagraph"/>
        <w:numPr>
          <w:ilvl w:val="0"/>
          <w:numId w:val="1"/>
        </w:numPr>
        <w:spacing w:after="80"/>
      </w:pPr>
      <w:r>
        <w:t xml:space="preserve">A validação de fechamento matemático da cascata deve ocorrer etapa a etapa, com log de auditoria em caso de divergência — nunca com omissão silenciosa do componente inteiro na interface.</w:t>
      </w:r>
    </w:p>
    <w:p>
      <w:pPr>
        <w:pStyle w:val="ListParagraph"/>
        <w:numPr>
          <w:ilvl w:val="0"/>
          <w:numId w:val="1"/>
        </w:numPr>
        <w:spacing w:after="80"/>
      </w:pPr>
      <w:r>
        <w:t xml:space="preserve">Testes de regressão devem cobrir obrigatoriamente: produto antigo (cadastrado antes do campo RT existir); produto novo sem RT; produto novo com RT; orçamento com 1 produto sem RT; orçamento com 1 produto com RT; orçamento multiproduto misto (produtos antigos e novos, com e sem RT); orçamento com comissão zerada; orçamento com desconto zerado; orçamento com todas as alíquotas adicionais zeradas.</w:t>
      </w:r>
    </w:p>
    <w:p>
      <w:pPr>
        <w:pStyle w:val="ListParagraph"/>
        <w:numPr>
          <w:ilvl w:val="0"/>
          <w:numId w:val="1"/>
        </w:numPr>
        <w:spacing w:after="80"/>
      </w:pPr>
      <w:r>
        <w:t xml:space="preserve">Os cards de resultado (Comissão do Vendedor, Lucro da Empresa, e demais indicadores de resumo) devem sempre ler da etapa de Redistribuição RRO (posição 18) como fonte única de verdade — nunca calcular em paralelo à cascata.</w:t>
      </w:r>
    </w:p>
    <w:p>
      <w:pPr>
        <w:pBdr>
          <w:bottom w:val="single" w:color="999999" w:sz="6" w:space="1"/>
        </w:pBdr>
        <w:spacing w:after="200" w:before="200"/>
      </w:pPr>
    </w:p>
    <w:p>
      <w:pPr>
        <w:spacing w:after="120"/>
      </w:pPr>
      <w:r>
        <w:rPr>
          <w:i/>
          <w:iCs/>
          <w:color w:val="888888"/>
          <w:sz w:val="18"/>
          <w:szCs w:val="18"/>
        </w:rPr>
        <w:t xml:space="preserve">Fim do relatório.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2026-07-14T14:40:08.046Z</dcterms:created>
  <dcterms:modified xsi:type="dcterms:W3CDTF">2026-07-14T14:40:08.047Z</dcterms:modified>
</cp:coreProperties>
</file>

<file path=docProps/custom.xml><?xml version="1.0" encoding="utf-8"?>
<Properties xmlns="http://schemas.openxmlformats.org/officeDocument/2006/custom-properties" xmlns:vt="http://schemas.openxmlformats.org/officeDocument/2006/docPropsVTypes"/>
</file>