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80" w:before="0"/>
        <w:jc w:val="center"/>
      </w:pPr>
      <w:r>
        <w:rPr>
          <w:rFonts w:ascii="Arial" w:cs="Arial" w:eastAsia="Arial" w:hAnsi="Arial"/>
          <w:b/>
          <w:bCs/>
          <w:color w:val="1F4E79"/>
          <w:sz w:val="48"/>
          <w:szCs w:val="48"/>
        </w:rPr>
        <w:t xml:space="preserve">PRECIFICA CERTO</w:t>
      </w:r>
    </w:p>
    <w:p>
      <w:pPr>
        <w:spacing w:after="400" w:before="0"/>
        <w:jc w:val="center"/>
      </w:pPr>
      <w:r>
        <w:rPr>
          <w:rFonts w:ascii="Arial" w:cs="Arial" w:eastAsia="Arial" w:hAnsi="Arial"/>
          <w:color w:val="2E75B6"/>
          <w:sz w:val="28"/>
          <w:szCs w:val="28"/>
        </w:rPr>
        <w:t xml:space="preserve">Relatório Técnico de Ajustes e Implementações</w:t>
      </w:r>
    </w:p>
    <w:p>
      <w:pPr>
        <w:spacing w:after="80" w:before="0"/>
        <w:jc w:val="center"/>
      </w:pPr>
      <w:r>
        <w:rPr>
          <w:rFonts w:ascii="Arial" w:cs="Arial" w:eastAsia="Arial" w:hAnsi="Arial"/>
          <w:color w:val="808080"/>
          <w:sz w:val="20"/>
          <w:szCs w:val="20"/>
        </w:rPr>
        <w:t xml:space="preserve">Versão: 1.0   |   Data: 24/06/2026</w:t>
      </w:r>
    </w:p>
    <w:p>
      <w:pPr>
        <w:spacing w:after="80" w:before="0"/>
        <w:jc w:val="center"/>
      </w:pPr>
      <w:r>
        <w:rPr>
          <w:rFonts w:ascii="Arial" w:cs="Arial" w:eastAsia="Arial" w:hAnsi="Arial"/>
          <w:color w:val="808080"/>
          <w:sz w:val="20"/>
          <w:szCs w:val="20"/>
        </w:rPr>
        <w:t xml:space="preserve">Módulo: Comercial — Orçamentos</w:t>
      </w:r>
    </w:p>
    <w:p>
      <w:pPr>
        <w:spacing w:after="80" w:before="0"/>
        <w:jc w:val="center"/>
      </w:pPr>
      <w:r>
        <w:rPr>
          <w:rFonts w:ascii="Arial" w:cs="Arial" w:eastAsia="Arial" w:hAnsi="Arial"/>
          <w:color w:val="808080"/>
          <w:sz w:val="20"/>
          <w:szCs w:val="20"/>
        </w:rPr>
        <w:t xml:space="preserve">Destinatário: LLM de Implementação do Sistema</w:t>
      </w:r>
    </w:p>
    <w:p>
      <w:pPr>
        <w:spacing w:after="0" w:before="400"/>
      </w:pPr>
      <w:r>
        <w:t xml:space="preserve"/>
      </w:r>
    </w:p>
    <w:p>
      <w:pPr>
        <w:pBdr>
          <w:bottom w:val="single" w:color="2E75B6" w:sz="4" w:space="1"/>
        </w:pBdr>
        <w:spacing w:after="200" w:before="200"/>
      </w:pPr>
      <w:r>
        <w:t xml:space="preserve"/>
      </w:r>
    </w:p>
    <w:p>
      <w:pPr>
        <w:spacing w:after="0" w:before="200"/>
      </w:pPr>
      <w:r>
        <w:t xml:space="preserve"/>
      </w:r>
    </w:p>
    <w:p>
      <w:pPr>
        <w:pStyle w:val="Heading1"/>
        <w:spacing w:after="200" w:before="400"/>
      </w:pPr>
      <w:r>
        <w:rPr>
          <w:rFonts w:ascii="Arial" w:cs="Arial" w:eastAsia="Arial" w:hAnsi="Arial"/>
          <w:b/>
          <w:bCs/>
          <w:color w:val="1F4E79"/>
          <w:sz w:val="32"/>
          <w:szCs w:val="32"/>
        </w:rPr>
        <w:t xml:space="preserve">Introdução</w:t>
      </w:r>
    </w:p>
    <w:p>
      <w:pPr>
        <w:spacing w:after="120" w:before="80"/>
      </w:pPr>
      <w:r>
        <w:rPr>
          <w:rFonts w:ascii="Arial" w:cs="Arial" w:eastAsia="Arial" w:hAnsi="Arial"/>
          <w:sz w:val="22"/>
          <w:szCs w:val="22"/>
        </w:rPr>
        <w:t xml:space="preserve">Este documento tem por objetivo descrever, de forma técnica e detalhada, os ajustes e implementações necessários no sistema Precifica Certo, módulo Comercial — Orçamentos. O relatório é destinado à LLM responsável pela construção e manutenção do sistema, fornecendo todo o contexto, diagnóstico, regras de negócio e critérios de aceitação para cada alteração requerida.</w:t>
      </w:r>
    </w:p>
    <w:p>
      <w:pPr>
        <w:spacing w:after="120" w:before="80"/>
      </w:pPr>
      <w:r>
        <w:rPr>
          <w:rFonts w:ascii="Arial" w:cs="Arial" w:eastAsia="Arial" w:hAnsi="Arial"/>
          <w:sz w:val="22"/>
          <w:szCs w:val="22"/>
        </w:rPr>
        <w:t xml:space="preserve">Cada item está estruturado com: identificação do problema, comportamento atual (com o que está errado), comportamento esperado (o que deve ser implementado), regras de negócio completas e critérios de aceitação.</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4"/>
              <w:left w:val="single" w:color="2E75B6" w:sz="12"/>
              <w:bottom w:val="single" w:color="2E75B6" w:sz="4"/>
              <w:right w:val="single" w:color="2E75B6" w:sz="4"/>
            </w:tcBorders>
            <w:shd w:fill="E8F4FD" w:val="clear"/>
            <w:tcMar>
              <w:top w:type="dxa" w:w="120"/>
              <w:left w:type="dxa" w:w="180"/>
              <w:bottom w:type="dxa" w:w="120"/>
              <w:right w:type="dxa" w:w="120"/>
            </w:tcMar>
          </w:tcPr>
          <w:p>
            <w:r>
              <w:rPr>
                <w:rFonts w:ascii="Arial" w:cs="Arial" w:eastAsia="Arial" w:hAnsi="Arial"/>
                <w:i/>
                <w:iCs/>
                <w:sz w:val="20"/>
                <w:szCs w:val="20"/>
              </w:rPr>
              <w:t xml:space="preserve">FONTE DE VERDADE: Todas as regras de negócio, lógica de cálculo e estrutura da cascata descritas neste relatório já estão integralmente documentadas no Motor do Resultado Residual Operacional (Base de Conhecimento — PDF Motor RR + Excel Oficial). Este relatório NÃO cria regras novas — ele identifica onde o sistema não está aplicando corretamente o que já foi especificado. A implementação deve seguir rigorosamente a Base de Conhecimento como documento de referência, sem alterar nenhuma lógica já estabelecida.</w:t>
            </w:r>
          </w:p>
        </w:tc>
      </w:tr>
    </w:tbl>
    <w:p>
      <w:pPr>
        <w:spacing w:after="0" w:before="100"/>
      </w:pPr>
      <w:r>
        <w:t xml:space="preserve"/>
      </w:r>
    </w:p>
    <w:p>
      <w:pPr>
        <w:pBdr>
          <w:bottom w:val="single" w:color="2E75B6" w:sz="4" w:space="1"/>
        </w:pBdr>
        <w:spacing w:after="200" w:before="200"/>
      </w:pPr>
      <w:r>
        <w:t xml:space="preserve"/>
      </w:r>
    </w:p>
    <w:p>
      <w:pPr>
        <w:pStyle w:val="Heading1"/>
        <w:spacing w:after="200" w:before="400"/>
      </w:pPr>
      <w:r>
        <w:rPr>
          <w:rFonts w:ascii="Arial" w:cs="Arial" w:eastAsia="Arial" w:hAnsi="Arial"/>
          <w:b/>
          <w:bCs/>
          <w:color w:val="1F4E79"/>
          <w:sz w:val="32"/>
          <w:szCs w:val="32"/>
        </w:rPr>
        <w:t xml:space="preserve">Ajuste 1 — PIS/COFINS na Memória Cascata dos Orçamentos</w:t>
      </w:r>
    </w:p>
    <w:p>
      <w:pPr>
        <w:pStyle w:val="Heading2"/>
        <w:spacing w:after="160" w:before="300"/>
      </w:pPr>
      <w:r>
        <w:rPr>
          <w:rFonts w:ascii="Arial" w:cs="Arial" w:eastAsia="Arial" w:hAnsi="Arial"/>
          <w:b/>
          <w:bCs/>
          <w:color w:val="2E75B6"/>
          <w:sz w:val="26"/>
          <w:szCs w:val="26"/>
        </w:rPr>
        <w:t xml:space="preserve">1.1 Identificação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4"/>
              <w:left w:val="single" w:color="2E75B6" w:sz="12"/>
              <w:bottom w:val="single" w:color="2E75B6" w:sz="4"/>
              <w:right w:val="single" w:color="2E75B6" w:sz="4"/>
            </w:tcBorders>
            <w:shd w:fill="E8F4FD" w:val="clear"/>
            <w:tcMar>
              <w:top w:type="dxa" w:w="120"/>
              <w:left w:type="dxa" w:w="180"/>
              <w:bottom w:type="dxa" w:w="120"/>
              <w:right w:type="dxa" w:w="120"/>
            </w:tcMar>
          </w:tcPr>
          <w:p>
            <w:r>
              <w:rPr>
                <w:rFonts w:ascii="Arial" w:cs="Arial" w:eastAsia="Arial" w:hAnsi="Arial"/>
                <w:i/>
                <w:iCs/>
                <w:sz w:val="20"/>
                <w:szCs w:val="20"/>
              </w:rPr>
              <w:t xml:space="preserve">Este ajuste corrige uma falha de implementação. A lógica de cálculo do PIS/COFINS na cascata já está especificada no Motor RR (Base de Conhecimento). O sistema deve passar a aplicar o que já está documentado, sem alterar nenhuma regra existente.</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000"/>
        <w:gridCol w:w="7026"/>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Módulo</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Comercial &gt; Orçamentos</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000"/>
        <w:gridCol w:w="7026"/>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Tela</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Editar Orçamento &gt; Memória Cascata (Motor RR Seção 10)</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000"/>
        <w:gridCol w:w="7026"/>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Etapa afetada</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Etapa 13B — PIS/COFINS da Cascata Tributária</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000"/>
        <w:gridCol w:w="7026"/>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Prioridade</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ALTA — impacta diretamente a apuração fiscal do orçamento</w:t>
            </w:r>
          </w:p>
        </w:tc>
      </w:tr>
    </w:tbl>
    <w:p>
      <w:pPr>
        <w:spacing w:after="0" w:before="200"/>
      </w:pPr>
      <w:r>
        <w:t xml:space="preserve"/>
      </w:r>
    </w:p>
    <w:p>
      <w:pPr>
        <w:pStyle w:val="Heading2"/>
        <w:spacing w:after="160" w:before="300"/>
      </w:pPr>
      <w:r>
        <w:rPr>
          <w:rFonts w:ascii="Arial" w:cs="Arial" w:eastAsia="Arial" w:hAnsi="Arial"/>
          <w:b/>
          <w:bCs/>
          <w:color w:val="2E75B6"/>
          <w:sz w:val="26"/>
          <w:szCs w:val="26"/>
        </w:rPr>
        <w:t xml:space="preserve">1.2 Comportamento Atual (Problema)</w:t>
      </w:r>
    </w:p>
    <w:p>
      <w:pPr>
        <w:spacing w:after="120" w:before="80"/>
      </w:pPr>
      <w:r>
        <w:rPr>
          <w:rFonts w:ascii="Arial" w:cs="Arial" w:eastAsia="Arial" w:hAnsi="Arial"/>
          <w:sz w:val="22"/>
          <w:szCs w:val="22"/>
        </w:rPr>
        <w:t xml:space="preserve">Na tela de Editar Orçamento, a seção Memória Cascata apresenta a Etapa 13 dividida em:</w:t>
      </w:r>
    </w:p>
    <w:p>
      <w:pPr>
        <w:pStyle w:val="ListParagraph"/>
        <w:numPr>
          <w:ilvl w:val="0"/>
          <w:numId w:val="2"/>
        </w:numPr>
        <w:spacing w:after="60" w:before="60"/>
      </w:pPr>
      <w:r>
        <w:rPr>
          <w:rFonts w:ascii="Arial" w:cs="Arial" w:eastAsia="Arial" w:hAnsi="Arial"/>
          <w:b w:val="false"/>
          <w:bCs w:val="false"/>
          <w:sz w:val="22"/>
          <w:szCs w:val="22"/>
        </w:rPr>
        <w:t xml:space="preserve">13A — ICMS: calculado corretamente sobre o faturamento, apresentando alíquota e valor</w:t>
      </w:r>
    </w:p>
    <w:p>
      <w:pPr>
        <w:pStyle w:val="ListParagraph"/>
        <w:numPr>
          <w:ilvl w:val="0"/>
          <w:numId w:val="2"/>
        </w:numPr>
        <w:spacing w:after="60" w:before="60"/>
      </w:pPr>
      <w:r>
        <w:rPr>
          <w:rFonts w:ascii="Arial" w:cs="Arial" w:eastAsia="Arial" w:hAnsi="Arial"/>
          <w:b w:val="false"/>
          <w:bCs w:val="false"/>
          <w:sz w:val="22"/>
          <w:szCs w:val="22"/>
        </w:rPr>
        <w:t xml:space="preserve">13B — PIS/COFINS: exibindo alíquota 0,00% e valor R$ 0,00</w:t>
      </w:r>
    </w:p>
    <w:p>
      <w:pPr>
        <w:spacing w:after="0" w:before="80"/>
      </w:pPr>
      <w:r>
        <w:t xml:space="preserve"/>
      </w:r>
    </w:p>
    <w:p>
      <w:pPr>
        <w:spacing w:after="120" w:before="80"/>
      </w:pPr>
      <w:r>
        <w:rPr>
          <w:rFonts w:ascii="Arial" w:cs="Arial" w:eastAsia="Arial" w:hAnsi="Arial"/>
          <w:sz w:val="22"/>
          <w:szCs w:val="22"/>
        </w:rPr>
        <w:t xml:space="preserve">O PIS/COFINS está sendo configurado corretamente no cadastro de cada produto (campo 'PIS/Cofins % NCM'), porém esse valor não está sendo lido, transportado nem aplicado na cascata do orçamento.</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C107" w:sz="4"/>
              <w:left w:val="single" w:color="FFC107" w:sz="12"/>
              <w:bottom w:val="single" w:color="FFC107" w:sz="4"/>
              <w:right w:val="single" w:color="FFC107" w:sz="4"/>
            </w:tcBorders>
            <w:shd w:fill="FFF3CD" w:val="clear"/>
            <w:tcMar>
              <w:top w:type="dxa" w:w="120"/>
              <w:left w:type="dxa" w:w="180"/>
              <w:bottom w:type="dxa" w:w="120"/>
              <w:right w:type="dxa" w:w="120"/>
            </w:tcMar>
          </w:tcPr>
          <w:p>
            <w:r>
              <w:rPr>
                <w:rFonts w:ascii="Arial" w:cs="Arial" w:eastAsia="Arial" w:hAnsi="Arial"/>
                <w:i/>
                <w:iCs/>
                <w:sz w:val="20"/>
                <w:szCs w:val="20"/>
              </w:rPr>
              <w:t xml:space="preserve">Evidência observada: No produto de exemplo, PIS/Cofins configurado como 4,325% (R$ 3.998,45) no cadastro do produto. Na cascata do orçamento (Etapa 13B), alíquota aparece como 0,00% e valor como R$ 0,00.</w:t>
            </w:r>
          </w:p>
        </w:tc>
      </w:tr>
    </w:tbl>
    <w:p>
      <w:pPr>
        <w:spacing w:after="0" w:before="120"/>
      </w:pPr>
      <w:r>
        <w:t xml:space="preserve"/>
      </w:r>
    </w:p>
    <w:p>
      <w:pPr>
        <w:pStyle w:val="Heading2"/>
        <w:spacing w:after="160" w:before="300"/>
      </w:pPr>
      <w:r>
        <w:rPr>
          <w:rFonts w:ascii="Arial" w:cs="Arial" w:eastAsia="Arial" w:hAnsi="Arial"/>
          <w:b/>
          <w:bCs/>
          <w:color w:val="2E75B6"/>
          <w:sz w:val="26"/>
          <w:szCs w:val="26"/>
        </w:rPr>
        <w:t xml:space="preserve">1.3 Comportamento Esperado (Solução)</w:t>
      </w:r>
    </w:p>
    <w:p>
      <w:pPr>
        <w:spacing w:after="120" w:before="80"/>
      </w:pPr>
      <w:r>
        <w:rPr>
          <w:rFonts w:ascii="Arial" w:cs="Arial" w:eastAsia="Arial" w:hAnsi="Arial"/>
          <w:sz w:val="22"/>
          <w:szCs w:val="22"/>
        </w:rPr>
        <w:t xml:space="preserve">A Etapa 13B deve calcular e exibir corretamente a alíquota efetiva de PIS/COFINS do orçamento, considerando todos os produtos individualmente e consolidando sobre a Operação Interna total.</w:t>
      </w:r>
    </w:p>
    <w:p>
      <w:pPr>
        <w:spacing w:after="0" w:before="100"/>
      </w:pPr>
      <w:r>
        <w:t xml:space="preserve"/>
      </w:r>
    </w:p>
    <w:p>
      <w:pPr>
        <w:pStyle w:val="Heading2"/>
        <w:spacing w:after="160" w:before="300"/>
      </w:pPr>
      <w:r>
        <w:rPr>
          <w:rFonts w:ascii="Arial" w:cs="Arial" w:eastAsia="Arial" w:hAnsi="Arial"/>
          <w:b/>
          <w:bCs/>
          <w:color w:val="2E75B6"/>
          <w:sz w:val="26"/>
          <w:szCs w:val="26"/>
        </w:rPr>
        <w:t xml:space="preserve">1.4 Regras de Negócio — Cálculo do PIS/COFINS Efetivo</w:t>
      </w:r>
    </w:p>
    <w:p>
      <w:pPr>
        <w:spacing w:after="120" w:before="240"/>
      </w:pPr>
      <w:r>
        <w:rPr>
          <w:rFonts w:ascii="Arial" w:cs="Arial" w:eastAsia="Arial" w:hAnsi="Arial"/>
          <w:b/>
          <w:bCs/>
          <w:color w:val="404040"/>
          <w:sz w:val="24"/>
          <w:szCs w:val="24"/>
        </w:rPr>
        <w:t xml:space="preserve">Passo 1 — Apuração por produto</w:t>
      </w:r>
    </w:p>
    <w:p>
      <w:pPr>
        <w:spacing w:after="120" w:before="80"/>
      </w:pPr>
      <w:r>
        <w:rPr>
          <w:rFonts w:ascii="Arial" w:cs="Arial" w:eastAsia="Arial" w:hAnsi="Arial"/>
          <w:sz w:val="22"/>
          <w:szCs w:val="22"/>
        </w:rPr>
        <w:t xml:space="preserve">Para cada produto presente no orçamento, calcular: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E1E1E" w:val="clear"/>
            <w:tcMar>
              <w:top w:type="dxa" w:w="100"/>
              <w:left w:type="dxa" w:w="160"/>
              <w:bottom w:type="dxa" w:w="100"/>
              <w:right w:type="dxa" w:w="160"/>
            </w:tcMar>
          </w:tcPr>
          <w:p>
            <w:r>
              <w:rPr>
                <w:rFonts w:ascii="Courier New" w:cs="Courier New" w:eastAsia="Courier New" w:hAnsi="Courier New"/>
                <w:color w:val="D4D4D4"/>
                <w:sz w:val="18"/>
                <w:szCs w:val="18"/>
              </w:rPr>
              <w:t xml:space="preserve">Valor PIS/COFINS do produto = Operação Interna do produto × Alíquota PIS/COFINS individual do produto</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4"/>
              <w:left w:val="single" w:color="2E75B6" w:sz="12"/>
              <w:bottom w:val="single" w:color="2E75B6" w:sz="4"/>
              <w:right w:val="single" w:color="2E75B6" w:sz="4"/>
            </w:tcBorders>
            <w:shd w:fill="E8F4FD" w:val="clear"/>
            <w:tcMar>
              <w:top w:type="dxa" w:w="120"/>
              <w:left w:type="dxa" w:w="180"/>
              <w:bottom w:type="dxa" w:w="120"/>
              <w:right w:type="dxa" w:w="120"/>
            </w:tcMar>
          </w:tcPr>
          <w:p>
            <w:r>
              <w:rPr>
                <w:rFonts w:ascii="Arial" w:cs="Arial" w:eastAsia="Arial" w:hAnsi="Arial"/>
                <w:i/>
                <w:iCs/>
                <w:sz w:val="20"/>
                <w:szCs w:val="20"/>
              </w:rPr>
              <w:t xml:space="preserve">IMPORTANTE: A base de cálculo é sempre a Operação Interna do produto (preço por dentro), nunca o valor total do produto que inclui impostos por fora (IPI, frete, etc.).</w:t>
            </w:r>
          </w:p>
        </w:tc>
      </w:tr>
    </w:tbl>
    <w:p>
      <w:pPr>
        <w:spacing w:after="0" w:before="100"/>
      </w:pPr>
      <w:r>
        <w:t xml:space="preserve"/>
      </w:r>
    </w:p>
    <w:p>
      <w:pPr>
        <w:spacing w:after="120" w:before="240"/>
      </w:pPr>
      <w:r>
        <w:rPr>
          <w:rFonts w:ascii="Arial" w:cs="Arial" w:eastAsia="Arial" w:hAnsi="Arial"/>
          <w:b/>
          <w:bCs/>
          <w:color w:val="404040"/>
          <w:sz w:val="24"/>
          <w:szCs w:val="24"/>
        </w:rPr>
        <w:t xml:space="preserve">Passo 2 — Somatória dos valores apurados</w:t>
      </w:r>
    </w:p>
    <w:p>
      <w:pPr>
        <w:spacing w:after="120" w:before="80"/>
      </w:pPr>
      <w:r>
        <w:rPr>
          <w:rFonts w:ascii="Arial" w:cs="Arial" w:eastAsia="Arial" w:hAnsi="Arial"/>
          <w:sz w:val="22"/>
          <w:szCs w:val="22"/>
        </w:rPr>
        <w:t xml:space="preserve">Somar os valores de PIS/COFINS de todos os produtos do orçamento: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E1E1E" w:val="clear"/>
            <w:tcMar>
              <w:top w:type="dxa" w:w="100"/>
              <w:left w:type="dxa" w:w="160"/>
              <w:bottom w:type="dxa" w:w="100"/>
              <w:right w:type="dxa" w:w="160"/>
            </w:tcMar>
          </w:tcPr>
          <w:p>
            <w:r>
              <w:rPr>
                <w:rFonts w:ascii="Courier New" w:cs="Courier New" w:eastAsia="Courier New" w:hAnsi="Courier New"/>
                <w:color w:val="D4D4D4"/>
                <w:sz w:val="18"/>
                <w:szCs w:val="18"/>
              </w:rPr>
              <w:t xml:space="preserve">Total PIS/COFINS = Soma(Valor PIS/COFINS de cada produto)</w:t>
            </w:r>
          </w:p>
        </w:tc>
      </w:tr>
    </w:tbl>
    <w:p>
      <w:pPr>
        <w:spacing w:after="0" w:before="80"/>
      </w:pPr>
      <w:r>
        <w:t xml:space="preserve"/>
      </w:r>
    </w:p>
    <w:p>
      <w:pPr>
        <w:spacing w:after="120" w:before="80"/>
      </w:pPr>
      <w:r>
        <w:rPr>
          <w:rFonts w:ascii="Arial" w:cs="Arial" w:eastAsia="Arial" w:hAnsi="Arial"/>
          <w:sz w:val="22"/>
          <w:szCs w:val="22"/>
        </w:rPr>
        <w:t xml:space="preserve">Observação: produtos sem alíquota de PIS/COFINS cadastrada contribuem com R$ 0,00 para a somatória, sem gerar erro.</w:t>
      </w:r>
    </w:p>
    <w:p>
      <w:pPr>
        <w:spacing w:after="0" w:before="100"/>
      </w:pPr>
      <w:r>
        <w:t xml:space="preserve"/>
      </w:r>
    </w:p>
    <w:p>
      <w:pPr>
        <w:spacing w:after="120" w:before="240"/>
      </w:pPr>
      <w:r>
        <w:rPr>
          <w:rFonts w:ascii="Arial" w:cs="Arial" w:eastAsia="Arial" w:hAnsi="Arial"/>
          <w:b/>
          <w:bCs/>
          <w:color w:val="404040"/>
          <w:sz w:val="24"/>
          <w:szCs w:val="24"/>
        </w:rPr>
        <w:t xml:space="preserve">Passo 3 — Cálculo da alíquota efetiva</w:t>
      </w:r>
    </w:p>
    <w:p>
      <w:pPr>
        <w:spacing w:after="120" w:before="80"/>
      </w:pPr>
      <w:r>
        <w:rPr>
          <w:rFonts w:ascii="Arial" w:cs="Arial" w:eastAsia="Arial" w:hAnsi="Arial"/>
          <w:sz w:val="22"/>
          <w:szCs w:val="22"/>
        </w:rPr>
        <w:t xml:space="preserve">Calcular a alíquota efetiva sobre o total da Operação Interna do orçamento: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E1E1E" w:val="clear"/>
            <w:tcMar>
              <w:top w:type="dxa" w:w="100"/>
              <w:left w:type="dxa" w:w="160"/>
              <w:bottom w:type="dxa" w:w="100"/>
              <w:right w:type="dxa" w:w="160"/>
            </w:tcMar>
          </w:tcPr>
          <w:p>
            <w:r>
              <w:rPr>
                <w:rFonts w:ascii="Courier New" w:cs="Courier New" w:eastAsia="Courier New" w:hAnsi="Courier New"/>
                <w:color w:val="D4D4D4"/>
                <w:sz w:val="18"/>
                <w:szCs w:val="18"/>
              </w:rPr>
              <w:t xml:space="preserve">Alíquota Efetiva PIS/COFINS = Total PIS/COFINS ÷ Total da Operação Interna do orçamento</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4"/>
              <w:left w:val="single" w:color="2E75B6" w:sz="12"/>
              <w:bottom w:val="single" w:color="2E75B6" w:sz="4"/>
              <w:right w:val="single" w:color="2E75B6" w:sz="4"/>
            </w:tcBorders>
            <w:shd w:fill="E8F4FD" w:val="clear"/>
            <w:tcMar>
              <w:top w:type="dxa" w:w="120"/>
              <w:left w:type="dxa" w:w="180"/>
              <w:bottom w:type="dxa" w:w="120"/>
              <w:right w:type="dxa" w:w="120"/>
            </w:tcMar>
          </w:tcPr>
          <w:p>
            <w:r>
              <w:rPr>
                <w:rFonts w:ascii="Arial" w:cs="Arial" w:eastAsia="Arial" w:hAnsi="Arial"/>
                <w:i/>
                <w:iCs/>
                <w:sz w:val="20"/>
                <w:szCs w:val="20"/>
              </w:rPr>
              <w:t xml:space="preserve">A Operação Interna total do orçamento é a âncora de referência para este cálculo. Não usar o valor total do orçamento (que inclui impostos por fora).</w:t>
            </w:r>
          </w:p>
        </w:tc>
      </w:tr>
    </w:tbl>
    <w:p>
      <w:pPr>
        <w:spacing w:after="0" w:before="100"/>
      </w:pPr>
      <w:r>
        <w:t xml:space="preserve"/>
      </w:r>
    </w:p>
    <w:p>
      <w:pPr>
        <w:spacing w:after="120" w:before="240"/>
      </w:pPr>
      <w:r>
        <w:rPr>
          <w:rFonts w:ascii="Arial" w:cs="Arial" w:eastAsia="Arial" w:hAnsi="Arial"/>
          <w:b/>
          <w:bCs/>
          <w:color w:val="404040"/>
          <w:sz w:val="24"/>
          <w:szCs w:val="24"/>
        </w:rPr>
        <w:t xml:space="preserve">Passo 4 — Aplicação na Etapa 13B da Cascata</w:t>
      </w:r>
    </w:p>
    <w:p>
      <w:pPr>
        <w:spacing w:after="120" w:before="80"/>
      </w:pPr>
      <w:r>
        <w:rPr>
          <w:rFonts w:ascii="Arial" w:cs="Arial" w:eastAsia="Arial" w:hAnsi="Arial"/>
          <w:sz w:val="22"/>
          <w:szCs w:val="22"/>
        </w:rPr>
        <w:t xml:space="preserve">A alíquota efetiva calculada deve ser aplicada na Etapa 13B da Memória Cascata:</w:t>
      </w:r>
    </w:p>
    <w:p>
      <w:pPr>
        <w:pStyle w:val="ListParagraph"/>
        <w:numPr>
          <w:ilvl w:val="0"/>
          <w:numId w:val="2"/>
        </w:numPr>
        <w:spacing w:after="60" w:before="60"/>
      </w:pPr>
      <w:r>
        <w:rPr>
          <w:rFonts w:ascii="Arial" w:cs="Arial" w:eastAsia="Arial" w:hAnsi="Arial"/>
          <w:b w:val="false"/>
          <w:bCs w:val="false"/>
          <w:sz w:val="22"/>
          <w:szCs w:val="22"/>
        </w:rPr>
        <w:t xml:space="preserve">Base da Etapa 13B: resultado após o ICMS (Etapa 13A), ou seja, pós-ICMS</w:t>
      </w:r>
    </w:p>
    <w:p>
      <w:pPr>
        <w:pStyle w:val="ListParagraph"/>
        <w:numPr>
          <w:ilvl w:val="0"/>
          <w:numId w:val="2"/>
        </w:numPr>
        <w:spacing w:after="60" w:before="60"/>
      </w:pPr>
      <w:r>
        <w:rPr>
          <w:rFonts w:ascii="Arial" w:cs="Arial" w:eastAsia="Arial" w:hAnsi="Arial"/>
          <w:b w:val="false"/>
          <w:bCs w:val="false"/>
          <w:sz w:val="22"/>
          <w:szCs w:val="22"/>
        </w:rPr>
        <w:t xml:space="preserve">O PIS/COFINS incide por dentro sobre essa base</w:t>
      </w:r>
    </w:p>
    <w:p>
      <w:pPr>
        <w:pStyle w:val="ListParagraph"/>
        <w:numPr>
          <w:ilvl w:val="0"/>
          <w:numId w:val="2"/>
        </w:numPr>
        <w:spacing w:after="60" w:before="60"/>
      </w:pPr>
      <w:r>
        <w:rPr>
          <w:rFonts w:ascii="Arial" w:cs="Arial" w:eastAsia="Arial" w:hAnsi="Arial"/>
          <w:b w:val="false"/>
          <w:bCs w:val="false"/>
          <w:sz w:val="22"/>
          <w:szCs w:val="22"/>
        </w:rPr>
        <w:t xml:space="preserve">Respeitar a hierarquia já definida no Motor RR (PIS/COFINS após ICMS)</w:t>
      </w:r>
    </w:p>
    <w:p>
      <w:pPr>
        <w:pStyle w:val="ListParagraph"/>
        <w:numPr>
          <w:ilvl w:val="0"/>
          <w:numId w:val="2"/>
        </w:numPr>
        <w:spacing w:after="60" w:before="60"/>
      </w:pPr>
      <w:r>
        <w:rPr>
          <w:rFonts w:ascii="Arial" w:cs="Arial" w:eastAsia="Arial" w:hAnsi="Arial"/>
          <w:b w:val="false"/>
          <w:bCs w:val="false"/>
          <w:sz w:val="22"/>
          <w:szCs w:val="22"/>
        </w:rPr>
        <w:t xml:space="preserve">Exibir: alíquota efetiva e valor monetário calculado</w:t>
      </w:r>
    </w:p>
    <w:p>
      <w:pPr>
        <w:spacing w:after="0" w:before="100"/>
      </w:pPr>
      <w:r>
        <w:t xml:space="preserve"/>
      </w:r>
    </w:p>
    <w:p>
      <w:pPr>
        <w:spacing w:after="120" w:before="240"/>
      </w:pPr>
      <w:r>
        <w:rPr>
          <w:rFonts w:ascii="Arial" w:cs="Arial" w:eastAsia="Arial" w:hAnsi="Arial"/>
          <w:b/>
          <w:bCs/>
          <w:color w:val="404040"/>
          <w:sz w:val="24"/>
          <w:szCs w:val="24"/>
        </w:rPr>
        <w:t xml:space="preserve">Passo 5 — Comportamento com Desconto</w:t>
      </w:r>
    </w:p>
    <w:p>
      <w:pPr>
        <w:spacing w:after="120" w:before="80"/>
      </w:pPr>
      <w:r>
        <w:rPr>
          <w:rFonts w:ascii="Arial" w:cs="Arial" w:eastAsia="Arial" w:hAnsi="Arial"/>
          <w:sz w:val="22"/>
          <w:szCs w:val="22"/>
        </w:rPr>
        <w:t xml:space="preserve">Quando há desconto aplicado no orçamento:</w:t>
      </w:r>
    </w:p>
    <w:p>
      <w:pPr>
        <w:pStyle w:val="ListParagraph"/>
        <w:numPr>
          <w:ilvl w:val="0"/>
          <w:numId w:val="2"/>
        </w:numPr>
        <w:spacing w:after="60" w:before="60"/>
      </w:pPr>
      <w:r>
        <w:rPr>
          <w:rFonts w:ascii="Arial" w:cs="Arial" w:eastAsia="Arial" w:hAnsi="Arial"/>
          <w:b w:val="false"/>
          <w:bCs w:val="false"/>
          <w:sz w:val="22"/>
          <w:szCs w:val="22"/>
        </w:rPr>
        <w:t xml:space="preserve">A alíquota efetiva de PIS/COFINS é MANTIDA (calculada sobre os preços cheios da Operação Interna, sem desconto)</w:t>
      </w:r>
    </w:p>
    <w:p>
      <w:pPr>
        <w:pStyle w:val="ListParagraph"/>
        <w:numPr>
          <w:ilvl w:val="0"/>
          <w:numId w:val="2"/>
        </w:numPr>
        <w:spacing w:after="60" w:before="60"/>
      </w:pPr>
      <w:r>
        <w:rPr>
          <w:rFonts w:ascii="Arial" w:cs="Arial" w:eastAsia="Arial" w:hAnsi="Arial"/>
          <w:b w:val="false"/>
          <w:bCs w:val="false"/>
          <w:sz w:val="22"/>
          <w:szCs w:val="22"/>
        </w:rPr>
        <w:t xml:space="preserve">A alíquota efetiva é aplicada sobre a base pós-ICMS pós-desconto</w:t>
      </w:r>
    </w:p>
    <w:p>
      <w:pPr>
        <w:pStyle w:val="ListParagraph"/>
        <w:numPr>
          <w:ilvl w:val="0"/>
          <w:numId w:val="2"/>
        </w:numPr>
        <w:spacing w:after="60" w:before="60"/>
      </w:pPr>
      <w:r>
        <w:rPr>
          <w:rFonts w:ascii="Arial" w:cs="Arial" w:eastAsia="Arial" w:hAnsi="Arial"/>
          <w:b w:val="false"/>
          <w:bCs w:val="false"/>
          <w:sz w:val="22"/>
          <w:szCs w:val="22"/>
        </w:rPr>
        <w:t xml:space="preserve">Não recalcular a alíquota efetiva com base nos preços com desconto</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4"/>
              <w:left w:val="single" w:color="2E75B6" w:sz="12"/>
              <w:bottom w:val="single" w:color="2E75B6" w:sz="4"/>
              <w:right w:val="single" w:color="2E75B6" w:sz="4"/>
            </w:tcBorders>
            <w:shd w:fill="E8F4FD" w:val="clear"/>
            <w:tcMar>
              <w:top w:type="dxa" w:w="120"/>
              <w:left w:type="dxa" w:w="180"/>
              <w:bottom w:type="dxa" w:w="120"/>
              <w:right w:type="dxa" w:w="120"/>
            </w:tcMar>
          </w:tcPr>
          <w:p>
            <w:r>
              <w:rPr>
                <w:rFonts w:ascii="Arial" w:cs="Arial" w:eastAsia="Arial" w:hAnsi="Arial"/>
                <w:i/>
                <w:iCs/>
                <w:sz w:val="20"/>
                <w:szCs w:val="20"/>
              </w:rPr>
              <w:t xml:space="preserve">Regra: a alíquota efetiva é um atributo do mix de produtos do orçamento, não do valor negociado. O desconto afeta a base de aplicação, não a alíquota em si.</w:t>
            </w:r>
          </w:p>
        </w:tc>
      </w:tr>
    </w:tbl>
    <w:p>
      <w:pPr>
        <w:spacing w:after="0" w:before="100"/>
      </w:pPr>
      <w:r>
        <w:t xml:space="preserve"/>
      </w:r>
    </w:p>
    <w:p>
      <w:pPr>
        <w:pStyle w:val="Heading2"/>
        <w:spacing w:after="160" w:before="300"/>
      </w:pPr>
      <w:r>
        <w:rPr>
          <w:rFonts w:ascii="Arial" w:cs="Arial" w:eastAsia="Arial" w:hAnsi="Arial"/>
          <w:b/>
          <w:bCs/>
          <w:color w:val="2E75B6"/>
          <w:sz w:val="26"/>
          <w:szCs w:val="26"/>
        </w:rPr>
        <w:t xml:space="preserve">1.5 Exemplo Numérico Ilustrativo</w:t>
      </w:r>
    </w:p>
    <w:p>
      <w:pPr>
        <w:spacing w:after="120" w:before="80"/>
      </w:pPr>
      <w:r>
        <w:rPr>
          <w:rFonts w:ascii="Arial" w:cs="Arial" w:eastAsia="Arial" w:hAnsi="Arial"/>
          <w:sz w:val="22"/>
          <w:szCs w:val="22"/>
        </w:rPr>
        <w:t xml:space="preserve">Orçamento com 3 produtos: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26"/>
        <w:gridCol w:w="200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Produto</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 Interna</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Aliq. PIS/COF</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Valor PIS/COF</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Produto 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R$ 20.000,00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R$ 1.000,00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Produto B</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R$ 20.000,00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R$ 2.000,00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Produto 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R$ 10.000,00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R$ 300,00</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TOTAL</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R$ 50.000,00</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6,60% efetivo</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R$ 3.300,00</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E1E1E" w:val="clear"/>
            <w:tcMar>
              <w:top w:type="dxa" w:w="100"/>
              <w:left w:type="dxa" w:w="160"/>
              <w:bottom w:type="dxa" w:w="100"/>
              <w:right w:type="dxa" w:w="160"/>
            </w:tcMar>
          </w:tcPr>
          <w:p>
            <w:r>
              <w:rPr>
                <w:rFonts w:ascii="Courier New" w:cs="Courier New" w:eastAsia="Courier New" w:hAnsi="Courier New"/>
                <w:color w:val="D4D4D4"/>
                <w:sz w:val="18"/>
                <w:szCs w:val="18"/>
              </w:rPr>
              <w:t xml:space="preserve">Alíquota efetiva = R$ 3.300,00 ÷ R$ 50.000,00 = 6,60%</w:t>
            </w:r>
          </w:p>
          <w:p>
            <w:r>
              <w:rPr>
                <w:rFonts w:ascii="Courier New" w:cs="Courier New" w:eastAsia="Courier New" w:hAnsi="Courier New"/>
                <w:color w:val="D4D4D4"/>
                <w:sz w:val="18"/>
                <w:szCs w:val="18"/>
              </w:rPr>
              <w:t xml:space="preserve">Etapa 13B aplica 6,60% sobre a base pós-ICMS</w:t>
            </w:r>
          </w:p>
        </w:tc>
      </w:tr>
    </w:tbl>
    <w:p>
      <w:pPr>
        <w:spacing w:after="0" w:before="100"/>
      </w:pPr>
      <w:r>
        <w:t xml:space="preserve"/>
      </w:r>
    </w:p>
    <w:p>
      <w:pPr>
        <w:pStyle w:val="Heading2"/>
        <w:spacing w:after="160" w:before="300"/>
      </w:pPr>
      <w:r>
        <w:rPr>
          <w:rFonts w:ascii="Arial" w:cs="Arial" w:eastAsia="Arial" w:hAnsi="Arial"/>
          <w:b/>
          <w:bCs/>
          <w:color w:val="2E75B6"/>
          <w:sz w:val="26"/>
          <w:szCs w:val="26"/>
        </w:rPr>
        <w:t xml:space="preserve">1.6 Impacto nos Demais Elementos da Cascata</w:t>
      </w:r>
    </w:p>
    <w:p>
      <w:pPr>
        <w:spacing w:after="120" w:before="80"/>
      </w:pPr>
      <w:r>
        <w:rPr>
          <w:rFonts w:ascii="Arial" w:cs="Arial" w:eastAsia="Arial" w:hAnsi="Arial"/>
          <w:sz w:val="22"/>
          <w:szCs w:val="22"/>
        </w:rPr>
        <w:t xml:space="preserve">A correção desta etapa afetará diretamente os valores das etapas subsequentes da cascata:</w:t>
      </w:r>
    </w:p>
    <w:p>
      <w:pPr>
        <w:pStyle w:val="ListParagraph"/>
        <w:numPr>
          <w:ilvl w:val="0"/>
          <w:numId w:val="2"/>
        </w:numPr>
        <w:spacing w:after="60" w:before="60"/>
      </w:pPr>
      <w:r>
        <w:rPr>
          <w:rFonts w:ascii="Arial" w:cs="Arial" w:eastAsia="Arial" w:hAnsi="Arial"/>
          <w:b w:val="false"/>
          <w:bCs w:val="false"/>
          <w:sz w:val="22"/>
          <w:szCs w:val="22"/>
        </w:rPr>
        <w:t xml:space="preserve">Etapa 14 — Redução de Custos e Despesas: o valor do PIS/COFINS passa a ser deduzido corretamente</w:t>
      </w:r>
    </w:p>
    <w:p>
      <w:pPr>
        <w:pStyle w:val="ListParagraph"/>
        <w:numPr>
          <w:ilvl w:val="0"/>
          <w:numId w:val="2"/>
        </w:numPr>
        <w:spacing w:after="60" w:before="60"/>
      </w:pPr>
      <w:r>
        <w:rPr>
          <w:rFonts w:ascii="Arial" w:cs="Arial" w:eastAsia="Arial" w:hAnsi="Arial"/>
          <w:b w:val="false"/>
          <w:bCs w:val="false"/>
          <w:sz w:val="22"/>
          <w:szCs w:val="22"/>
        </w:rPr>
        <w:t xml:space="preserve">Etapa 15 — Resultado Residual Operacional (RRO): terá seu valor ajustado em função da dedução do PIS/COFINS</w:t>
      </w:r>
    </w:p>
    <w:p>
      <w:pPr>
        <w:pStyle w:val="ListParagraph"/>
        <w:numPr>
          <w:ilvl w:val="0"/>
          <w:numId w:val="2"/>
        </w:numPr>
        <w:spacing w:after="60" w:before="60"/>
      </w:pPr>
      <w:r>
        <w:rPr>
          <w:rFonts w:ascii="Arial" w:cs="Arial" w:eastAsia="Arial" w:hAnsi="Arial"/>
          <w:b w:val="false"/>
          <w:bCs w:val="false"/>
          <w:sz w:val="22"/>
          <w:szCs w:val="22"/>
        </w:rPr>
        <w:t xml:space="preserve">Etapa 16 — Redistribuição RRO (Comissão + Lucro + IRPJ + CSLL): valores de Comissão e Lucro serão recalculados sobre o RRO correto</w:t>
      </w:r>
    </w:p>
    <w:p>
      <w:pPr>
        <w:pStyle w:val="ListParagraph"/>
        <w:numPr>
          <w:ilvl w:val="0"/>
          <w:numId w:val="2"/>
        </w:numPr>
        <w:spacing w:after="60" w:before="60"/>
      </w:pPr>
      <w:r>
        <w:rPr>
          <w:rFonts w:ascii="Arial" w:cs="Arial" w:eastAsia="Arial" w:hAnsi="Arial"/>
          <w:b w:val="false"/>
          <w:bCs w:val="false"/>
          <w:sz w:val="22"/>
          <w:szCs w:val="22"/>
        </w:rPr>
        <w:t xml:space="preserve">Etapa 17 — Consolidação Final: resultado final permanece o mesmo (R$ 92.449,82 no exemplo), pois o PIS/COFINS já estava embutido no preço de venda</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C107" w:sz="4"/>
              <w:left w:val="single" w:color="FFC107" w:sz="12"/>
              <w:bottom w:val="single" w:color="FFC107" w:sz="4"/>
              <w:right w:val="single" w:color="FFC107" w:sz="4"/>
            </w:tcBorders>
            <w:shd w:fill="FFF3CD" w:val="clear"/>
            <w:tcMar>
              <w:top w:type="dxa" w:w="120"/>
              <w:left w:type="dxa" w:w="180"/>
              <w:bottom w:type="dxa" w:w="120"/>
              <w:right w:type="dxa" w:w="120"/>
            </w:tcMar>
          </w:tcPr>
          <w:p>
            <w:r>
              <w:rPr>
                <w:rFonts w:ascii="Arial" w:cs="Arial" w:eastAsia="Arial" w:hAnsi="Arial"/>
                <w:i/>
                <w:iCs/>
                <w:sz w:val="20"/>
                <w:szCs w:val="20"/>
              </w:rPr>
              <w:t xml:space="preserve">O preço de venda final do orçamento NÃO muda. O que muda é a distribuição interna do resultado: o RRO correto (menor, pois o PIS/COFINS é deduzido) redistribui valores menores para Comissão e Lucro.</w:t>
            </w:r>
          </w:p>
        </w:tc>
      </w:tr>
    </w:tbl>
    <w:p>
      <w:pPr>
        <w:spacing w:after="0" w:before="100"/>
      </w:pPr>
      <w:r>
        <w:t xml:space="preserve"/>
      </w:r>
    </w:p>
    <w:p>
      <w:pPr>
        <w:spacing w:after="120" w:before="240"/>
      </w:pPr>
      <w:r>
        <w:rPr>
          <w:rFonts w:ascii="Arial" w:cs="Arial" w:eastAsia="Arial" w:hAnsi="Arial"/>
          <w:b/>
          <w:bCs/>
          <w:color w:val="404040"/>
          <w:sz w:val="24"/>
          <w:szCs w:val="24"/>
        </w:rPr>
        <w:t xml:space="preserve">Adendo — Natureza Estática dos Custos e Despesas (Etapa 14)</w:t>
      </w:r>
    </w:p>
    <w:p>
      <w:pPr>
        <w:spacing w:after="120" w:before="80"/>
      </w:pPr>
      <w:r>
        <w:rPr>
          <w:rFonts w:ascii="Arial" w:cs="Arial" w:eastAsia="Arial" w:hAnsi="Arial"/>
          <w:sz w:val="22"/>
          <w:szCs w:val="22"/>
        </w:rPr>
        <w:t xml:space="preserve">É fundamental que a implementação compreenda e respeite a natureza dos componentes da Etapa 14 — Redução de Custos e Despesas:</w:t>
      </w:r>
    </w:p>
    <w:p>
      <w:pPr>
        <w:spacing w:after="0" w:before="6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Os Custos (CMV efetivo) representam a soma dos custos de todos os produtos presentes no orçamento. São valores oriundos diretamente do cadastro de cada produto.</w:t>
      </w:r>
    </w:p>
    <w:p>
      <w:pPr>
        <w:pStyle w:val="ListParagraph"/>
        <w:numPr>
          <w:ilvl w:val="0"/>
          <w:numId w:val="2"/>
        </w:numPr>
        <w:spacing w:after="60" w:before="60"/>
      </w:pPr>
      <w:r>
        <w:rPr>
          <w:rFonts w:ascii="Arial" w:cs="Arial" w:eastAsia="Arial" w:hAnsi="Arial"/>
          <w:b w:val="false"/>
          <w:bCs w:val="false"/>
          <w:sz w:val="22"/>
          <w:szCs w:val="22"/>
        </w:rPr>
        <w:t xml:space="preserve">As Despesas Operacionais (DOP) — que englobam Mão de Obra Administrativa, Despesas Fixas, Despesas Variáveis e Despesas Financeiras — são percentuais cadastrados na empresa e aplicados sobre a Operação Interna. Seus valores monetários são calculados uma única vez na formação do preço.</w:t>
      </w:r>
    </w:p>
    <w:p>
      <w:pPr>
        <w:pStyle w:val="ListParagraph"/>
        <w:numPr>
          <w:ilvl w:val="0"/>
          <w:numId w:val="2"/>
        </w:numPr>
        <w:spacing w:after="60" w:before="60"/>
      </w:pPr>
      <w:r>
        <w:rPr>
          <w:rFonts w:ascii="Arial" w:cs="Arial" w:eastAsia="Arial" w:hAnsi="Arial"/>
          <w:b w:val="false"/>
          <w:bCs w:val="false"/>
          <w:sz w:val="22"/>
          <w:szCs w:val="22"/>
        </w:rPr>
        <w:t xml:space="preserve">A Mão de Obra Produtiva (MOD), quando aplicável, segue a mesma lógica: valor estático oriundo do cadastro do produto.</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0000" w:sz="4"/>
              <w:left w:val="single" w:color="CC0000" w:sz="12"/>
              <w:bottom w:val="single" w:color="CC0000" w:sz="4"/>
              <w:right w:val="single" w:color="CC0000" w:sz="4"/>
            </w:tcBorders>
            <w:shd w:fill="FFE8E8" w:val="clear"/>
            <w:tcMar>
              <w:top w:type="dxa" w:w="120"/>
              <w:left w:type="dxa" w:w="180"/>
              <w:bottom w:type="dxa" w:w="120"/>
              <w:right w:type="dxa" w:w="120"/>
            </w:tcMar>
          </w:tcPr>
          <w:p>
            <w:r>
              <w:rPr>
                <w:rFonts w:ascii="Arial" w:cs="Arial" w:eastAsia="Arial" w:hAnsi="Arial"/>
                <w:i/>
                <w:iCs/>
                <w:sz w:val="20"/>
                <w:szCs w:val="20"/>
              </w:rPr>
              <w:t xml:space="preserve">REGRA CRÍTICA: Os valores de Custos e Despesas na Etapa 14 são ESTÁTICOS dentro da cascata. Eles não sofrem nenhuma alteração em função de desconto, PIS/COFINS, ICMS ou qualquer outro imposto processado nas etapas anteriores. São deduzidos do valor pós-impostos exatamente como foram apurados na composição do produto.</w:t>
            </w:r>
          </w:p>
        </w:tc>
      </w:tr>
    </w:tbl>
    <w:p>
      <w:pPr>
        <w:spacing w:after="0" w:before="80"/>
      </w:pPr>
      <w:r>
        <w:t xml:space="preserve"/>
      </w:r>
    </w:p>
    <w:p>
      <w:pPr>
        <w:spacing w:after="120" w:before="80"/>
      </w:pPr>
      <w:r>
        <w:rPr>
          <w:rFonts w:ascii="Arial" w:cs="Arial" w:eastAsia="Arial" w:hAnsi="Arial"/>
          <w:sz w:val="22"/>
          <w:szCs w:val="22"/>
        </w:rPr>
        <w:t xml:space="preserve">O efeito cascata sobre o RRO (Etapa 15) ocorre porque os impostos (ICMS e PIS/COFINS) são deduzidos do faturamento antes de se chegar à base de distribuição — e não porque os custos mudam. A sequência correta 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E1E1E" w:val="clear"/>
            <w:tcMar>
              <w:top w:type="dxa" w:w="100"/>
              <w:left w:type="dxa" w:w="160"/>
              <w:bottom w:type="dxa" w:w="100"/>
              <w:right w:type="dxa" w:w="160"/>
            </w:tcMar>
          </w:tcPr>
          <w:p>
            <w:r>
              <w:rPr>
                <w:rFonts w:ascii="Courier New" w:cs="Courier New" w:eastAsia="Courier New" w:hAnsi="Courier New"/>
                <w:color w:val="D4D4D4"/>
                <w:sz w:val="18"/>
                <w:szCs w:val="18"/>
              </w:rPr>
              <w:t xml:space="preserve">Faturamento (Op. Interna)</w:t>
            </w:r>
          </w:p>
          <w:p>
            <w:r>
              <w:rPr>
                <w:rFonts w:ascii="Courier New" w:cs="Courier New" w:eastAsia="Courier New" w:hAnsi="Courier New"/>
                <w:color w:val="D4D4D4"/>
                <w:sz w:val="18"/>
                <w:szCs w:val="18"/>
              </w:rPr>
              <w:t xml:space="preserve">  - ICMS (Etapa 13A)         → dedução sobre faturamento</w:t>
            </w:r>
          </w:p>
          <w:p>
            <w:r>
              <w:rPr>
                <w:rFonts w:ascii="Courier New" w:cs="Courier New" w:eastAsia="Courier New" w:hAnsi="Courier New"/>
                <w:color w:val="D4D4D4"/>
                <w:sz w:val="18"/>
                <w:szCs w:val="18"/>
              </w:rPr>
              <w:t xml:space="preserve">  - PIS/COFINS (Etapa 13B)   → dedução pós-ICMS</w:t>
            </w:r>
          </w:p>
          <w:p>
            <w:r>
              <w:rPr>
                <w:rFonts w:ascii="Courier New" w:cs="Courier New" w:eastAsia="Courier New" w:hAnsi="Courier New"/>
                <w:color w:val="D4D4D4"/>
                <w:sz w:val="18"/>
                <w:szCs w:val="18"/>
              </w:rPr>
              <w:t xml:space="preserve">  - Custos CMV (estático)    → valor fixo dos produtos</w:t>
            </w:r>
          </w:p>
          <w:p>
            <w:r>
              <w:rPr>
                <w:rFonts w:ascii="Courier New" w:cs="Courier New" w:eastAsia="Courier New" w:hAnsi="Courier New"/>
                <w:color w:val="D4D4D4"/>
                <w:sz w:val="18"/>
                <w:szCs w:val="18"/>
              </w:rPr>
              <w:t xml:space="preserve">  - MOD (estático)           → valor fixo dos produtos</w:t>
            </w:r>
          </w:p>
          <w:p>
            <w:r>
              <w:rPr>
                <w:rFonts w:ascii="Courier New" w:cs="Courier New" w:eastAsia="Courier New" w:hAnsi="Courier New"/>
                <w:color w:val="D4D4D4"/>
                <w:sz w:val="18"/>
                <w:szCs w:val="18"/>
              </w:rPr>
              <w:t xml:space="preserve">  - DOP (estático)           → MO Adm + Desp. Fixa + Desp. Variável + Desp. Financeira</w:t>
            </w:r>
          </w:p>
          <w:p>
            <w:r>
              <w:rPr>
                <w:rFonts w:ascii="Courier New" w:cs="Courier New" w:eastAsia="Courier New" w:hAnsi="Courier New"/>
                <w:color w:val="D4D4D4"/>
                <w:sz w:val="18"/>
                <w:szCs w:val="18"/>
              </w:rPr>
              <w:t xml:space="preserve">= RRO (Resultado Residual Operacional)</w:t>
            </w:r>
          </w:p>
        </w:tc>
      </w:tr>
    </w:tbl>
    <w:p>
      <w:pPr>
        <w:spacing w:after="0" w:before="100"/>
      </w:pPr>
      <w:r>
        <w:t xml:space="preserve"/>
      </w:r>
    </w:p>
    <w:p>
      <w:pPr>
        <w:pStyle w:val="Heading2"/>
        <w:spacing w:after="160" w:before="300"/>
      </w:pPr>
      <w:r>
        <w:rPr>
          <w:rFonts w:ascii="Arial" w:cs="Arial" w:eastAsia="Arial" w:hAnsi="Arial"/>
          <w:b/>
          <w:bCs/>
          <w:color w:val="2E75B6"/>
          <w:sz w:val="26"/>
          <w:szCs w:val="26"/>
        </w:rPr>
        <w:t xml:space="preserve">1.7 Critérios de Aceitação</w:t>
      </w:r>
    </w:p>
    <w:p>
      <w:pPr>
        <w:pStyle w:val="ListParagraph"/>
        <w:numPr>
          <w:ilvl w:val="0"/>
          <w:numId w:val="3"/>
        </w:numPr>
        <w:spacing w:after="60" w:before="60"/>
      </w:pPr>
      <w:r>
        <w:rPr>
          <w:rFonts w:ascii="Arial" w:cs="Arial" w:eastAsia="Arial" w:hAnsi="Arial"/>
          <w:b w:val="false"/>
          <w:bCs w:val="false"/>
          <w:sz w:val="22"/>
          <w:szCs w:val="22"/>
        </w:rPr>
        <w:t xml:space="preserve">A Etapa 13B da Memória Cascata exibe alíquota efetiva diferente de 0,00% quando ao menos um produto do orçamento possui PIS/COFINS cadastrado</w:t>
      </w:r>
    </w:p>
    <w:p>
      <w:pPr>
        <w:pStyle w:val="ListParagraph"/>
        <w:numPr>
          <w:ilvl w:val="0"/>
          <w:numId w:val="3"/>
        </w:numPr>
        <w:spacing w:after="60" w:before="60"/>
      </w:pPr>
      <w:r>
        <w:rPr>
          <w:rFonts w:ascii="Arial" w:cs="Arial" w:eastAsia="Arial" w:hAnsi="Arial"/>
          <w:b w:val="false"/>
          <w:bCs w:val="false"/>
          <w:sz w:val="22"/>
          <w:szCs w:val="22"/>
        </w:rPr>
        <w:t xml:space="preserve">O valor monetário exibido na Etapa 13B corresponde à soma dos valores individuais (Op. Interna × Alíquota) de cada produto</w:t>
      </w:r>
    </w:p>
    <w:p>
      <w:pPr>
        <w:pStyle w:val="ListParagraph"/>
        <w:numPr>
          <w:ilvl w:val="0"/>
          <w:numId w:val="3"/>
        </w:numPr>
        <w:spacing w:after="60" w:before="60"/>
      </w:pPr>
      <w:r>
        <w:rPr>
          <w:rFonts w:ascii="Arial" w:cs="Arial" w:eastAsia="Arial" w:hAnsi="Arial"/>
          <w:b w:val="false"/>
          <w:bCs w:val="false"/>
          <w:sz w:val="22"/>
          <w:szCs w:val="22"/>
        </w:rPr>
        <w:t xml:space="preserve">A alíquota efetiva é calculada sobre o total da Operação Interna, não sobre o total do orçamento</w:t>
      </w:r>
    </w:p>
    <w:p>
      <w:pPr>
        <w:pStyle w:val="ListParagraph"/>
        <w:numPr>
          <w:ilvl w:val="0"/>
          <w:numId w:val="3"/>
        </w:numPr>
        <w:spacing w:after="60" w:before="60"/>
      </w:pPr>
      <w:r>
        <w:rPr>
          <w:rFonts w:ascii="Arial" w:cs="Arial" w:eastAsia="Arial" w:hAnsi="Arial"/>
          <w:b w:val="false"/>
          <w:bCs w:val="false"/>
          <w:sz w:val="22"/>
          <w:szCs w:val="22"/>
        </w:rPr>
        <w:t xml:space="preserve">Produtos sem PIS/COFINS cadastrado contribuem com R$ 0,00 sem gerar erro</w:t>
      </w:r>
    </w:p>
    <w:p>
      <w:pPr>
        <w:pStyle w:val="ListParagraph"/>
        <w:numPr>
          <w:ilvl w:val="0"/>
          <w:numId w:val="3"/>
        </w:numPr>
        <w:spacing w:after="60" w:before="60"/>
      </w:pPr>
      <w:r>
        <w:rPr>
          <w:rFonts w:ascii="Arial" w:cs="Arial" w:eastAsia="Arial" w:hAnsi="Arial"/>
          <w:b w:val="false"/>
          <w:bCs w:val="false"/>
          <w:sz w:val="22"/>
          <w:szCs w:val="22"/>
        </w:rPr>
        <w:t xml:space="preserve">Com desconto aplicado: a alíquota efetiva é mantida; apenas a base de aplicação (pós-ICMS pós-desconto) muda</w:t>
      </w:r>
    </w:p>
    <w:p>
      <w:pPr>
        <w:pStyle w:val="ListParagraph"/>
        <w:numPr>
          <w:ilvl w:val="0"/>
          <w:numId w:val="3"/>
        </w:numPr>
        <w:spacing w:after="60" w:before="60"/>
      </w:pPr>
      <w:r>
        <w:rPr>
          <w:rFonts w:ascii="Arial" w:cs="Arial" w:eastAsia="Arial" w:hAnsi="Arial"/>
          <w:b w:val="false"/>
          <w:bCs w:val="false"/>
          <w:sz w:val="22"/>
          <w:szCs w:val="22"/>
        </w:rPr>
        <w:t xml:space="preserve">Os valores das Etapas 14, 15, 16 e 17 são recalculados em cascata após a correção da Etapa 13B</w:t>
      </w:r>
    </w:p>
    <w:p>
      <w:pPr>
        <w:spacing w:after="0" w:before="200"/>
      </w:pPr>
      <w:r>
        <w:t xml:space="preserve"/>
      </w:r>
    </w:p>
    <w:p>
      <w:pPr>
        <w:pBdr>
          <w:bottom w:val="single" w:color="2E75B6" w:sz="4" w:space="1"/>
        </w:pBdr>
        <w:spacing w:after="200" w:before="200"/>
      </w:pPr>
      <w:r>
        <w:t xml:space="preserve"/>
      </w:r>
    </w:p>
    <w:p>
      <w:pPr>
        <w:pStyle w:val="Heading1"/>
        <w:spacing w:after="200" w:before="400"/>
      </w:pPr>
      <w:r>
        <w:rPr>
          <w:rFonts w:ascii="Arial" w:cs="Arial" w:eastAsia="Arial" w:hAnsi="Arial"/>
          <w:b/>
          <w:bCs/>
          <w:color w:val="1F4E79"/>
          <w:sz w:val="32"/>
          <w:szCs w:val="32"/>
        </w:rPr>
        <w:t xml:space="preserve">Ajuste 2 — Notificação Indevida e Visibilidade dos Cards de Comissão e Lucro</w:t>
      </w:r>
    </w:p>
    <w:p>
      <w:pPr>
        <w:pStyle w:val="Heading2"/>
        <w:spacing w:after="160" w:before="300"/>
      </w:pPr>
      <w:r>
        <w:rPr>
          <w:rFonts w:ascii="Arial" w:cs="Arial" w:eastAsia="Arial" w:hAnsi="Arial"/>
          <w:b/>
          <w:bCs/>
          <w:color w:val="2E75B6"/>
          <w:sz w:val="26"/>
          <w:szCs w:val="26"/>
        </w:rPr>
        <w:t xml:space="preserve">2.1 Identificação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4"/>
              <w:left w:val="single" w:color="2E75B6" w:sz="12"/>
              <w:bottom w:val="single" w:color="2E75B6" w:sz="4"/>
              <w:right w:val="single" w:color="2E75B6" w:sz="4"/>
            </w:tcBorders>
            <w:shd w:fill="E8F4FD" w:val="clear"/>
            <w:tcMar>
              <w:top w:type="dxa" w:w="120"/>
              <w:left w:type="dxa" w:w="180"/>
              <w:bottom w:type="dxa" w:w="120"/>
              <w:right w:type="dxa" w:w="120"/>
            </w:tcMar>
          </w:tcPr>
          <w:p>
            <w:r>
              <w:rPr>
                <w:rFonts w:ascii="Arial" w:cs="Arial" w:eastAsia="Arial" w:hAnsi="Arial"/>
                <w:i/>
                <w:iCs/>
                <w:sz w:val="20"/>
                <w:szCs w:val="20"/>
              </w:rPr>
              <w:t xml:space="preserve">Este ajuste corrige comportamentos de interface que divergem da especificação já existente na Base de Conhecimento. Nenhuma regra de negócio do Motor RR é alterada — apenas a exibição e os elementos de UI devem ser corrigidos para refletir o que já está documentado.</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000"/>
        <w:gridCol w:w="7026"/>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Módulo</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Comercial &gt; Orçamentos</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000"/>
        <w:gridCol w:w="7026"/>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Tela</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Editar Orçamento &gt; Seção: Distribuição do Resultado</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000"/>
        <w:gridCol w:w="7026"/>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Elementos afetados</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Notificação de alerta + Cards Comissão do Vendedor e Lucro da Empresa</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000"/>
        <w:gridCol w:w="7026"/>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Prioridade</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ALTA — impacta a usabilidade e a experiência do usuário no orçamento</w:t>
            </w:r>
          </w:p>
        </w:tc>
      </w:tr>
    </w:tbl>
    <w:p>
      <w:pPr>
        <w:spacing w:after="0" w:before="200"/>
      </w:pPr>
      <w:r>
        <w:t xml:space="preserve"/>
      </w:r>
    </w:p>
    <w:p>
      <w:pPr>
        <w:pStyle w:val="Heading2"/>
        <w:spacing w:after="160" w:before="300"/>
      </w:pPr>
      <w:r>
        <w:rPr>
          <w:rFonts w:ascii="Arial" w:cs="Arial" w:eastAsia="Arial" w:hAnsi="Arial"/>
          <w:b/>
          <w:bCs/>
          <w:color w:val="2E75B6"/>
          <w:sz w:val="26"/>
          <w:szCs w:val="26"/>
        </w:rPr>
        <w:t xml:space="preserve">2.2 Problema A — Notificação Indevida</w:t>
      </w:r>
    </w:p>
    <w:p>
      <w:pPr>
        <w:spacing w:after="120" w:before="240"/>
      </w:pPr>
      <w:r>
        <w:rPr>
          <w:rFonts w:ascii="Arial" w:cs="Arial" w:eastAsia="Arial" w:hAnsi="Arial"/>
          <w:b/>
          <w:bCs/>
          <w:color w:val="404040"/>
          <w:sz w:val="24"/>
          <w:szCs w:val="24"/>
        </w:rPr>
        <w:t xml:space="preserve">Comportamento Atual</w:t>
      </w:r>
    </w:p>
    <w:p>
      <w:pPr>
        <w:spacing w:after="120" w:before="80"/>
      </w:pPr>
      <w:r>
        <w:rPr>
          <w:rFonts w:ascii="Arial" w:cs="Arial" w:eastAsia="Arial" w:hAnsi="Arial"/>
          <w:sz w:val="22"/>
          <w:szCs w:val="22"/>
        </w:rPr>
        <w:t xml:space="preserve">Na seção Distribuição do Resultado da tela de Editar Orçamento, aparece a seguinte mensagem de alerta: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C107" w:sz="4"/>
              <w:left w:val="single" w:color="FFC107" w:sz="12"/>
              <w:bottom w:val="single" w:color="FFC107" w:sz="4"/>
              <w:right w:val="single" w:color="FFC107" w:sz="4"/>
            </w:tcBorders>
            <w:shd w:fill="FFF3CD" w:val="clear"/>
            <w:tcMar>
              <w:top w:type="dxa" w:w="120"/>
              <w:left w:type="dxa" w:w="180"/>
              <w:bottom w:type="dxa" w:w="120"/>
              <w:right w:type="dxa" w:w="120"/>
            </w:tcMar>
          </w:tcPr>
          <w:p>
            <w:r>
              <w:rPr>
                <w:rFonts w:ascii="Arial" w:cs="Arial" w:eastAsia="Arial" w:hAnsi="Arial"/>
                <w:i/>
                <w:iCs/>
                <w:sz w:val="20"/>
                <w:szCs w:val="20"/>
              </w:rPr>
              <w:t xml:space="preserve">"Cadastre o custo dos produtos para apuração precisa do residual (Produtos -&gt; Custo total)."</w:t>
            </w:r>
          </w:p>
        </w:tc>
      </w:tr>
    </w:tbl>
    <w:p>
      <w:pPr>
        <w:spacing w:after="120" w:before="80"/>
      </w:pPr>
      <w:r>
        <w:rPr>
          <w:rFonts w:ascii="Arial" w:cs="Arial" w:eastAsia="Arial" w:hAnsi="Arial"/>
          <w:sz w:val="22"/>
          <w:szCs w:val="22"/>
        </w:rPr>
        <w:t xml:space="preserve">Esta notificação está sendo exibida no contexto errado. Ela foi projetada para alertar sobre uma configuração do cadastro de produtos, mas está aparecendo dentro da tela de orçamentos, onde não tem serventia e gera confusão ao usuário.</w:t>
      </w:r>
    </w:p>
    <w:p>
      <w:pPr>
        <w:spacing w:after="0" w:before="100"/>
      </w:pPr>
      <w:r>
        <w:t xml:space="preserve"/>
      </w:r>
    </w:p>
    <w:p>
      <w:pPr>
        <w:spacing w:after="120" w:before="240"/>
      </w:pPr>
      <w:r>
        <w:rPr>
          <w:rFonts w:ascii="Arial" w:cs="Arial" w:eastAsia="Arial" w:hAnsi="Arial"/>
          <w:b/>
          <w:bCs/>
          <w:color w:val="404040"/>
          <w:sz w:val="24"/>
          <w:szCs w:val="24"/>
        </w:rPr>
        <w:t xml:space="preserve">Comportamento Esperado</w:t>
      </w:r>
    </w:p>
    <w:p>
      <w:pPr>
        <w:spacing w:after="120" w:before="80"/>
      </w:pPr>
      <w:r>
        <w:rPr>
          <w:rFonts w:ascii="Arial" w:cs="Arial" w:eastAsia="Arial" w:hAnsi="Arial"/>
          <w:sz w:val="22"/>
          <w:szCs w:val="22"/>
        </w:rPr>
        <w:t xml:space="preserve">Esta notificação deve ser completamente removida da tela de Editar Orçamento e da seção Distribuição do Resultado.</w:t>
      </w:r>
    </w:p>
    <w:p>
      <w:pPr>
        <w:pStyle w:val="ListParagraph"/>
        <w:numPr>
          <w:ilvl w:val="0"/>
          <w:numId w:val="2"/>
        </w:numPr>
        <w:spacing w:after="60" w:before="60"/>
      </w:pPr>
      <w:r>
        <w:rPr>
          <w:rFonts w:ascii="Arial" w:cs="Arial" w:eastAsia="Arial" w:hAnsi="Arial"/>
          <w:b w:val="false"/>
          <w:bCs w:val="false"/>
          <w:sz w:val="22"/>
          <w:szCs w:val="22"/>
        </w:rPr>
        <w:t xml:space="preserve">A notificação NÃO deve aparecer em nenhuma situação dentro do contexto de orçamentos</w:t>
      </w:r>
    </w:p>
    <w:p>
      <w:pPr>
        <w:pStyle w:val="ListParagraph"/>
        <w:numPr>
          <w:ilvl w:val="0"/>
          <w:numId w:val="2"/>
        </w:numPr>
        <w:spacing w:after="60" w:before="60"/>
      </w:pPr>
      <w:r>
        <w:rPr>
          <w:rFonts w:ascii="Arial" w:cs="Arial" w:eastAsia="Arial" w:hAnsi="Arial"/>
          <w:b w:val="false"/>
          <w:bCs w:val="false"/>
          <w:sz w:val="22"/>
          <w:szCs w:val="22"/>
        </w:rPr>
        <w:t xml:space="preserve">Caso essa notificação seja necessária em outro contexto (cadastro de produtos), ela deve permanecer somente lá</w:t>
      </w:r>
    </w:p>
    <w:p>
      <w:pPr>
        <w:spacing w:after="0" w:before="100"/>
      </w:pPr>
      <w:r>
        <w:t xml:space="preserve"/>
      </w:r>
    </w:p>
    <w:p>
      <w:pPr>
        <w:spacing w:after="120" w:before="240"/>
      </w:pPr>
      <w:r>
        <w:rPr>
          <w:rFonts w:ascii="Arial" w:cs="Arial" w:eastAsia="Arial" w:hAnsi="Arial"/>
          <w:b/>
          <w:bCs/>
          <w:color w:val="404040"/>
          <w:sz w:val="24"/>
          <w:szCs w:val="24"/>
        </w:rPr>
        <w:t xml:space="preserve">Critérios de Aceitação — Problema A</w:t>
      </w:r>
    </w:p>
    <w:p>
      <w:pPr>
        <w:pStyle w:val="ListParagraph"/>
        <w:numPr>
          <w:ilvl w:val="0"/>
          <w:numId w:val="3"/>
        </w:numPr>
        <w:spacing w:after="60" w:before="60"/>
      </w:pPr>
      <w:r>
        <w:rPr>
          <w:rFonts w:ascii="Arial" w:cs="Arial" w:eastAsia="Arial" w:hAnsi="Arial"/>
          <w:b w:val="false"/>
          <w:bCs w:val="false"/>
          <w:sz w:val="22"/>
          <w:szCs w:val="22"/>
        </w:rPr>
        <w:t xml:space="preserve">A mensagem de alerta sobre custo dos produtos não aparece em nenhuma situação na tela de Editar Orçamento</w:t>
      </w:r>
    </w:p>
    <w:p>
      <w:pPr>
        <w:pStyle w:val="ListParagraph"/>
        <w:numPr>
          <w:ilvl w:val="0"/>
          <w:numId w:val="3"/>
        </w:numPr>
        <w:spacing w:after="60" w:before="60"/>
      </w:pPr>
      <w:r>
        <w:rPr>
          <w:rFonts w:ascii="Arial" w:cs="Arial" w:eastAsia="Arial" w:hAnsi="Arial"/>
          <w:b w:val="false"/>
          <w:bCs w:val="false"/>
          <w:sz w:val="22"/>
          <w:szCs w:val="22"/>
        </w:rPr>
        <w:t xml:space="preserve">A remoção não afeta o funcionamento de nenhuma outra seção do orçamento</w:t>
      </w:r>
    </w:p>
    <w:p>
      <w:pPr>
        <w:spacing w:after="0" w:before="200"/>
      </w:pPr>
      <w:r>
        <w:t xml:space="preserve"/>
      </w:r>
    </w:p>
    <w:p>
      <w:pPr>
        <w:pStyle w:val="Heading2"/>
        <w:spacing w:after="160" w:before="300"/>
      </w:pPr>
      <w:r>
        <w:rPr>
          <w:rFonts w:ascii="Arial" w:cs="Arial" w:eastAsia="Arial" w:hAnsi="Arial"/>
          <w:b/>
          <w:bCs/>
          <w:color w:val="2E75B6"/>
          <w:sz w:val="26"/>
          <w:szCs w:val="26"/>
        </w:rPr>
        <w:t xml:space="preserve">2.3 Problema B — Cards de Comissão e Lucro Não Visíveis</w:t>
      </w:r>
    </w:p>
    <w:p>
      <w:pPr>
        <w:spacing w:after="120" w:before="240"/>
      </w:pPr>
      <w:r>
        <w:rPr>
          <w:rFonts w:ascii="Arial" w:cs="Arial" w:eastAsia="Arial" w:hAnsi="Arial"/>
          <w:b/>
          <w:bCs/>
          <w:color w:val="404040"/>
          <w:sz w:val="24"/>
          <w:szCs w:val="24"/>
        </w:rPr>
        <w:t xml:space="preserve">Comportamento Atual</w:t>
      </w:r>
    </w:p>
    <w:p>
      <w:pPr>
        <w:spacing w:after="120" w:before="80"/>
      </w:pPr>
      <w:r>
        <w:rPr>
          <w:rFonts w:ascii="Arial" w:cs="Arial" w:eastAsia="Arial" w:hAnsi="Arial"/>
          <w:sz w:val="22"/>
          <w:szCs w:val="22"/>
        </w:rPr>
        <w:t xml:space="preserve">Os cards Comissão do Vendedor e Lucro da Empresa aparecem de forma inconsistente na seção Distribuição do Resultado:</w:t>
      </w:r>
    </w:p>
    <w:p>
      <w:pPr>
        <w:pStyle w:val="ListParagraph"/>
        <w:numPr>
          <w:ilvl w:val="0"/>
          <w:numId w:val="2"/>
        </w:numPr>
        <w:spacing w:after="60" w:before="60"/>
      </w:pPr>
      <w:r>
        <w:rPr>
          <w:rFonts w:ascii="Arial" w:cs="Arial" w:eastAsia="Arial" w:hAnsi="Arial"/>
          <w:b w:val="false"/>
          <w:bCs w:val="false"/>
          <w:sz w:val="22"/>
          <w:szCs w:val="22"/>
        </w:rPr>
        <w:t xml:space="preserve">Ficam ocultos quando o orçamento não possui desconto aplicado</w:t>
      </w:r>
    </w:p>
    <w:p>
      <w:pPr>
        <w:pStyle w:val="ListParagraph"/>
        <w:numPr>
          <w:ilvl w:val="0"/>
          <w:numId w:val="2"/>
        </w:numPr>
        <w:spacing w:after="60" w:before="60"/>
      </w:pPr>
      <w:r>
        <w:rPr>
          <w:rFonts w:ascii="Arial" w:cs="Arial" w:eastAsia="Arial" w:hAnsi="Arial"/>
          <w:b w:val="false"/>
          <w:bCs w:val="false"/>
          <w:sz w:val="22"/>
          <w:szCs w:val="22"/>
        </w:rPr>
        <w:t xml:space="preserve">Surgem apenas em determinadas condições (ex: após aplicar desconto)</w:t>
      </w:r>
    </w:p>
    <w:p>
      <w:pPr>
        <w:pStyle w:val="ListParagraph"/>
        <w:numPr>
          <w:ilvl w:val="0"/>
          <w:numId w:val="2"/>
        </w:numPr>
        <w:spacing w:after="60" w:before="60"/>
      </w:pPr>
      <w:r>
        <w:rPr>
          <w:rFonts w:ascii="Arial" w:cs="Arial" w:eastAsia="Arial" w:hAnsi="Arial"/>
          <w:b w:val="false"/>
          <w:bCs w:val="false"/>
          <w:sz w:val="22"/>
          <w:szCs w:val="22"/>
        </w:rPr>
        <w:t xml:space="preserve">O usuário precisa de uma ação adicional ou condição específica para visualizá-los</w:t>
      </w:r>
    </w:p>
    <w:p>
      <w:pPr>
        <w:spacing w:after="0" w:before="100"/>
      </w:pPr>
      <w:r>
        <w:t xml:space="preserve"/>
      </w:r>
    </w:p>
    <w:p>
      <w:pPr>
        <w:spacing w:after="120" w:before="240"/>
      </w:pPr>
      <w:r>
        <w:rPr>
          <w:rFonts w:ascii="Arial" w:cs="Arial" w:eastAsia="Arial" w:hAnsi="Arial"/>
          <w:b/>
          <w:bCs/>
          <w:color w:val="404040"/>
          <w:sz w:val="24"/>
          <w:szCs w:val="24"/>
        </w:rPr>
        <w:t xml:space="preserve">Comportamento Esperado</w:t>
      </w:r>
    </w:p>
    <w:p>
      <w:pPr>
        <w:spacing w:after="120" w:before="80"/>
      </w:pPr>
      <w:r>
        <w:rPr>
          <w:rFonts w:ascii="Arial" w:cs="Arial" w:eastAsia="Arial" w:hAnsi="Arial"/>
          <w:sz w:val="22"/>
          <w:szCs w:val="22"/>
        </w:rPr>
        <w:t xml:space="preserve">Os dois cards devem estar SEMPRE visíveis na seção Distribuição do Resultado, desde o momento em que o orçamento possui ao menos um produto adicionado:</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4613"/>
      </w:tblGrid>
      <w:tr>
        <w:tc>
          <w:tcPr>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Card: Comissao do Vendedor</w:t>
            </w:r>
          </w:p>
          <w:p>
            <w:pPr>
              <w:jc w:val="center"/>
            </w:pPr>
            <w:r>
              <w:rPr>
                <w:rFonts w:ascii="Arial" w:cs="Arial" w:eastAsia="Arial" w:hAnsi="Arial"/>
                <w:color w:val="CCDDFF"/>
                <w:sz w:val="20"/>
                <w:szCs w:val="20"/>
              </w:rPr>
              <w:t xml:space="preserve">Exibe: Valor monetario da comissao</w:t>
            </w:r>
          </w:p>
          <w:p>
            <w:pPr>
              <w:jc w:val="center"/>
            </w:pPr>
            <w:r>
              <w:rPr>
                <w:rFonts w:ascii="Arial" w:cs="Arial" w:eastAsia="Arial" w:hAnsi="Arial"/>
                <w:i/>
                <w:iCs/>
                <w:color w:val="AABBEE"/>
                <w:sz w:val="18"/>
                <w:szCs w:val="18"/>
              </w:rPr>
              <w:t xml:space="preserve">Exibe: % original -&gt; % efetiva sobre total c/ desconto</w:t>
            </w:r>
          </w:p>
        </w:tc>
        <w:tc>
          <w:tcPr>
            <w:tcBorders>
              <w:top w:val="single" w:color="CCCCCC" w:sz="1"/>
              <w:left w:val="single" w:color="CCCCCC" w:sz="1"/>
              <w:bottom w:val="single" w:color="CCCCCC" w:sz="1"/>
              <w:right w:val="single" w:color="CCCCCC" w:sz="1"/>
            </w:tcBorders>
            <w:shd w:fill="1A6B3C"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Card: Lucro da Empresa</w:t>
            </w:r>
          </w:p>
          <w:p>
            <w:pPr>
              <w:jc w:val="center"/>
            </w:pPr>
            <w:r>
              <w:rPr>
                <w:rFonts w:ascii="Arial" w:cs="Arial" w:eastAsia="Arial" w:hAnsi="Arial"/>
                <w:color w:val="CCFFDD"/>
                <w:sz w:val="20"/>
                <w:szCs w:val="20"/>
              </w:rPr>
              <w:t xml:space="preserve">Exibe: Valor monetario do lucro</w:t>
            </w:r>
          </w:p>
          <w:p>
            <w:pPr>
              <w:jc w:val="center"/>
            </w:pPr>
            <w:r>
              <w:rPr>
                <w:rFonts w:ascii="Arial" w:cs="Arial" w:eastAsia="Arial" w:hAnsi="Arial"/>
                <w:i/>
                <w:iCs/>
                <w:color w:val="AAEEBB"/>
                <w:sz w:val="18"/>
                <w:szCs w:val="18"/>
              </w:rPr>
              <w:t xml:space="preserve">Exibe: % original -&gt; % efetiva sobre total c/ desconto</w:t>
            </w:r>
          </w:p>
        </w:tc>
      </w:tr>
    </w:tbl>
    <w:p>
      <w:pPr>
        <w:spacing w:after="0" w:before="100"/>
      </w:pPr>
      <w:r>
        <w:t xml:space="preserve"/>
      </w:r>
    </w:p>
    <w:p>
      <w:pPr>
        <w:spacing w:after="120" w:before="240"/>
      </w:pPr>
      <w:r>
        <w:rPr>
          <w:rFonts w:ascii="Arial" w:cs="Arial" w:eastAsia="Arial" w:hAnsi="Arial"/>
          <w:b/>
          <w:bCs/>
          <w:color w:val="404040"/>
          <w:sz w:val="24"/>
          <w:szCs w:val="24"/>
        </w:rPr>
        <w:t xml:space="preserve">Regras de Visibilidade e Atualização dos Cards</w:t>
      </w:r>
    </w:p>
    <w:p>
      <w:pPr>
        <w:pStyle w:val="ListParagraph"/>
        <w:numPr>
          <w:ilvl w:val="0"/>
          <w:numId w:val="3"/>
        </w:numPr>
        <w:spacing w:after="60" w:before="60"/>
      </w:pPr>
      <w:r>
        <w:rPr>
          <w:rFonts w:ascii="Arial" w:cs="Arial" w:eastAsia="Arial" w:hAnsi="Arial"/>
          <w:b w:val="false"/>
          <w:bCs w:val="false"/>
          <w:sz w:val="22"/>
          <w:szCs w:val="22"/>
        </w:rPr>
        <w:t xml:space="preserve">Os cards devem aparecer assim que o primeiro produto for adicionado ao orçamento</w:t>
      </w:r>
    </w:p>
    <w:p>
      <w:pPr>
        <w:pStyle w:val="ListParagraph"/>
        <w:numPr>
          <w:ilvl w:val="0"/>
          <w:numId w:val="3"/>
        </w:numPr>
        <w:spacing w:after="60" w:before="60"/>
      </w:pPr>
      <w:r>
        <w:rPr>
          <w:rFonts w:ascii="Arial" w:cs="Arial" w:eastAsia="Arial" w:hAnsi="Arial"/>
          <w:b w:val="false"/>
          <w:bCs w:val="false"/>
          <w:sz w:val="22"/>
          <w:szCs w:val="22"/>
        </w:rPr>
        <w:t xml:space="preserve">Sem desconto: exibem os valores originais de comissão e lucro (calculados sobre o total cheio)</w:t>
      </w:r>
    </w:p>
    <w:p>
      <w:pPr>
        <w:pStyle w:val="ListParagraph"/>
        <w:numPr>
          <w:ilvl w:val="0"/>
          <w:numId w:val="3"/>
        </w:numPr>
        <w:spacing w:after="60" w:before="60"/>
      </w:pPr>
      <w:r>
        <w:rPr>
          <w:rFonts w:ascii="Arial" w:cs="Arial" w:eastAsia="Arial" w:hAnsi="Arial"/>
          <w:b w:val="false"/>
          <w:bCs w:val="false"/>
          <w:sz w:val="22"/>
          <w:szCs w:val="22"/>
        </w:rPr>
        <w:t xml:space="preserve">Com desconto: exibem os valores redistribuídos sobre o RRO pós-desconto, com a indicação '% original -&gt; % efetiva sobre total c/ desconto'</w:t>
      </w:r>
    </w:p>
    <w:p>
      <w:pPr>
        <w:pStyle w:val="ListParagraph"/>
        <w:numPr>
          <w:ilvl w:val="0"/>
          <w:numId w:val="3"/>
        </w:numPr>
        <w:spacing w:after="60" w:before="60"/>
      </w:pPr>
      <w:r>
        <w:rPr>
          <w:rFonts w:ascii="Arial" w:cs="Arial" w:eastAsia="Arial" w:hAnsi="Arial"/>
          <w:b w:val="false"/>
          <w:bCs w:val="false"/>
          <w:sz w:val="22"/>
          <w:szCs w:val="22"/>
        </w:rPr>
        <w:t xml:space="preserve">Os valores dos cards devem atualizar automaticamente em tempo real conforme o usuário altera produtos ou desconto</w:t>
      </w:r>
    </w:p>
    <w:p>
      <w:pPr>
        <w:pStyle w:val="ListParagraph"/>
        <w:numPr>
          <w:ilvl w:val="0"/>
          <w:numId w:val="3"/>
        </w:numPr>
        <w:spacing w:after="60" w:before="60"/>
      </w:pPr>
      <w:r>
        <w:rPr>
          <w:rFonts w:ascii="Arial" w:cs="Arial" w:eastAsia="Arial" w:hAnsi="Arial"/>
          <w:b w:val="false"/>
          <w:bCs w:val="false"/>
          <w:sz w:val="22"/>
          <w:szCs w:val="22"/>
        </w:rPr>
        <w:t xml:space="preserve">Os cards devem ser sempre visíveis — nunca ocultos, nunca condicionais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0000" w:sz="4"/>
              <w:left w:val="single" w:color="CC0000" w:sz="12"/>
              <w:bottom w:val="single" w:color="CC0000" w:sz="4"/>
              <w:right w:val="single" w:color="CC0000" w:sz="4"/>
            </w:tcBorders>
            <w:shd w:fill="FFE8E8" w:val="clear"/>
            <w:tcMar>
              <w:top w:type="dxa" w:w="120"/>
              <w:left w:type="dxa" w:w="180"/>
              <w:bottom w:type="dxa" w:w="120"/>
              <w:right w:type="dxa" w:w="120"/>
            </w:tcMar>
          </w:tcPr>
          <w:p>
            <w:r>
              <w:rPr>
                <w:rFonts w:ascii="Arial" w:cs="Arial" w:eastAsia="Arial" w:hAnsi="Arial"/>
                <w:i/>
                <w:iCs/>
                <w:sz w:val="20"/>
                <w:szCs w:val="20"/>
              </w:rPr>
              <w:t xml:space="preserve">REGRA CRÍTICA DE VISIBILIDADE: Ambos os cards — Comissão do Vendedor e Lucro da Empresa — devem estar SEMPRE presentes e visíveis na tela, independente de qualquer condição. Não existe cenário onde apenas um card aparece. Não existe cenário onde nenhum card aparece (desde que haja produto no orçamento). O desconto pode afetar individualmente o valor da comissão ou do lucro, mas os DOIS cards permanecem visíveis em todos os casos.</w:t>
            </w:r>
          </w:p>
        </w:tc>
      </w:tr>
    </w:tbl>
    <w:p>
      <w:pPr>
        <w:spacing w:after="0" w:before="100"/>
      </w:pPr>
      <w:r>
        <w:t xml:space="preserve"/>
      </w:r>
    </w:p>
    <w:p>
      <w:pPr>
        <w:spacing w:after="120" w:before="240"/>
      </w:pPr>
      <w:r>
        <w:rPr>
          <w:rFonts w:ascii="Arial" w:cs="Arial" w:eastAsia="Arial" w:hAnsi="Arial"/>
          <w:b/>
          <w:bCs/>
          <w:color w:val="404040"/>
          <w:sz w:val="24"/>
          <w:szCs w:val="24"/>
        </w:rPr>
        <w:t xml:space="preserve">Referência de Dados para os Cards</w:t>
      </w:r>
    </w:p>
    <w:p>
      <w:pPr>
        <w:spacing w:after="120" w:before="80"/>
      </w:pPr>
      <w:r>
        <w:rPr>
          <w:rFonts w:ascii="Arial" w:cs="Arial" w:eastAsia="Arial" w:hAnsi="Arial"/>
          <w:sz w:val="22"/>
          <w:szCs w:val="22"/>
        </w:rPr>
        <w:t xml:space="preserve">Os valores exibidos nos cards devem vir da Etapa 16 da Memória Cascata (Redistribuição RRO):</w:t>
      </w:r>
    </w:p>
    <w:p>
      <w:pPr>
        <w:pStyle w:val="ListParagraph"/>
        <w:numPr>
          <w:ilvl w:val="0"/>
          <w:numId w:val="2"/>
        </w:numPr>
        <w:spacing w:after="60" w:before="60"/>
      </w:pPr>
      <w:r>
        <w:rPr>
          <w:rFonts w:ascii="Arial" w:cs="Arial" w:eastAsia="Arial" w:hAnsi="Arial"/>
          <w:b w:val="false"/>
          <w:bCs w:val="false"/>
          <w:sz w:val="22"/>
          <w:szCs w:val="22"/>
        </w:rPr>
        <w:t xml:space="preserve">Comissão do Vendedor: valor da sub-linha Comissao (peso 0,326) da Etapa 16</w:t>
      </w:r>
    </w:p>
    <w:p>
      <w:pPr>
        <w:pStyle w:val="ListParagraph"/>
        <w:numPr>
          <w:ilvl w:val="0"/>
          <w:numId w:val="2"/>
        </w:numPr>
        <w:spacing w:after="60" w:before="60"/>
      </w:pPr>
      <w:r>
        <w:rPr>
          <w:rFonts w:ascii="Arial" w:cs="Arial" w:eastAsia="Arial" w:hAnsi="Arial"/>
          <w:b w:val="false"/>
          <w:bCs w:val="false"/>
          <w:sz w:val="22"/>
          <w:szCs w:val="22"/>
        </w:rPr>
        <w:t xml:space="preserve">Lucro da Empresa: valor da sub-linha Lucro (peso 0,543) da Etapa 16</w:t>
      </w:r>
    </w:p>
    <w:p>
      <w:pPr>
        <w:pStyle w:val="ListParagraph"/>
        <w:numPr>
          <w:ilvl w:val="0"/>
          <w:numId w:val="2"/>
        </w:numPr>
        <w:spacing w:after="60" w:before="60"/>
      </w:pPr>
      <w:r>
        <w:rPr>
          <w:rFonts w:ascii="Arial" w:cs="Arial" w:eastAsia="Arial" w:hAnsi="Arial"/>
          <w:b w:val="false"/>
          <w:bCs w:val="false"/>
          <w:sz w:val="22"/>
          <w:szCs w:val="22"/>
        </w:rPr>
        <w:t xml:space="preserve">Percentuais exibidos: % original (do cadastro do produto) e % efetiva calculada sobre o total com desconto</w:t>
      </w:r>
    </w:p>
    <w:p>
      <w:pPr>
        <w:spacing w:after="0" w:before="100"/>
      </w:pPr>
      <w:r>
        <w:t xml:space="preserve"/>
      </w:r>
    </w:p>
    <w:p>
      <w:pPr>
        <w:spacing w:after="120" w:before="240"/>
      </w:pPr>
      <w:r>
        <w:rPr>
          <w:rFonts w:ascii="Arial" w:cs="Arial" w:eastAsia="Arial" w:hAnsi="Arial"/>
          <w:b/>
          <w:bCs/>
          <w:color w:val="404040"/>
          <w:sz w:val="24"/>
          <w:szCs w:val="24"/>
        </w:rPr>
        <w:t xml:space="preserve">Critérios de Aceitação — Problema B</w:t>
      </w:r>
    </w:p>
    <w:p>
      <w:pPr>
        <w:pStyle w:val="ListParagraph"/>
        <w:numPr>
          <w:ilvl w:val="0"/>
          <w:numId w:val="3"/>
        </w:numPr>
        <w:spacing w:after="60" w:before="60"/>
      </w:pPr>
      <w:r>
        <w:rPr>
          <w:rFonts w:ascii="Arial" w:cs="Arial" w:eastAsia="Arial" w:hAnsi="Arial"/>
          <w:b w:val="false"/>
          <w:bCs w:val="false"/>
          <w:sz w:val="22"/>
          <w:szCs w:val="22"/>
        </w:rPr>
        <w:t xml:space="preserve">Os dois cards aparecem sempre que houver ao menos um produto no orçamento</w:t>
      </w:r>
    </w:p>
    <w:p>
      <w:pPr>
        <w:pStyle w:val="ListParagraph"/>
        <w:numPr>
          <w:ilvl w:val="0"/>
          <w:numId w:val="3"/>
        </w:numPr>
        <w:spacing w:after="60" w:before="60"/>
      </w:pPr>
      <w:r>
        <w:rPr>
          <w:rFonts w:ascii="Arial" w:cs="Arial" w:eastAsia="Arial" w:hAnsi="Arial"/>
          <w:b w:val="false"/>
          <w:bCs w:val="false"/>
          <w:sz w:val="22"/>
          <w:szCs w:val="22"/>
        </w:rPr>
        <w:t xml:space="preserve">Os cards exibem valores corretos tanto sem desconto quanto com desconto</w:t>
      </w:r>
    </w:p>
    <w:p>
      <w:pPr>
        <w:pStyle w:val="ListParagraph"/>
        <w:numPr>
          <w:ilvl w:val="0"/>
          <w:numId w:val="3"/>
        </w:numPr>
        <w:spacing w:after="60" w:before="60"/>
      </w:pPr>
      <w:r>
        <w:rPr>
          <w:rFonts w:ascii="Arial" w:cs="Arial" w:eastAsia="Arial" w:hAnsi="Arial"/>
          <w:b w:val="false"/>
          <w:bCs w:val="false"/>
          <w:sz w:val="22"/>
          <w:szCs w:val="22"/>
        </w:rPr>
        <w:t xml:space="preserve">Os valores dos cards atualizam em tempo real ao alterar produtos ou desconto</w:t>
      </w:r>
    </w:p>
    <w:p>
      <w:pPr>
        <w:pStyle w:val="ListParagraph"/>
        <w:numPr>
          <w:ilvl w:val="0"/>
          <w:numId w:val="3"/>
        </w:numPr>
        <w:spacing w:after="60" w:before="60"/>
      </w:pPr>
      <w:r>
        <w:rPr>
          <w:rFonts w:ascii="Arial" w:cs="Arial" w:eastAsia="Arial" w:hAnsi="Arial"/>
          <w:b w:val="false"/>
          <w:bCs w:val="false"/>
          <w:sz w:val="22"/>
          <w:szCs w:val="22"/>
        </w:rPr>
        <w:t xml:space="preserve">Os cards nunca ficam ocultos independente do estado do orçamento</w:t>
      </w:r>
    </w:p>
    <w:p>
      <w:pPr>
        <w:pStyle w:val="ListParagraph"/>
        <w:numPr>
          <w:ilvl w:val="0"/>
          <w:numId w:val="3"/>
        </w:numPr>
        <w:spacing w:after="60" w:before="60"/>
      </w:pPr>
      <w:r>
        <w:rPr>
          <w:rFonts w:ascii="Arial" w:cs="Arial" w:eastAsia="Arial" w:hAnsi="Arial"/>
          <w:b w:val="false"/>
          <w:bCs w:val="false"/>
          <w:sz w:val="22"/>
          <w:szCs w:val="22"/>
        </w:rPr>
        <w:t xml:space="preserve">Os valores dos cards são consistentes com os valores da Etapa 16 da Memória Cascata</w:t>
      </w:r>
    </w:p>
    <w:p>
      <w:pPr>
        <w:spacing w:after="0" w:before="200"/>
      </w:pPr>
      <w:r>
        <w:t xml:space="preserve"/>
      </w:r>
    </w:p>
    <w:p>
      <w:pPr>
        <w:pBdr>
          <w:bottom w:val="single" w:color="2E75B6" w:sz="4" w:space="1"/>
        </w:pBdr>
        <w:spacing w:after="200" w:before="200"/>
      </w:pPr>
      <w:r>
        <w:t xml:space="preserve"/>
      </w:r>
    </w:p>
    <w:p>
      <w:pPr>
        <w:pStyle w:val="Heading1"/>
        <w:spacing w:after="200" w:before="400"/>
      </w:pPr>
      <w:r>
        <w:rPr>
          <w:rFonts w:ascii="Arial" w:cs="Arial" w:eastAsia="Arial" w:hAnsi="Arial"/>
          <w:b/>
          <w:bCs/>
          <w:color w:val="1F4E79"/>
          <w:sz w:val="32"/>
          <w:szCs w:val="32"/>
        </w:rPr>
        <w:t xml:space="preserve">Sumário dos Ajustes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3526"/>
        <w:gridCol w:w="2000"/>
      </w:tblGrid>
      <w:tr>
        <w:tc>
          <w:tcPr>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Ajuste</w:t>
            </w:r>
          </w:p>
        </w:tc>
        <w:tc>
          <w:tcPr>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Descricao</w:t>
            </w:r>
          </w:p>
        </w:tc>
        <w:tc>
          <w:tcPr>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Prioridade</w:t>
            </w:r>
          </w:p>
        </w:tc>
      </w:tr>
      <w:tr>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1</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PIS/COFINS na Cascata</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Implementar calculo e exibicao da aliquota efetiva de PIS/COFINS na Etapa 13B da Memoria Cascata</w:t>
            </w:r>
          </w:p>
        </w:tc>
        <w:tc>
          <w:tcPr>
            <w:tcBorders>
              <w:top w:val="single" w:color="CCCCCC" w:sz="1"/>
              <w:left w:val="single" w:color="CCCCCC" w:sz="1"/>
              <w:bottom w:val="single" w:color="CCCCCC" w:sz="1"/>
              <w:right w:val="single" w:color="CCCCCC" w:sz="1"/>
            </w:tcBorders>
            <w:shd w:fill="FFE0E0" w:val="clear"/>
            <w:tcMar>
              <w:top w:type="dxa" w:w="80"/>
              <w:left w:type="dxa" w:w="100"/>
              <w:bottom w:type="dxa" w:w="80"/>
              <w:right w:type="dxa" w:w="100"/>
            </w:tcMar>
          </w:tcPr>
          <w:p>
            <w:r>
              <w:rPr>
                <w:rFonts w:ascii="Arial" w:cs="Arial" w:eastAsia="Arial" w:hAnsi="Arial"/>
                <w:b/>
                <w:bCs/>
                <w:color w:val="CC0000"/>
                <w:sz w:val="20"/>
                <w:szCs w:val="20"/>
              </w:rPr>
              <w:t xml:space="preserve">ALTA</w:t>
            </w:r>
          </w:p>
        </w:tc>
      </w:tr>
      <w:tr>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2A</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Remover Notificacao Indevida</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Remover alerta de custo dos produtos da tela de orcamentos</w:t>
            </w:r>
          </w:p>
        </w:tc>
        <w:tc>
          <w:tcPr>
            <w:tcBorders>
              <w:top w:val="single" w:color="CCCCCC" w:sz="1"/>
              <w:left w:val="single" w:color="CCCCCC" w:sz="1"/>
              <w:bottom w:val="single" w:color="CCCCCC" w:sz="1"/>
              <w:right w:val="single" w:color="CCCCCC" w:sz="1"/>
            </w:tcBorders>
            <w:shd w:fill="FFE0E0" w:val="clear"/>
            <w:tcMar>
              <w:top w:type="dxa" w:w="80"/>
              <w:left w:type="dxa" w:w="100"/>
              <w:bottom w:type="dxa" w:w="80"/>
              <w:right w:type="dxa" w:w="100"/>
            </w:tcMar>
          </w:tcPr>
          <w:p>
            <w:r>
              <w:rPr>
                <w:rFonts w:ascii="Arial" w:cs="Arial" w:eastAsia="Arial" w:hAnsi="Arial"/>
                <w:b/>
                <w:bCs/>
                <w:color w:val="CC0000"/>
                <w:sz w:val="20"/>
                <w:szCs w:val="20"/>
              </w:rPr>
              <w:t xml:space="preserve">ALTA</w:t>
            </w:r>
          </w:p>
        </w:tc>
      </w:tr>
      <w:tr>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2B</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Cards Comissao e Lucro Sempre Visiveis</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Garantir que os cards de Comissao e Lucro sejam exibidos permanentemente na Distribuicao do Resultado</w:t>
            </w:r>
          </w:p>
        </w:tc>
        <w:tc>
          <w:tcPr>
            <w:tcBorders>
              <w:top w:val="single" w:color="CCCCCC" w:sz="1"/>
              <w:left w:val="single" w:color="CCCCCC" w:sz="1"/>
              <w:bottom w:val="single" w:color="CCCCCC" w:sz="1"/>
              <w:right w:val="single" w:color="CCCCCC" w:sz="1"/>
            </w:tcBorders>
            <w:shd w:fill="FFE0E0" w:val="clear"/>
            <w:tcMar>
              <w:top w:type="dxa" w:w="80"/>
              <w:left w:type="dxa" w:w="100"/>
              <w:bottom w:type="dxa" w:w="80"/>
              <w:right w:type="dxa" w:w="100"/>
            </w:tcMar>
          </w:tcPr>
          <w:p>
            <w:r>
              <w:rPr>
                <w:rFonts w:ascii="Arial" w:cs="Arial" w:eastAsia="Arial" w:hAnsi="Arial"/>
                <w:b/>
                <w:bCs/>
                <w:color w:val="CC0000"/>
                <w:sz w:val="20"/>
                <w:szCs w:val="20"/>
              </w:rPr>
              <w:t xml:space="preserve">ALTA</w:t>
            </w:r>
          </w:p>
        </w:tc>
      </w:tr>
    </w:tbl>
    <w:p>
      <w:pPr>
        <w:spacing w:after="0" w:before="200"/>
      </w:pPr>
      <w:r>
        <w:t xml:space="preserve"/>
      </w:r>
    </w:p>
    <w:p>
      <w:pPr>
        <w:pBdr>
          <w:bottom w:val="single" w:color="2E75B6" w:sz="4" w:space="1"/>
        </w:pBdr>
        <w:spacing w:after="200" w:before="200"/>
      </w:pPr>
      <w:r>
        <w:t xml:space="preserve"/>
      </w:r>
    </w:p>
    <w:p>
      <w:pPr>
        <w:spacing w:after="0" w:before="100"/>
      </w:pPr>
      <w:r>
        <w:t xml:space="preserve"/>
      </w:r>
    </w:p>
    <w:p>
      <w:pPr>
        <w:jc w:val="center"/>
      </w:pPr>
      <w:r>
        <w:rPr>
          <w:rFonts w:ascii="Arial" w:cs="Arial" w:eastAsia="Arial" w:hAnsi="Arial"/>
          <w:i/>
          <w:iCs/>
          <w:color w:val="808080"/>
          <w:sz w:val="18"/>
          <w:szCs w:val="18"/>
        </w:rPr>
        <w:t xml:space="preserve">Precifica Certo — Relatorio Tecnico v1.0 — 24/06/2026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2"/>
      <w:szCs w:val="32"/>
    </w:rPr>
  </w:style>
  <w:style w:type="paragraph" w:styleId="Heading2">
    <w:name w:val="Heading 2"/>
    <w:basedOn w:val="Normal"/>
    <w:next w:val="Normal"/>
    <w:qFormat/>
    <w:pPr>
      <w:spacing w:after="160" w:before="3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2026-06-24T15:50:40.157Z</dcterms:created>
  <dcterms:modified xsi:type="dcterms:W3CDTF">2026-06-24T15:50:40.158Z</dcterms:modified>
</cp:coreProperties>
</file>

<file path=docProps/custom.xml><?xml version="1.0" encoding="utf-8"?>
<Properties xmlns="http://schemas.openxmlformats.org/officeDocument/2006/custom-properties" xmlns:vt="http://schemas.openxmlformats.org/officeDocument/2006/docPropsVTypes"/>
</file>