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7D32"/>
          <w:sz w:val="20"/>
          <w:szCs w:val="20"/>
        </w:rPr>
        <w:t xml:space="preserve">PRECIFICA CERTO</w:t>
      </w:r>
    </w:p>
    <w:p>
      <w:pPr>
        <w:pBdr>
          <w:bottom w:val="single" w:color="2E7D32" w:sz="6" w:space="8"/>
        </w:pBdr>
        <w:spacing w:after="300"/>
        <w:jc w:val="center"/>
      </w:pPr>
      <w:r>
        <w:rPr>
          <w:b/>
          <w:bCs/>
          <w:color w:val="1B1B1B"/>
          <w:sz w:val="40"/>
          <w:szCs w:val="40"/>
        </w:rPr>
        <w:t xml:space="preserve">Relatório de Correções e Melhorias — Sessão de 16/07/2026</w:t>
      </w:r>
    </w:p>
    <w:p>
      <w:pPr>
        <w:spacing w:after="100"/>
      </w:pPr>
      <w:r>
        <w:rPr>
          <w:i/>
          <w:iCs/>
          <w:color w:val="666666"/>
          <w:sz w:val="22"/>
          <w:szCs w:val="22"/>
        </w:rPr>
        <w:t xml:space="preserve">Documento de consolidação das correções e melhorias identificadas durante a sessão de revisão de produto realizada em 16/07/2026, com base nas telas de Produtos, Orçamentos e Relatório de RT (Comissão Reserva Técnica).</w:t>
      </w:r>
    </w:p>
    <w:p>
      <w:pPr>
        <w:pStyle w:val="Heading1"/>
        <w:spacing w:after="150" w:before="300"/>
      </w:pPr>
      <w:r>
        <w:rPr>
          <w:b/>
          <w:bCs/>
          <w:color w:val="2E7D32"/>
          <w:sz w:val="30"/>
          <w:szCs w:val="30"/>
        </w:rPr>
        <w:t xml:space="preserve">1. Módulo Produtos / Serviços</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BUG-UI-TABELA-LABEL-001</w:t>
            </w:r>
          </w:p>
        </w:tc>
      </w:tr>
    </w:tbl>
    <w:p>
      <w:pPr>
        <w:spacing w:after="60" w:before="120"/>
      </w:pPr>
      <w:r>
        <w:rPr>
          <w:b/>
          <w:bCs/>
          <w:sz w:val="22"/>
          <w:szCs w:val="22"/>
        </w:rPr>
        <w:t xml:space="preserve">Descritivo ausente no seletor de tabela de preços</w:t>
      </w:r>
    </w:p>
    <w:p>
      <w:pPr>
        <w:spacing w:after="100"/>
      </w:pPr>
      <w:r>
        <w:rPr>
          <w:sz w:val="22"/>
          <w:szCs w:val="22"/>
        </w:rPr>
        <w:t xml:space="preserve">Problema: o seletor de tabela (dropdown ao lado da busca de produtos) exibe apenas o nome da tabela ativa (ex.: "Orçamentos Cristiano"), sem nenhum rótulo indicando que se trata da tabela de preços vinculada ao vendedor. Isso gerou confusão real com um cliente, que não conseguiu identificar onde estavam as opções de outros vendedores.</w:t>
      </w:r>
    </w:p>
    <w:p>
      <w:pPr>
        <w:spacing w:after="100"/>
      </w:pPr>
      <w:r>
        <w:rPr>
          <w:sz w:val="22"/>
          <w:szCs w:val="22"/>
        </w:rPr>
        <w:t xml:space="preserve">Correção sugerida:</w:t>
      </w:r>
    </w:p>
    <w:p>
      <w:pPr>
        <w:pStyle w:val="ListParagraph"/>
        <w:numPr>
          <w:ilvl w:val="0"/>
          <w:numId w:val="1"/>
        </w:numPr>
        <w:spacing w:after="60"/>
      </w:pPr>
      <w:r>
        <w:rPr>
          <w:sz w:val="22"/>
          <w:szCs w:val="22"/>
        </w:rPr>
        <w:t xml:space="preserve">Adicionar um label acima ou ao lado do dropdown, como "Tabela de preços" ou "Vendedor / Tabela selecionada";</w:t>
      </w:r>
    </w:p>
    <w:p>
      <w:pPr>
        <w:pStyle w:val="ListParagraph"/>
        <w:numPr>
          <w:ilvl w:val="0"/>
          <w:numId w:val="1"/>
        </w:numPr>
        <w:spacing w:after="60"/>
      </w:pPr>
      <w:r>
        <w:rPr>
          <w:sz w:val="22"/>
          <w:szCs w:val="22"/>
        </w:rPr>
        <w:t xml:space="preserve">Ou aplicar placeholder/descrição fixa: "Selecione a tabela" (vazio) e "Tabela ativa: [nome]" (preenchido);</w:t>
      </w:r>
    </w:p>
    <w:p>
      <w:pPr>
        <w:pStyle w:val="ListParagraph"/>
        <w:numPr>
          <w:ilvl w:val="0"/>
          <w:numId w:val="1"/>
        </w:numPr>
        <w:spacing w:after="60"/>
      </w:pPr>
      <w:r>
        <w:rPr>
          <w:sz w:val="22"/>
          <w:szCs w:val="22"/>
        </w:rPr>
        <w:t xml:space="preserve">Aplicar o mesmo tratamento na tela de Serviços, que replica a mesma estrutura de tabela vinculada a vendedor.</w:t>
      </w:r>
    </w:p>
    <w:p>
      <w:pPr>
        <w:pStyle w:val="Heading1"/>
        <w:spacing w:after="150" w:before="300"/>
      </w:pPr>
      <w:r>
        <w:rPr>
          <w:b/>
          <w:bCs/>
          <w:color w:val="2E7D32"/>
          <w:sz w:val="30"/>
          <w:szCs w:val="30"/>
        </w:rPr>
        <w:t xml:space="preserve">2. Módulo Orçamentos</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BUG-UI-ORCAMENTO-PRECOUNIT-LAYOUT-001</w:t>
            </w:r>
          </w:p>
        </w:tc>
      </w:tr>
    </w:tbl>
    <w:p>
      <w:pPr>
        <w:spacing w:after="60" w:before="120"/>
      </w:pPr>
      <w:r>
        <w:rPr>
          <w:b/>
          <w:bCs/>
          <w:sz w:val="22"/>
          <w:szCs w:val="22"/>
        </w:rPr>
        <w:t xml:space="preserve">Layout dos campos Qtd. e Preço Un. na edição de orçamento</w:t>
      </w:r>
    </w:p>
    <w:p>
      <w:pPr>
        <w:spacing w:after="100"/>
      </w:pPr>
      <w:r>
        <w:rPr>
          <w:sz w:val="22"/>
          <w:szCs w:val="22"/>
        </w:rPr>
        <w:t xml:space="preserve">Problema: no campo "Preço Un.", o cifrão ("R$") ocupa uma caixa separada do valor numérico, reduzindo o espaço disponível e causando truncamento do valor exibido (ex.: "170.889,88" aparece cortado como "170.:").</w:t>
      </w:r>
    </w:p>
    <w:p>
      <w:pPr>
        <w:spacing w:after="100"/>
      </w:pPr>
      <w:r>
        <w:rPr>
          <w:sz w:val="22"/>
          <w:szCs w:val="22"/>
        </w:rPr>
        <w:t xml:space="preserve">Correção sugerida:</w:t>
      </w:r>
    </w:p>
    <w:p>
      <w:pPr>
        <w:pStyle w:val="ListParagraph"/>
        <w:numPr>
          <w:ilvl w:val="0"/>
          <w:numId w:val="1"/>
        </w:numPr>
        <w:spacing w:after="60"/>
      </w:pPr>
      <w:r>
        <w:rPr>
          <w:sz w:val="22"/>
          <w:szCs w:val="22"/>
        </w:rPr>
        <w:t xml:space="preserve">Unificar o "R$" como prefixo dentro do próprio input de valor, eliminando a caixa separada;</w:t>
      </w:r>
    </w:p>
    <w:p>
      <w:pPr>
        <w:pStyle w:val="ListParagraph"/>
        <w:numPr>
          <w:ilvl w:val="0"/>
          <w:numId w:val="1"/>
        </w:numPr>
        <w:spacing w:after="60"/>
      </w:pPr>
      <w:r>
        <w:rPr>
          <w:sz w:val="22"/>
          <w:szCs w:val="22"/>
        </w:rPr>
        <w:t xml:space="preserve">Aumentar minimamente a largura do campo "Qtd." (o suficiente para comportar 3 dígitos sem cortar), sem comprometer a harmonia do layout atual;</w:t>
      </w:r>
    </w:p>
    <w:p>
      <w:pPr>
        <w:pStyle w:val="ListParagraph"/>
        <w:numPr>
          <w:ilvl w:val="0"/>
          <w:numId w:val="1"/>
        </w:numPr>
        <w:spacing w:after="60"/>
      </w:pPr>
      <w:r>
        <w:rPr>
          <w:sz w:val="22"/>
          <w:szCs w:val="22"/>
        </w:rPr>
        <w:t xml:space="preserve">Restrição: preservar a proporção geral da tabela (ocupando ~metade da tela), evitando poluir o display.</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FEAT-ORCAMENTO-FILTRO-UNIFICADO-001</w:t>
            </w:r>
          </w:p>
        </w:tc>
      </w:tr>
    </w:tbl>
    <w:p>
      <w:pPr>
        <w:spacing w:after="60" w:before="120"/>
      </w:pPr>
      <w:r>
        <w:rPr>
          <w:b/>
          <w:bCs/>
          <w:sz w:val="22"/>
          <w:szCs w:val="22"/>
        </w:rPr>
        <w:t xml:space="preserve">Padronização dos filtros da listagem de Orçamentos</w:t>
      </w:r>
    </w:p>
    <w:p>
      <w:pPr>
        <w:spacing w:after="100"/>
      </w:pPr>
      <w:r>
        <w:rPr>
          <w:sz w:val="22"/>
          <w:szCs w:val="22"/>
        </w:rPr>
        <w:t xml:space="preserve">Problema: a tela de Orçamentos possui campos de filtro separados ("Buscar por cliente..." e "Filtrar por vendedor"), divergindo do padrão já adotado no módulo Vendas.</w:t>
      </w:r>
    </w:p>
    <w:p>
      <w:pPr>
        <w:spacing w:after="100"/>
      </w:pPr>
      <w:r>
        <w:rPr>
          <w:sz w:val="22"/>
          <w:szCs w:val="22"/>
        </w:rPr>
        <w:t xml:space="preserve">Correção sugerida (alinhada ao padrão já existente em Vendas):</w:t>
      </w:r>
    </w:p>
    <w:p>
      <w:pPr>
        <w:pStyle w:val="ListParagraph"/>
        <w:numPr>
          <w:ilvl w:val="0"/>
          <w:numId w:val="1"/>
        </w:numPr>
        <w:spacing w:after="60"/>
      </w:pPr>
      <w:r>
        <w:rPr>
          <w:sz w:val="22"/>
          <w:szCs w:val="22"/>
        </w:rPr>
        <w:t xml:space="preserve">Substituir os dois campos por um único campo de busca unificado: "Buscar por produto, cliente, vendedor...";</w:t>
      </w:r>
    </w:p>
    <w:p>
      <w:pPr>
        <w:pStyle w:val="ListParagraph"/>
        <w:numPr>
          <w:ilvl w:val="0"/>
          <w:numId w:val="1"/>
        </w:numPr>
        <w:spacing w:after="60"/>
      </w:pPr>
      <w:r>
        <w:rPr>
          <w:sz w:val="22"/>
          <w:szCs w:val="22"/>
        </w:rPr>
        <w:t xml:space="preserve">Adicionar, na mesma linha, o filtro de intervalo de data ("Data início → Data fim") com ícone de calendário, replicando o componente visual já existente em Vendas;</w:t>
      </w:r>
    </w:p>
    <w:p>
      <w:pPr>
        <w:pStyle w:val="ListParagraph"/>
        <w:numPr>
          <w:ilvl w:val="0"/>
          <w:numId w:val="1"/>
        </w:numPr>
        <w:spacing w:after="60"/>
      </w:pPr>
      <w:r>
        <w:rPr>
          <w:sz w:val="22"/>
          <w:szCs w:val="22"/>
        </w:rPr>
        <w:t xml:space="preserve">Objetivo: padronizar a experiência de filtros entre os módulos Orçamentos e Vendas, sem adicionar nova linha ao layout.</w:t>
      </w:r>
    </w:p>
    <w:p>
      <w:pPr>
        <w:pStyle w:val="Heading1"/>
        <w:spacing w:after="150" w:before="300"/>
      </w:pPr>
      <w:r>
        <w:rPr>
          <w:b/>
          <w:bCs/>
          <w:color w:val="2E7D32"/>
          <w:sz w:val="30"/>
          <w:szCs w:val="30"/>
        </w:rPr>
        <w:t xml:space="preserve">3. Relatório de RT — Comissão Reserva Técnica</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BUG-UI-RELATORIORT-COLUNAORDEM-001</w:t>
            </w:r>
          </w:p>
        </w:tc>
      </w:tr>
    </w:tbl>
    <w:p>
      <w:pPr>
        <w:spacing w:after="60" w:before="120"/>
      </w:pPr>
      <w:r>
        <w:rPr>
          <w:b/>
          <w:bCs/>
          <w:sz w:val="22"/>
          <w:szCs w:val="22"/>
        </w:rPr>
        <w:t xml:space="preserve">Reordenação de colunas — tabela "Resumo por Vendedor"</w:t>
      </w:r>
    </w:p>
    <w:p>
      <w:pPr>
        <w:spacing w:after="100"/>
      </w:pPr>
      <w:r>
        <w:rPr>
          <w:sz w:val="22"/>
          <w:szCs w:val="22"/>
        </w:rPr>
        <w:t xml:space="preserve">Alteração: na tabela "Resumo por Vendedor" (seção inferior do PDF do Relatório de RT), inverter a posição das colunas "RT Liquidada" e "RT Total", mantendo "RT em Aberto" na posição central.</w:t>
      </w:r>
    </w:p>
    <w:p>
      <w:pPr>
        <w:pStyle w:val="ListParagraph"/>
        <w:numPr>
          <w:ilvl w:val="0"/>
          <w:numId w:val="1"/>
        </w:numPr>
        <w:spacing w:after="60"/>
      </w:pPr>
      <w:r>
        <w:rPr>
          <w:sz w:val="22"/>
          <w:szCs w:val="22"/>
        </w:rPr>
        <w:t xml:space="preserve">Ordem atual: RT Liquidada → RT em Aberto → RT Total</w:t>
      </w:r>
    </w:p>
    <w:p>
      <w:pPr>
        <w:pStyle w:val="ListParagraph"/>
        <w:numPr>
          <w:ilvl w:val="0"/>
          <w:numId w:val="1"/>
        </w:numPr>
        <w:spacing w:after="60"/>
      </w:pPr>
      <w:r>
        <w:rPr>
          <w:sz w:val="22"/>
          <w:szCs w:val="22"/>
        </w:rPr>
        <w:t xml:space="preserve">Nova ordem: RT Total → RT em Aberto → RT Liquidada</w:t>
      </w:r>
    </w:p>
    <w:p>
      <w:pPr>
        <w:spacing w:after="100"/>
      </w:pPr>
      <w:r>
        <w:rPr>
          <w:sz w:val="22"/>
          <w:szCs w:val="22"/>
        </w:rPr>
        <w:t xml:space="preserve">Racional: a leitura passa a seguir a lógica de total geral → valor pendente → valor efetivamente liquidado (resultado final a receber/pagar). Alteração restrita à tabela "Resumo por Vendedor"; a tabela detalhada por vendedor/venda e as linhas de totais (TOTAL GERAL / LIQUIDADO / EM ABERTO) permanecem inalteradas.</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FEAT-RELATORIORT-ASSINATURA-001</w:t>
            </w:r>
          </w:p>
        </w:tc>
      </w:tr>
    </w:tbl>
    <w:p>
      <w:pPr>
        <w:spacing w:after="60" w:before="120"/>
      </w:pPr>
      <w:r>
        <w:rPr>
          <w:b/>
          <w:bCs/>
          <w:sz w:val="22"/>
          <w:szCs w:val="22"/>
        </w:rPr>
        <w:t xml:space="preserve">Campo de confirmação de recebimento no PDF do Relatório de RT</w:t>
      </w:r>
    </w:p>
    <w:p>
      <w:pPr>
        <w:spacing w:after="100"/>
      </w:pPr>
      <w:r>
        <w:rPr>
          <w:sz w:val="22"/>
          <w:szCs w:val="22"/>
        </w:rPr>
        <w:t xml:space="preserve">Adicionar, abaixo da tabela "Resumo por Vendedor" no PDF, uma área de confirmação/assinatura de recebimento, contendo:</w:t>
      </w:r>
    </w:p>
    <w:p>
      <w:pPr>
        <w:pStyle w:val="ListParagraph"/>
        <w:numPr>
          <w:ilvl w:val="0"/>
          <w:numId w:val="1"/>
        </w:numPr>
        <w:spacing w:after="60"/>
      </w:pPr>
      <w:r>
        <w:rPr>
          <w:sz w:val="22"/>
          <w:szCs w:val="22"/>
        </w:rPr>
        <w:t xml:space="preserve">Nome do vendedor, selecionado via dropdown (mesma base de vendedores do relatório);</w:t>
      </w:r>
    </w:p>
    <w:p>
      <w:pPr>
        <w:pStyle w:val="ListParagraph"/>
        <w:numPr>
          <w:ilvl w:val="0"/>
          <w:numId w:val="1"/>
        </w:numPr>
        <w:spacing w:after="60"/>
      </w:pPr>
      <w:r>
        <w:rPr>
          <w:sz w:val="22"/>
          <w:szCs w:val="22"/>
        </w:rPr>
        <w:t xml:space="preserve">Data preenchida automaticamente, para formalizar a confirmação do recebimento do valor de RT liquidado.</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FEAT-RT-COMISSAO-FLUXOCAIXA-SOURCEOFTRUTH-001</w:t>
            </w:r>
          </w:p>
        </w:tc>
      </w:tr>
    </w:tbl>
    <w:p>
      <w:pPr>
        <w:spacing w:after="60" w:before="120"/>
      </w:pPr>
      <w:r>
        <w:rPr>
          <w:b/>
          <w:bCs/>
          <w:sz w:val="22"/>
          <w:szCs w:val="22"/>
        </w:rPr>
        <w:t xml:space="preserve">Fluxo de Caixa como fonte única de verdade para status de RT e Comissão</w:t>
      </w:r>
    </w:p>
    <w:p>
      <w:pPr>
        <w:spacing w:after="100"/>
      </w:pPr>
      <w:r>
        <w:rPr>
          <w:sz w:val="22"/>
          <w:szCs w:val="22"/>
        </w:rPr>
        <w:t xml:space="preserve">Contexto: o RT (Comissão Reserva Técnica) é apurado por competência mensal, mas o pagamento de uma parcela pode ocorrer em mês posterior ao da competência original. O mesmo se aplica à Comissão de Vendedor, já que uma mesma parcela de venda pode conter valores de RT e de Comissão simultaneamente.</w:t>
      </w:r>
    </w:p>
    <w:p>
      <w:pPr>
        <w:spacing w:after="100"/>
      </w:pPr>
      <w:r>
        <w:rPr>
          <w:sz w:val="22"/>
          <w:szCs w:val="22"/>
        </w:rPr>
        <w:t xml:space="preserve">Regra de negócio a implementar:</w:t>
      </w:r>
    </w:p>
    <w:p>
      <w:pPr>
        <w:pStyle w:val="ListParagraph"/>
        <w:numPr>
          <w:ilvl w:val="0"/>
          <w:numId w:val="1"/>
        </w:numPr>
        <w:spacing w:after="60"/>
      </w:pPr>
      <w:r>
        <w:rPr>
          <w:sz w:val="22"/>
          <w:szCs w:val="22"/>
        </w:rPr>
        <w:t xml:space="preserve">O Fluxo de Caixa passa a ser a referência única (source of truth) para o status de liquidação — "Aberto" ou "Liquidado" — tanto de RT quanto de Comissão de Vendedor;</w:t>
      </w:r>
    </w:p>
    <w:p>
      <w:pPr>
        <w:pStyle w:val="ListParagraph"/>
        <w:numPr>
          <w:ilvl w:val="0"/>
          <w:numId w:val="1"/>
        </w:numPr>
        <w:spacing w:after="60"/>
      </w:pPr>
      <w:r>
        <w:rPr>
          <w:sz w:val="22"/>
          <w:szCs w:val="22"/>
        </w:rPr>
        <w:t xml:space="preserve">Quando uma parcela é baixada/paga no Fluxo de Caixa, essa informação retroalimenta automaticamente dois módulos: (a) RT / Comissão Reserva Técnica e (b) Comissões de Vendedor;</w:t>
      </w:r>
    </w:p>
    <w:p>
      <w:pPr>
        <w:pStyle w:val="ListParagraph"/>
        <w:numPr>
          <w:ilvl w:val="0"/>
          <w:numId w:val="1"/>
        </w:numPr>
        <w:spacing w:after="60"/>
      </w:pPr>
      <w:r>
        <w:rPr>
          <w:sz w:val="22"/>
          <w:szCs w:val="22"/>
        </w:rPr>
        <w:t xml:space="preserve">Essa retroalimentação deve ocorrer mesmo quando o pagamento acontece em mês posterior à competência original — ou seja, o status de uma parcela no relatório do mês de origem (ex.: julho) deve ser atualizado retroativamente quando o pagamento for registrado no Fluxo de Caixa em um mês seguinte (ex.: agosto).</w:t>
      </w:r>
    </w:p>
    <w:p>
      <w:pPr>
        <w:spacing w:after="100"/>
      </w:pPr>
      <w:r>
        <w:rPr>
          <w:i/>
          <w:iCs/>
          <w:color w:val="666666"/>
          <w:sz w:val="22"/>
          <w:szCs w:val="22"/>
        </w:rPr>
        <w:t xml:space="preserve">Observação: este item tem natureza estrutural/arquitetural (fluxo de dados entre módulos Fluxo de Caixa ↔ RT ↔ Comissão de Vendedor) e recomenda-se detalhamento técnico complementar antes da implementação.</w:t>
      </w:r>
    </w:p>
    <w:p>
      <w:pPr>
        <w:pStyle w:val="Heading1"/>
        <w:spacing w:after="150" w:before="300"/>
      </w:pPr>
      <w:r>
        <w:rPr>
          <w:b/>
          <w:bCs/>
          <w:color w:val="2E7D32"/>
          <w:sz w:val="30"/>
          <w:szCs w:val="30"/>
        </w:rPr>
        <w:t xml:space="preserve">4. Relatório de Vendas</w:t>
      </w:r>
    </w:p>
    <w:tbl>
      <w:tblPr>
        <w:tblW w:type="pct" w:w="100%"/>
        <w:tblBorders>
          <w:top w:val="none"/>
          <w:left w:val="none"/>
          <w:bottom w:val="none"/>
          <w:right w:val="none"/>
          <w:insideH w:val="none"/>
          <w:insideV w:val="none"/>
        </w:tblBorders>
      </w:tblPr>
      <w:tblGrid>
        <w:gridCol w:w="100"/>
      </w:tblGrid>
      <w:tr>
        <w:tc>
          <w:tcPr>
            <w:tcW w:type="pct" w:w="100%"/>
            <w:shd w:fill="1565C0"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BUG-CALC-RELATORIOVENDAS-ARREDONDAMENTO-001</w:t>
            </w:r>
          </w:p>
        </w:tc>
      </w:tr>
    </w:tbl>
    <w:p>
      <w:pPr>
        <w:spacing w:after="60" w:before="120"/>
      </w:pPr>
      <w:r>
        <w:rPr>
          <w:b/>
          <w:bCs/>
          <w:sz w:val="22"/>
          <w:szCs w:val="22"/>
        </w:rPr>
        <w:t xml:space="preserve">Divergência de arredondamento na linha TOTAL — aba Relatório de Comissões</w:t>
      </w:r>
    </w:p>
    <w:p>
      <w:pPr>
        <w:spacing w:after="100"/>
      </w:pPr>
      <w:r>
        <w:rPr>
          <w:sz w:val="22"/>
          <w:szCs w:val="22"/>
        </w:rPr>
        <w:t xml:space="preserve">Problema: a linha TOTAL (coluna "Valor Vendido") não coincide com a soma exata dos valores individuais das vendas listadas na tabela. Exemplo identificado: R$ 35.000,00 + R$ 270.000,00 deveria resultar em R$ 305.000,00, porém o total exibido é R$ 304.999,99 — divergência de R$ 0,01.</w:t>
      </w:r>
    </w:p>
    <w:p>
      <w:pPr>
        <w:spacing w:after="100"/>
      </w:pPr>
      <w:r>
        <w:rPr>
          <w:sz w:val="22"/>
          <w:szCs w:val="22"/>
        </w:rPr>
        <w:t xml:space="preserve">Causa provável: o arredondamento está sendo aplicado antes da soma (cada valor arredondado/truncado individualmente em algum cálculo intermediário), em vez de somar diretamente os valores já exibidos linha a linha.</w:t>
      </w:r>
    </w:p>
    <w:p>
      <w:pPr>
        <w:spacing w:after="100"/>
      </w:pPr>
      <w:r>
        <w:rPr>
          <w:sz w:val="22"/>
          <w:szCs w:val="22"/>
        </w:rPr>
        <w:t xml:space="preserve">Correção: a linha TOTAL deve refletir exatamente a soma matemática dos valores apresentados nas linhas acima da tabela, sem divergência de centavos.</w:t>
      </w:r>
    </w:p>
    <w:p>
      <w:pPr>
        <w:pStyle w:val="Heading1"/>
        <w:spacing w:after="150" w:before="300"/>
      </w:pPr>
      <w:r>
        <w:rPr>
          <w:b/>
          <w:bCs/>
          <w:color w:val="2E7D32"/>
          <w:sz w:val="30"/>
          <w:szCs w:val="30"/>
        </w:rPr>
        <w:t xml:space="preserve">5. Fluxo de Caixa</w:t>
      </w:r>
    </w:p>
    <w:tbl>
      <w:tblPr>
        <w:tblW w:type="pct" w:w="100%"/>
        <w:tblBorders>
          <w:top w:val="none"/>
          <w:left w:val="none"/>
          <w:bottom w:val="none"/>
          <w:right w:val="none"/>
          <w:insideH w:val="none"/>
          <w:insideV w:val="none"/>
        </w:tblBorders>
      </w:tblPr>
      <w:tblGrid>
        <w:gridCol w:w="100"/>
      </w:tblGrid>
      <w:tr>
        <w:tc>
          <w:tcPr>
            <w:tcW w:type="pct" w:w="100%"/>
            <w:shd w:fill="C62828" w:val="clear"/>
            <w:tcMar>
              <w:top w:type="dxa" w:w="100"/>
              <w:left w:type="dxa" w:w="150"/>
              <w:bottom w:type="dxa" w:w="100"/>
              <w:right w:type="dxa" w:w="150"/>
            </w:tcMar>
          </w:tcPr>
          <w:p>
            <w:r>
              <w:rPr>
                <w:rFonts w:ascii="Courier New" w:cs="Courier New" w:eastAsia="Courier New" w:hAnsi="Courier New"/>
                <w:b/>
                <w:bCs/>
                <w:color w:val="FFFFFF"/>
                <w:sz w:val="20"/>
                <w:szCs w:val="20"/>
              </w:rPr>
              <w:t xml:space="preserve">BUG-FLUXOCAIXA-CATEGORIA-RTCOMISSOES-001</w:t>
            </w:r>
          </w:p>
        </w:tc>
      </w:tr>
    </w:tbl>
    <w:p>
      <w:pPr>
        <w:spacing w:after="60" w:before="120"/>
      </w:pPr>
      <w:r>
        <w:rPr>
          <w:b/>
          <w:bCs/>
          <w:color w:val="C62828"/>
          <w:sz w:val="22"/>
          <w:szCs w:val="22"/>
        </w:rPr>
        <w:t xml:space="preserve">⚠ CRÍTICO / URGENTE — Categoria "RT Comissões" ausente nos lançamentos de despesa</w:t>
      </w:r>
    </w:p>
    <w:p>
      <w:pPr>
        <w:spacing w:after="100"/>
      </w:pPr>
      <w:r>
        <w:rPr>
          <w:sz w:val="22"/>
          <w:szCs w:val="22"/>
        </w:rPr>
        <w:t xml:space="preserve">Problema: no formulário "Novo Lançamento de Despesa" do Fluxo de Caixa, a categoria "RT Comissões" não aparece na lista de categorias de despesa — apenas "Comissões de Venda" está presente no grupo "— Comissões —". Sem essa categoria disponível, não é possível lançar manualmente uma despesa de RT.</w:t>
      </w:r>
    </w:p>
    <w:p>
      <w:pPr>
        <w:spacing w:after="100"/>
      </w:pPr>
      <w:r>
        <w:rPr>
          <w:sz w:val="22"/>
          <w:szCs w:val="22"/>
        </w:rPr>
        <w:t xml:space="preserve">Gravidade: esta é a terceira solicitação do mesmo item, ainda não atendida. Trata-se de regra considerada inviolável pelo usuário, com caráter de urgência/emergência.</w:t>
      </w:r>
    </w:p>
    <w:p>
      <w:pPr>
        <w:spacing w:after="100"/>
      </w:pPr>
      <w:r>
        <w:rPr>
          <w:sz w:val="22"/>
          <w:szCs w:val="22"/>
        </w:rPr>
        <w:t xml:space="preserve">Correção: adicionar "RT Comissões" como categoria selecionável na lista de categorias de despesa (grupo "— Comissões —"), ao lado de "Comissões de Venda".</w:t>
      </w:r>
    </w:p>
    <w:p>
      <w:pPr>
        <w:spacing w:after="100"/>
      </w:pPr>
      <w:r>
        <w:rPr>
          <w:i/>
          <w:iCs/>
          <w:color w:val="666666"/>
          <w:sz w:val="22"/>
          <w:szCs w:val="22"/>
        </w:rPr>
        <w:t xml:space="preserve">Observação: este item se conecta diretamente ao item FEAT-RT-COMISSAO-FLUXOCAIXA-SOURCEOFTRUTH-001 (seção 3) — sem a categoria RT Comissões disponível no Fluxo de Caixa, a retroalimentação de status entre Fluxo de Caixa e o módulo RT/Comissão fica inviabilizada na origem.</w:t>
      </w:r>
    </w:p>
    <w:p>
      <w:pPr>
        <w:pBdr>
          <w:top w:val="single" w:color="CCCCCC" w:sz="4" w:space="8"/>
        </w:pBdr>
        <w:spacing w:before="400"/>
      </w:pPr>
      <w:r>
        <w:rPr>
          <w:i/>
          <w:iCs/>
          <w:color w:val="666666"/>
          <w:sz w:val="18"/>
          <w:szCs w:val="18"/>
        </w:rPr>
        <w:t xml:space="preserve">Fim do relatório — 8 itens consolidados nesta sessão.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2026-07-16T16:49:13.509Z</dcterms:created>
  <dcterms:modified xsi:type="dcterms:W3CDTF">2026-07-16T16:49:13.520Z</dcterms:modified>
</cp:coreProperties>
</file>

<file path=docProps/custom.xml><?xml version="1.0" encoding="utf-8"?>
<Properties xmlns="http://schemas.openxmlformats.org/officeDocument/2006/custom-properties" xmlns:vt="http://schemas.openxmlformats.org/officeDocument/2006/docPropsVTypes"/>
</file>