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7A4D"/>
          <w:sz w:val="40"/>
          <w:szCs w:val="40"/>
        </w:rPr>
        <w:t xml:space="preserve">PRECIFICA CERTO</w:t>
      </w:r>
    </w:p>
    <w:p>
      <w:pPr>
        <w:spacing w:after="400"/>
        <w:jc w:val="center"/>
      </w:pPr>
      <w:r>
        <w:rPr>
          <w:sz w:val="26"/>
          <w:szCs w:val="26"/>
        </w:rPr>
        <w:t xml:space="preserve">Relatório de Correção e Alteração — v8</w:t>
      </w:r>
    </w:p>
    <w:p>
      <w:pPr>
        <w:spacing w:after="60"/>
        <w:jc w:val="center"/>
      </w:pPr>
      <w:r>
        <w:rPr>
          <w:i/>
          <w:iCs/>
          <w:sz w:val="20"/>
          <w:szCs w:val="20"/>
        </w:rPr>
        <w:t xml:space="preserve">Data: 13/07/2026</w:t>
      </w:r>
    </w:p>
    <w:p>
      <w:pPr>
        <w:spacing w:after="400"/>
        <w:jc w:val="center"/>
      </w:pPr>
      <w:r>
        <w:rPr>
          <w:i/>
          <w:iCs/>
          <w:sz w:val="20"/>
          <w:szCs w:val="20"/>
        </w:rPr>
        <w:t xml:space="preserve">Responsável: Cristiano — Product Owner, Precifica Certo</w:t>
      </w:r>
    </w:p>
    <w:p>
      <w:pPr>
        <w:pBdr>
          <w:bottom w:val="single" w:color="999999" w:sz="6" w:space="1"/>
        </w:pBdr>
        <w:spacing w:after="200" w:before="200"/>
      </w:pPr>
    </w:p>
    <w:p>
      <w:pPr>
        <w:pStyle w:val="Heading1"/>
        <w:spacing w:after="200" w:before="400"/>
      </w:pPr>
      <w:r>
        <w:t xml:space="preserve">Sumário dos Itens</w:t>
      </w:r>
    </w:p>
    <w:p>
      <w:pPr>
        <w:pStyle w:val="ListParagraph"/>
        <w:numPr>
          <w:ilvl w:val="0"/>
          <w:numId w:val="1"/>
        </w:numPr>
        <w:spacing w:after="60"/>
      </w:pPr>
      <w:r>
        <w:t xml:space="preserve">1. Dashboard (Home) — desalinhamento dos 5 cards superiores e quebra de linha em valor negativo</w:t>
      </w:r>
    </w:p>
    <w:p>
      <w:pPr>
        <w:pStyle w:val="ListParagraph"/>
        <w:numPr>
          <w:ilvl w:val="0"/>
          <w:numId w:val="1"/>
        </w:numPr>
        <w:spacing w:after="60"/>
      </w:pPr>
      <w:r>
        <w:t xml:space="preserve">2. Orçamentos — bug de persistência do valor de desconto (BUG-ORCAMENTO-DESCONTO-PERSIST-001)</w:t>
      </w:r>
    </w:p>
    <w:p>
      <w:pPr>
        <w:pStyle w:val="ListParagraph"/>
        <w:numPr>
          <w:ilvl w:val="0"/>
          <w:numId w:val="1"/>
        </w:numPr>
        <w:spacing w:after="60"/>
      </w:pPr>
      <w:r>
        <w:t xml:space="preserve">3. Nova Feature — RT (Comissão Reserva Técnica)</w:t>
      </w:r>
    </w:p>
    <w:p>
      <w:pPr>
        <w:pBdr>
          <w:bottom w:val="single" w:color="999999" w:sz="6" w:space="1"/>
        </w:pBdr>
        <w:spacing w:after="200" w:before="200"/>
      </w:pPr>
    </w:p>
    <w:p>
      <w:pPr>
        <w:pStyle w:val="Heading1"/>
        <w:spacing w:after="200" w:before="400"/>
      </w:pPr>
      <w:r>
        <w:t xml:space="preserve">1. Dashboard (Home) — Desalinhamento dos 5 Cards Superiores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0392B" w:val="clear"/>
            <w:tcMar>
              <w:top w:type="dxa" w:w="100"/>
              <w:left w:type="dxa" w:w="150"/>
              <w:bottom w:type="dxa" w:w="100"/>
              <w:right w:type="dxa" w:w="150"/>
            </w:tcMar>
          </w:tcPr>
          <w:p>
            <w:r>
              <w:rPr>
                <w:b/>
                <w:bCs/>
                <w:color w:val="FFFFFF"/>
              </w:rPr>
              <w:t xml:space="preserve">STATUS: CORREÇÃO PENDENTE</w:t>
            </w:r>
          </w:p>
        </w:tc>
      </w:tr>
    </w:tbl>
    <w:p>
      <w:pPr>
        <w:spacing w:after="60" w:before="150"/>
      </w:pPr>
      <w:r>
        <w:rPr>
          <w:b/>
          <w:bCs/>
        </w:rPr>
        <w:t xml:space="preserve">Localização:</w:t>
      </w:r>
    </w:p>
    <w:p>
      <w:pPr>
        <w:spacing w:after="120"/>
      </w:pPr>
      <w:r>
        <w:t xml:space="preserve">app.precificacerto.com — Dashboard / Home, bloco superior com os 5 cards de indicadores (Total de Entradas, Total de Saídas, Saldo Atual, Meta Mensal, Ponto de Equilíbrio).</w:t>
      </w:r>
    </w:p>
    <w:p>
      <w:pPr>
        <w:spacing w:after="60" w:before="150"/>
      </w:pPr>
      <w:r>
        <w:rPr>
          <w:b/>
          <w:bCs/>
        </w:rPr>
        <w:t xml:space="preserve">Descrição do problema:</w:t>
      </w:r>
    </w:p>
    <w:p>
      <w:pPr>
        <w:pStyle w:val="ListParagraph"/>
        <w:numPr>
          <w:ilvl w:val="0"/>
          <w:numId w:val="1"/>
        </w:numPr>
        <w:spacing w:after="60"/>
      </w:pPr>
      <w:r>
        <w:t xml:space="preserve">Os 5 cards não mantêm alinhamento vertical consistente entre si (ícone, valor e label não seguem a mesma grade/baseline nos 5 cards).</w:t>
      </w:r>
    </w:p>
    <w:p>
      <w:pPr>
        <w:pStyle w:val="ListParagraph"/>
        <w:numPr>
          <w:ilvl w:val="0"/>
          <w:numId w:val="1"/>
        </w:numPr>
        <w:spacing w:after="60"/>
      </w:pPr>
      <w:r>
        <w:t xml:space="preserve">No card "Saldo Atual", quando o valor é negativo, o sinal de "-" quebra para uma linha separada do valor numérico (ex.: "-" em uma linha e "R$ 22.404,13" na linha seguinte), em vez de permanecer na mesma linha (ex.: "-R$ 22.404,13").</w:t>
      </w:r>
    </w:p>
    <w:p>
      <w:pPr>
        <w:spacing w:after="60" w:before="150"/>
      </w:pPr>
      <w:r>
        <w:rPr>
          <w:b/>
          <w:bCs/>
        </w:rPr>
        <w:t xml:space="preserve">Correção esperada:</w:t>
      </w:r>
    </w:p>
    <w:p>
      <w:pPr>
        <w:pStyle w:val="ListParagraph"/>
        <w:numPr>
          <w:ilvl w:val="0"/>
          <w:numId w:val="1"/>
        </w:numPr>
        <w:spacing w:after="60"/>
      </w:pPr>
      <w:r>
        <w:t xml:space="preserve">Padronizar o alinhamento estrutural dos 5 cards (mesma altura, mesmo posicionamento de ícone/valor/label).</w:t>
      </w:r>
    </w:p>
    <w:p>
      <w:pPr>
        <w:pStyle w:val="ListParagraph"/>
        <w:numPr>
          <w:ilvl w:val="0"/>
          <w:numId w:val="1"/>
        </w:numPr>
        <w:spacing w:after="60"/>
      </w:pPr>
      <w:r>
        <w:t xml:space="preserve">Corrigir a formatação de valores negativos para que o sinal e a cifra permaneçam sempre na mesma linha, sem quebra de texto.</w:t>
      </w:r>
    </w:p>
    <w:p>
      <w:pPr>
        <w:pBdr>
          <w:bottom w:val="single" w:color="999999" w:sz="6" w:space="1"/>
        </w:pBdr>
        <w:spacing w:after="200" w:before="200"/>
      </w:pPr>
    </w:p>
    <w:p>
      <w:pPr>
        <w:pStyle w:val="Heading1"/>
        <w:spacing w:after="200" w:before="400"/>
      </w:pPr>
      <w:r>
        <w:t xml:space="preserve">2. Orçamentos — Bug de Persistência do Valor de Desconto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E1B1B" w:val="clear"/>
            <w:tcMar>
              <w:top w:type="dxa" w:w="100"/>
              <w:left w:type="dxa" w:w="150"/>
              <w:bottom w:type="dxa" w:w="100"/>
              <w:right w:type="dxa" w:w="150"/>
            </w:tcMar>
          </w:tcPr>
          <w:p>
            <w:r>
              <w:rPr>
                <w:b/>
                <w:bCs/>
                <w:color w:val="FFFFFF"/>
              </w:rPr>
              <w:t xml:space="preserve">STATUS: CORREÇÃO CRÍTICA PENDENTE</w:t>
            </w:r>
          </w:p>
        </w:tc>
      </w:tr>
    </w:tbl>
    <w:p>
      <w:pPr>
        <w:spacing w:after="60" w:before="150"/>
      </w:pPr>
      <w:r>
        <w:rPr>
          <w:b/>
          <w:bCs/>
        </w:rPr>
        <w:t xml:space="preserve">Identificador:</w:t>
      </w:r>
    </w:p>
    <w:p>
      <w:pPr>
        <w:spacing w:after="120"/>
      </w:pPr>
      <w:r>
        <w:t xml:space="preserve">BUG-ORCAMENTO-DESCONTO-PERSIST-001</w:t>
      </w:r>
    </w:p>
    <w:p>
      <w:pPr>
        <w:spacing w:after="60" w:before="150"/>
      </w:pPr>
      <w:r>
        <w:rPr>
          <w:b/>
          <w:bCs/>
        </w:rPr>
        <w:t xml:space="preserve">Localização:</w:t>
      </w:r>
    </w:p>
    <w:p>
      <w:pPr>
        <w:spacing w:after="120"/>
      </w:pPr>
      <w:r>
        <w:t xml:space="preserve">Módulo Orçamentos — campo de Desconto (Modo: Congela Comissão Empresa).</w:t>
      </w:r>
    </w:p>
    <w:p>
      <w:pPr>
        <w:spacing w:after="60" w:before="150"/>
      </w:pPr>
      <w:r>
        <w:rPr>
          <w:b/>
          <w:bCs/>
        </w:rPr>
        <w:t xml:space="preserve">Descrição do problema:</w:t>
      </w:r>
    </w:p>
    <w:p>
      <w:pPr>
        <w:pStyle w:val="ListParagraph"/>
        <w:numPr>
          <w:ilvl w:val="0"/>
          <w:numId w:val="1"/>
        </w:numPr>
        <w:spacing w:after="60"/>
      </w:pPr>
      <w:r>
        <w:t xml:space="preserve">Valor inserido manualmente pelo usuário: R$ 7.121,30.</w:t>
      </w:r>
    </w:p>
    <w:p>
      <w:pPr>
        <w:pStyle w:val="ListParagraph"/>
        <w:numPr>
          <w:ilvl w:val="0"/>
          <w:numId w:val="1"/>
        </w:numPr>
        <w:spacing w:after="60"/>
      </w:pPr>
      <w:r>
        <w:t xml:space="preserve">Valor apresentado ao reabrir o orçamento para edição: R$ 7.119,70.</w:t>
      </w:r>
    </w:p>
    <w:p>
      <w:pPr>
        <w:pStyle w:val="ListParagraph"/>
        <w:numPr>
          <w:ilvl w:val="0"/>
          <w:numId w:val="1"/>
        </w:numPr>
        <w:spacing w:after="60"/>
      </w:pPr>
      <w:r>
        <w:t xml:space="preserve">Diferença: R$ 1,60 — pequena em valor absoluto, porém crítica em natureza, pois indica que o dado salvo não é fiel ao dado inserido pelo usuário.</w:t>
      </w:r>
    </w:p>
    <w:p>
      <w:pPr>
        <w:spacing w:after="60" w:before="150"/>
      </w:pPr>
      <w:r>
        <w:rPr>
          <w:b/>
          <w:bCs/>
        </w:rPr>
        <w:t xml:space="preserve">Justificativa de criticidade:</w:t>
      </w:r>
    </w:p>
    <w:p>
      <w:pPr>
        <w:spacing w:after="120"/>
      </w:pPr>
      <w:r>
        <w:t xml:space="preserve">O valor de desconto do orçamento fechado é a base de cálculo para toda a cascata subsequente — impostos (IBS/CBS/ICMS conforme regime), comissão do vendedor e lucro (Distribuição do Resultado). Qualquer divergência nesse valor de origem se propaga e compromete a integridade de todos os valores derivados dele. Trata-se de um erro de integridade referencial na base da cascata RRO, não um erro cosmético.</w:t>
      </w:r>
    </w:p>
    <w:p>
      <w:pPr>
        <w:spacing w:after="60" w:before="150"/>
      </w:pPr>
      <w:r>
        <w:rPr>
          <w:b/>
          <w:bCs/>
        </w:rPr>
        <w:t xml:space="preserve">Diagnóstico técnico (causa-raiz provável):</w:t>
      </w:r>
    </w:p>
    <w:p>
      <w:pPr>
        <w:pStyle w:val="ListParagraph"/>
        <w:numPr>
          <w:ilvl w:val="0"/>
          <w:numId w:val="1"/>
        </w:numPr>
        <w:spacing w:after="60"/>
      </w:pPr>
      <w:r>
        <w:t xml:space="preserve">Arredondamento/truncamento na conversão string↔decimal ao salvar o campo Desconto.</w:t>
      </w:r>
    </w:p>
    <w:p>
      <w:pPr>
        <w:pStyle w:val="ListParagraph"/>
        <w:numPr>
          <w:ilvl w:val="0"/>
          <w:numId w:val="1"/>
        </w:numPr>
        <w:spacing w:after="60"/>
      </w:pPr>
      <w:r>
        <w:t xml:space="preserve">Recálculo automático disparado no reload que sobrescreve o valor originalmente digitado, em vez de apenas exibir o valor persistido (mesmo padrão de falha já mapeado em BUG-CARDS-RRO-001).</w:t>
      </w:r>
    </w:p>
    <w:p>
      <w:pPr>
        <w:spacing w:after="60" w:before="150"/>
      </w:pPr>
      <w:r>
        <w:rPr>
          <w:b/>
          <w:bCs/>
        </w:rPr>
        <w:t xml:space="preserve">Solução exigida:</w:t>
      </w:r>
    </w:p>
    <w:p>
      <w:pPr>
        <w:pStyle w:val="ListParagraph"/>
        <w:numPr>
          <w:ilvl w:val="0"/>
          <w:numId w:val="1"/>
        </w:numPr>
        <w:spacing w:after="60"/>
      </w:pPr>
      <w:r>
        <w:t xml:space="preserve">O valor de desconto (R$ ou %) deve ser gravado exatamente como inserido, sem transformação intermediária que altere a precisão.</w:t>
      </w:r>
    </w:p>
    <w:p>
      <w:pPr>
        <w:pStyle w:val="ListParagraph"/>
        <w:numPr>
          <w:ilvl w:val="0"/>
          <w:numId w:val="1"/>
        </w:numPr>
        <w:spacing w:after="60"/>
      </w:pPr>
      <w:r>
        <w:t xml:space="preserve">Ao reabrir, o sistema deve ler e exibir o valor persistido tal como gravado, nunca recalculá-lo.</w:t>
      </w:r>
    </w:p>
    <w:p>
      <w:pPr>
        <w:pStyle w:val="ListParagraph"/>
        <w:numPr>
          <w:ilvl w:val="0"/>
          <w:numId w:val="1"/>
        </w:numPr>
        <w:spacing w:after="60"/>
      </w:pPr>
      <w:r>
        <w:t xml:space="preserve">Aplicar ao campo a mesma regra de integridade já exigida para os demais valores-âncora da cascata (ex.: Etapa 16 → cards de Distribuição do Resultado).</w:t>
      </w:r>
    </w:p>
    <w:p>
      <w:pPr>
        <w:pStyle w:val="ListParagraph"/>
        <w:numPr>
          <w:ilvl w:val="0"/>
          <w:numId w:val="1"/>
        </w:numPr>
        <w:spacing w:after="60"/>
      </w:pPr>
      <w:r>
        <w:t xml:space="preserve">Adicionar teste de integridade: salvar → reabrir → comparar valor exibido com valor gravado no banco.</w:t>
      </w:r>
    </w:p>
    <w:p>
      <w:pPr>
        <w:pBdr>
          <w:bottom w:val="single" w:color="999999" w:sz="6" w:space="1"/>
        </w:pBdr>
        <w:spacing w:after="200" w:before="200"/>
      </w:pPr>
    </w:p>
    <w:p>
      <w:pPr>
        <w:pStyle w:val="Heading1"/>
        <w:spacing w:after="200" w:before="400"/>
      </w:pPr>
      <w:r>
        <w:t xml:space="preserve">3. Nova Feature — RT (Comissão Reserva Técnica)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7A4D" w:val="clear"/>
            <w:tcMar>
              <w:top w:type="dxa" w:w="100"/>
              <w:left w:type="dxa" w:w="150"/>
              <w:bottom w:type="dxa" w:w="100"/>
              <w:right w:type="dxa" w:w="150"/>
            </w:tcMar>
          </w:tcPr>
          <w:p>
            <w:r>
              <w:rPr>
                <w:b/>
                <w:bCs/>
                <w:color w:val="FFFFFF"/>
              </w:rPr>
              <w:t xml:space="preserve">STATUS: ESPECIFICAÇÃO FINAL — PRONTA PARA DESENVOLVIMENTO</w:t>
            </w:r>
          </w:p>
        </w:tc>
      </w:tr>
    </w:tbl>
    <w:p>
      <w:pPr>
        <w:spacing w:after="60" w:before="150"/>
      </w:pPr>
      <w:r>
        <w:rPr>
          <w:b/>
          <w:bCs/>
        </w:rPr>
        <w:t xml:space="preserve">Conceito:</w:t>
      </w:r>
    </w:p>
    <w:p>
      <w:pPr>
        <w:spacing w:after="120"/>
      </w:pPr>
      <w:r>
        <w:t xml:space="preserve">Nova categoria de dedução, autônoma e paralela à Comissão e ao Lucro, calculada "por dentro" sobre a Operação Interna (mesma lógica gerencial da cascata), com alíquota congelada da construção até a desconstrução — mesmo tratamento já aplicado a Comissão, Lucro, IRPJ e CSLL.</w:t>
      </w:r>
    </w:p>
    <w:p>
      <w:pPr>
        <w:pStyle w:val="Heading2"/>
        <w:spacing w:after="150" w:before="300"/>
      </w:pPr>
      <w:r>
        <w:t xml:space="preserve">3.1 Precificação do Produto (Construção da Cascata)</w:t>
      </w:r>
    </w:p>
    <w:p>
      <w:pPr>
        <w:pStyle w:val="ListParagraph"/>
        <w:numPr>
          <w:ilvl w:val="0"/>
          <w:numId w:val="1"/>
        </w:numPr>
        <w:spacing w:after="60"/>
      </w:pPr>
      <w:r>
        <w:t xml:space="preserve">Nova linha "RT - Comissão Reserva Técnica" (%), posicionada após Despesas Financeiras e antes de Comissão.</w:t>
      </w:r>
    </w:p>
    <w:p>
      <w:pPr>
        <w:pStyle w:val="ListParagraph"/>
        <w:numPr>
          <w:ilvl w:val="0"/>
          <w:numId w:val="1"/>
        </w:numPr>
        <w:spacing w:after="60"/>
      </w:pPr>
      <w:r>
        <w:t xml:space="preserve">Sequência final: MO Administrativa → Despesas Fixas → Despesas Variáveis → Despesas Financeiras → RT → Comissão → Lucro → IRPJ → CSLL.</w:t>
      </w:r>
    </w:p>
    <w:p>
      <w:pPr>
        <w:pStyle w:val="ListParagraph"/>
        <w:numPr>
          <w:ilvl w:val="0"/>
          <w:numId w:val="1"/>
        </w:numPr>
        <w:spacing w:after="60"/>
      </w:pPr>
      <w:r>
        <w:t xml:space="preserve">Entra no cálculo do "Total das alíquotas" e do "Coeficiente da margem de contribuição", junto às demais linhas.</w:t>
      </w:r>
    </w:p>
    <w:p>
      <w:pPr>
        <w:pStyle w:val="Heading2"/>
        <w:spacing w:after="150" w:before="300"/>
      </w:pPr>
      <w:r>
        <w:t xml:space="preserve">3.2 Múltiplos Produtos no Mesmo Orçamento — Cálculo da Alíquota Efetiva</w:t>
      </w:r>
    </w:p>
    <w:p>
      <w:pPr>
        <w:pStyle w:val="ListParagraph"/>
        <w:numPr>
          <w:ilvl w:val="0"/>
          <w:numId w:val="1"/>
        </w:numPr>
        <w:spacing w:after="60"/>
      </w:pPr>
      <w:r>
        <w:t xml:space="preserve">O RT é inserido manualmente por produto, na construção de cada produto individualmente — exatamente a mesma lógica e mecânica já usada para Comissão e Lucro. Cada produto do orçamento pode ter um valor de RT ou ser zero, de forma independente.</w:t>
      </w:r>
    </w:p>
    <w:p>
      <w:pPr>
        <w:pStyle w:val="ListParagraph"/>
        <w:numPr>
          <w:ilvl w:val="0"/>
          <w:numId w:val="1"/>
        </w:numPr>
        <w:spacing w:after="60"/>
      </w:pPr>
      <w:r>
        <w:t xml:space="preserve">Quando o orçamento reúne múltiplos produtos, o sistema deve buscar a referência de RT (alíquota/valor) cadastrada dentro de cada produto individualmente e calcular a alíquota efetiva de RT sobre o total do orçamento, mesmo que apenas parte dos produtos possua RT.</w:t>
      </w:r>
    </w:p>
    <w:p>
      <w:pPr>
        <w:spacing w:after="60" w:before="150"/>
      </w:pPr>
      <w:r>
        <w:rPr>
          <w:b/>
          <w:bCs/>
        </w:rPr>
        <w:t xml:space="preserve">Exemplo numérico ilustrativo:</w:t>
      </w:r>
    </w:p>
    <w:p>
      <w:pPr>
        <w:pStyle w:val="ListParagraph"/>
        <w:numPr>
          <w:ilvl w:val="0"/>
          <w:numId w:val="1"/>
        </w:numPr>
        <w:spacing w:after="60"/>
      </w:pPr>
      <w:r>
        <w:t xml:space="preserve">Produto A: R$ 25.000,00, com RT de 3,5% → RT em valor absoluto = R$ 875,00</w:t>
      </w:r>
    </w:p>
    <w:p>
      <w:pPr>
        <w:pStyle w:val="ListParagraph"/>
        <w:numPr>
          <w:ilvl w:val="0"/>
          <w:numId w:val="1"/>
        </w:numPr>
        <w:spacing w:after="60"/>
      </w:pPr>
      <w:r>
        <w:t xml:space="preserve">Produtos B e C: R$ 75.000,00, sem RT (0%)</w:t>
      </w:r>
    </w:p>
    <w:p>
      <w:pPr>
        <w:pStyle w:val="ListParagraph"/>
        <w:numPr>
          <w:ilvl w:val="0"/>
          <w:numId w:val="1"/>
        </w:numPr>
        <w:spacing w:after="60"/>
      </w:pPr>
      <w:r>
        <w:t xml:space="preserve">Total do orçamento: R$ 100.000,00</w:t>
      </w:r>
    </w:p>
    <w:p>
      <w:pPr>
        <w:pStyle w:val="ListParagraph"/>
        <w:numPr>
          <w:ilvl w:val="0"/>
          <w:numId w:val="1"/>
        </w:numPr>
        <w:spacing w:after="60"/>
      </w:pPr>
      <w:r>
        <w:t xml:space="preserve">Alíquota efetiva de RT sobre o total do orçamento = R$ 875,00 ÷ R$ 100.000,00 = 0,875%</w:t>
      </w:r>
    </w:p>
    <w:p>
      <w:pPr>
        <w:pStyle w:val="ListParagraph"/>
        <w:numPr>
          <w:ilvl w:val="0"/>
          <w:numId w:val="1"/>
        </w:numPr>
        <w:spacing w:after="60"/>
      </w:pPr>
      <w:r>
        <w:t xml:space="preserve">Essa alíquota efetiva (0,875%) é a que fica congelada da construção até a desconstrução do orçamento.</w:t>
      </w:r>
    </w:p>
    <w:p>
      <w:pPr>
        <w:pStyle w:val="Heading2"/>
        <w:spacing w:after="150" w:before="300"/>
      </w:pPr>
      <w:r>
        <w:t xml:space="preserve">3.3 Cascata — Desconstrução</w:t>
      </w:r>
    </w:p>
    <w:p>
      <w:pPr>
        <w:pStyle w:val="ListParagraph"/>
        <w:numPr>
          <w:ilvl w:val="0"/>
          <w:numId w:val="1"/>
        </w:numPr>
        <w:spacing w:after="60"/>
      </w:pPr>
      <w:r>
        <w:t xml:space="preserve">RT é abatido na Etapa 3 ("Redução dos custos e despesas"), imediatamente após a apuração do Resultado Residual Operacional bruto e antes da divisão da Etapa 4.</w:t>
      </w:r>
    </w:p>
    <w:p>
      <w:pPr>
        <w:pStyle w:val="ListParagraph"/>
        <w:numPr>
          <w:ilvl w:val="0"/>
          <w:numId w:val="1"/>
        </w:numPr>
        <w:spacing w:after="60"/>
      </w:pPr>
      <w:r>
        <w:t xml:space="preserve">O item 15 da cascata gerencial (atualmente redundante com o item 16, pois ambos exibem o RRO total) passa a exibir o RT (Comissão Reserva Técnica), com o mesmo padrão de exibição de Comissão/Lucro/IRPJ/CSLL do item 16 (peso, % efetiva, valor).</w:t>
      </w:r>
    </w:p>
    <w:p>
      <w:pPr>
        <w:pStyle w:val="ListParagraph"/>
        <w:numPr>
          <w:ilvl w:val="0"/>
          <w:numId w:val="1"/>
        </w:numPr>
        <w:spacing w:after="60"/>
      </w:pPr>
      <w:r>
        <w:t xml:space="preserve">CONFIRMADO: o RT é abatido antes de chegar ao RRO da redistribuição (item 16). O RRO representa a sobra líquida já após a dedução do RT — o item 16 recebe, portanto, um RRO já líquido de RT.</w:t>
      </w:r>
    </w:p>
    <w:p>
      <w:pPr>
        <w:pStyle w:val="ListParagraph"/>
        <w:numPr>
          <w:ilvl w:val="0"/>
          <w:numId w:val="1"/>
        </w:numPr>
        <w:spacing w:after="60"/>
      </w:pPr>
      <w:r>
        <w:t xml:space="preserve">A alíquota efetiva de RT (calculada conforme item 3.2) é a que é replicada sobre a Operação Interna no momento da apuração do resultado, após o desconto — seguindo a mesma lógica já aplicada ao RRO e às demais linhas da cascata (Comissão, Lucro, IRPJ, CSLL). No exemplo do item 3.2, os 0,875% são aplicados sobre a Operação Interna pós-desconto.</w:t>
      </w:r>
    </w:p>
    <w:p>
      <w:pPr>
        <w:pStyle w:val="Heading2"/>
        <w:spacing w:after="150" w:before="300"/>
      </w:pPr>
      <w:r>
        <w:t xml:space="preserve">3.4 Base Fiscal (IRPJ / CSLL)</w:t>
      </w:r>
    </w:p>
    <w:p>
      <w:pPr>
        <w:pStyle w:val="ListParagraph"/>
        <w:numPr>
          <w:ilvl w:val="0"/>
          <w:numId w:val="1"/>
        </w:numPr>
        <w:spacing w:after="60"/>
      </w:pPr>
      <w:r>
        <w:t xml:space="preserve">CONFIRMADO: o RT não entra na base de cálculo de IRPJ/CSLL.</w:t>
      </w:r>
    </w:p>
    <w:p>
      <w:pPr>
        <w:pStyle w:val="ListParagraph"/>
        <w:numPr>
          <w:ilvl w:val="0"/>
          <w:numId w:val="1"/>
        </w:numPr>
        <w:spacing w:after="60"/>
      </w:pPr>
      <w:r>
        <w:t xml:space="preserve">É uma dedução puramente gerencial, existindo apenas para dar visibilidade de resultado — sem impacto na apuração fiscal desses tributos.</w:t>
      </w:r>
    </w:p>
    <w:p>
      <w:pPr>
        <w:pStyle w:val="Heading2"/>
        <w:spacing w:after="150" w:before="300"/>
      </w:pPr>
      <w:r>
        <w:t xml:space="preserve">3.5 Análise Financeira / DRE</w:t>
      </w:r>
    </w:p>
    <w:p>
      <w:pPr>
        <w:pStyle w:val="ListParagraph"/>
        <w:numPr>
          <w:ilvl w:val="0"/>
          <w:numId w:val="1"/>
        </w:numPr>
        <w:spacing w:after="60"/>
      </w:pPr>
      <w:r>
        <w:t xml:space="preserve">RT possui categoria própria, alocada dentro de Despesas Operacionais, posicionada logo após Comissões (mesmo grupo/conglomerado de linhas).</w:t>
      </w:r>
    </w:p>
    <w:p>
      <w:pPr>
        <w:pStyle w:val="ListParagraph"/>
        <w:numPr>
          <w:ilvl w:val="0"/>
          <w:numId w:val="1"/>
        </w:numPr>
        <w:spacing w:after="60"/>
      </w:pPr>
      <w:r>
        <w:t xml:space="preserve">Deve se replicar em todas as visões de análise/display do sistema, mantendo a mesma ordem cronológica definida na cascata.</w:t>
      </w:r>
    </w:p>
    <w:p>
      <w:pPr>
        <w:spacing w:after="120"/>
      </w:pPr>
      <w:r>
        <w:rPr>
          <w:b/>
          <w:bCs/>
        </w:rPr>
        <w:t xml:space="preserve">Origem do valor exibido: </w:t>
      </w:r>
      <w:r>
        <w:t xml:space="preserve">o valor de RT apresentado na Análise Financeira/DRE não é recalculado pela própria Análise Financeira — ele segue o mesmo fluxo de dados já existente no sistema: o valor de RT é lançado manualmente no Fluxo de Caixa (categoria RT selecionada no lançamento de despesa); o Fluxo de Caixa alimenta o Hub; e o Hub envia essas informações para a Análise Financeira/DRE. Esse encadeamento (Fluxo de Caixa → Hub → Análise Financeira/DRE) é o que permite que o DRE traga a informação organizada mensalmente, com cada mês trazendo sua própria avaliação, e que a Análise Financeira possa ser filtrada e personalizada, buscando apenas o que está de fato anexado/inserido dentro do Hub.</w:t>
      </w:r>
    </w:p>
    <w:p>
      <w:pPr>
        <w:pStyle w:val="Heading2"/>
        <w:spacing w:after="150" w:before="300"/>
      </w:pPr>
      <w:r>
        <w:t xml:space="preserve">3.6 Fluxo de Caixa</w:t>
      </w:r>
    </w:p>
    <w:p>
      <w:pPr>
        <w:spacing w:after="120"/>
      </w:pPr>
      <w:r>
        <w:rPr>
          <w:b/>
          <w:bCs/>
        </w:rPr>
        <w:t xml:space="preserve">Correção importante: </w:t>
      </w:r>
      <w:r>
        <w:t xml:space="preserve">a regra inicialmente definida (RT alocado dentro de Despesas Variáveis) foi revogada e substituída pela regra abaixo.</w:t>
      </w:r>
    </w:p>
    <w:p>
      <w:pPr>
        <w:pStyle w:val="ListParagraph"/>
        <w:numPr>
          <w:ilvl w:val="0"/>
          <w:numId w:val="1"/>
        </w:numPr>
        <w:spacing w:after="60"/>
      </w:pPr>
      <w:r>
        <w:t xml:space="preserve">RT possui sua própria seção no dropdown de categorias do lançamento de despesas ("Novo Lançamento de Despesa"), seguindo o mesmo padrão visual das seções já existentes (ex.: "— Despesas Financeiras —", "— Comissões —").</w:t>
      </w:r>
    </w:p>
    <w:p>
      <w:pPr>
        <w:pStyle w:val="ListParagraph"/>
        <w:numPr>
          <w:ilvl w:val="0"/>
          <w:numId w:val="1"/>
        </w:numPr>
        <w:spacing w:after="60"/>
      </w:pPr>
      <w:r>
        <w:t xml:space="preserve">A seção RT é posicionada logo após a seção "Comissões" no dropdown, mantendo a ordem cronológica definida para todo o ecossistema.</w:t>
      </w:r>
    </w:p>
    <w:p>
      <w:pPr>
        <w:pStyle w:val="ListParagraph"/>
        <w:numPr>
          <w:ilvl w:val="0"/>
          <w:numId w:val="1"/>
        </w:numPr>
        <w:spacing w:after="60"/>
      </w:pPr>
      <w:r>
        <w:t xml:space="preserve">Na tabela/visualização do Fluxo de Caixa, RT gera sua própria seção-mestra (linha de cabeçalho com cor de destaque própria, distinta das demais, e sublinhas com os lançamentos individuais), seguindo o mesmo padrão das seções "Despesa Variável", "Despesa Financeira", "Comissões" e "Lucro".</w:t>
      </w:r>
    </w:p>
    <w:p>
      <w:pPr>
        <w:pStyle w:val="ListParagraph"/>
        <w:numPr>
          <w:ilvl w:val="0"/>
          <w:numId w:val="1"/>
        </w:numPr>
        <w:spacing w:after="60"/>
      </w:pPr>
      <w:r>
        <w:t xml:space="preserve">A seção RT na tabela é posicionada logo após "Comissões" e antes de "Lucro".</w:t>
      </w:r>
    </w:p>
    <w:p>
      <w:pPr>
        <w:pStyle w:val="ListParagraph"/>
        <w:numPr>
          <w:ilvl w:val="0"/>
          <w:numId w:val="1"/>
        </w:numPr>
        <w:spacing w:after="60"/>
      </w:pPr>
      <w:r>
        <w:t xml:space="preserve">CONFIRMADO — regra inviolável: RT não pode, em nenhuma hipótese, entrar no cálculo de precificação como despesa variável. No Fluxo de Caixa ele existe exclusivamente como categoria de lançamento/controle de caixa, sem afetar a cascata de precificação.</w:t>
      </w:r>
    </w:p>
    <w:p>
      <w:pPr>
        <w:pStyle w:val="Heading2"/>
        <w:spacing w:after="150" w:before="300"/>
      </w:pPr>
      <w:r>
        <w:t xml:space="preserve">3.7 Hub / Dashboard</w:t>
      </w:r>
    </w:p>
    <w:p>
      <w:pPr>
        <w:pStyle w:val="ListParagraph"/>
        <w:numPr>
          <w:ilvl w:val="0"/>
          <w:numId w:val="1"/>
        </w:numPr>
        <w:spacing w:after="60"/>
      </w:pPr>
      <w:r>
        <w:t xml:space="preserve">CONFIRMADO: RT não terá card próprio nem destaque especial no Hub/Dashboard.</w:t>
      </w:r>
    </w:p>
    <w:p>
      <w:pPr>
        <w:pStyle w:val="ListParagraph"/>
        <w:numPr>
          <w:ilvl w:val="0"/>
          <w:numId w:val="1"/>
        </w:numPr>
        <w:spacing w:after="60"/>
      </w:pPr>
      <w:r>
        <w:t xml:space="preserve">Sua única presença fora dos módulos já citados é como opção de categoria selecionável no fluxo normal de lançamento (dropdown).</w:t>
      </w:r>
    </w:p>
    <w:p>
      <w:pPr>
        <w:pStyle w:val="Heading2"/>
        <w:spacing w:after="150" w:before="300"/>
      </w:pPr>
      <w:r>
        <w:t xml:space="preserve">3.8 Regra Geral (Inviolável)</w:t>
      </w:r>
    </w:p>
    <w:p>
      <w:pPr>
        <w:pStyle w:val="ListParagraph"/>
        <w:numPr>
          <w:ilvl w:val="0"/>
          <w:numId w:val="1"/>
        </w:numPr>
        <w:spacing w:after="60"/>
      </w:pPr>
      <w:r>
        <w:t xml:space="preserve">RT possui categoria própria em todo o ecossistema — Precificação, Cascata (construção e desconstrução), Análise Financeira/DRE e Fluxo de Caixa — nunca deve ser absorvido ou misturado dentro de outra categoria existente.</w:t>
      </w:r>
    </w:p>
    <w:p>
      <w:pPr>
        <w:spacing w:after="120"/>
      </w:pPr>
      <w:r>
        <w:rPr>
          <w:b/>
          <w:bCs/>
        </w:rPr>
        <w:t xml:space="preserve">Correção importante — Comissão e Lucro não são sempre congelados: </w:t>
      </w:r>
      <w:r>
        <w:t xml:space="preserve">diferente do que constava anteriormente, Comissão e Lucro fazem parte da seção do RRO (Resultado Residual Operacional), que possui sua própria regra de aplicação de desconto em orçamentos, podendo operar em três modalidades distintas: (1) desconto proporcional entre Comissão e Lucro; (2) desconto com Comissão congelada; ou (3) desconto com Lucro congelado. Ou seja, Comissão e Lucro podem ou não ser congelados, a depender do modo de desconto escolhido no orçamento.</w:t>
      </w:r>
    </w:p>
    <w:p>
      <w:pPr>
        <w:spacing w:after="120"/>
      </w:pPr>
      <w:r>
        <w:rPr>
          <w:b/>
          <w:bCs/>
        </w:rPr>
        <w:t xml:space="preserve">RT segue lógica distinta: </w:t>
      </w:r>
      <w:r>
        <w:t xml:space="preserve">na construção do produto (precificação), o RT segue a mesma lógica de inserção manual de Comissão e Lucro. Porém, diferentemente de Comissão e Lucro, a alíquota efetiva de RT permanece sempre congelada no momento da aplicação de desconto em orçamentos, independentemente de qual dos três modos de desconto do RRO (proporcional, congela comissão, ou congela lucro) tenha sido selecionado. Esse congelamento do RT é constante e não varia conforme o modo de desconto escolhido.</w:t>
      </w:r>
    </w:p>
    <w:p>
      <w:pPr>
        <w:pStyle w:val="Heading2"/>
        <w:spacing w:after="150" w:before="300"/>
      </w:pPr>
      <w:r>
        <w:t xml:space="preserve">3.9 Persistência e Semântica de Dados (Diretriz de Implementação)</w:t>
      </w:r>
    </w:p>
    <w:p>
      <w:pPr>
        <w:spacing w:after="120"/>
      </w:pPr>
      <w:r>
        <w:rPr>
          <w:b/>
          <w:bCs/>
        </w:rPr>
        <w:t xml:space="preserve">Diretriz obrigatória para a equipe/LLM implementadora: </w:t>
      </w:r>
      <w:r>
        <w:t xml:space="preserve">o RT deve ser implementado seguindo exatamente a mesma lógica, estrutura e semântica de dados já utilizadas para Comissão e Lucro em todo o ciclo de vida da informação — inserção no produto, composição do orçamento, aplicação de desconto, e persistência final em banco de dados.</w:t>
      </w:r>
    </w:p>
    <w:p>
      <w:pPr>
        <w:pStyle w:val="ListParagraph"/>
        <w:numPr>
          <w:ilvl w:val="0"/>
          <w:numId w:val="1"/>
        </w:numPr>
        <w:spacing w:after="60"/>
      </w:pPr>
      <w:r>
        <w:t xml:space="preserve">Nos produtos: o campo de RT deve ser criado e armazenado com a mesma estrutura de dado (schema/tipo/modelo) já usada para os campos de Comissão e Lucro.</w:t>
      </w:r>
    </w:p>
    <w:p>
      <w:pPr>
        <w:pStyle w:val="ListParagraph"/>
        <w:numPr>
          <w:ilvl w:val="0"/>
          <w:numId w:val="1"/>
        </w:numPr>
        <w:spacing w:after="60"/>
      </w:pPr>
      <w:r>
        <w:t xml:space="preserve">Nos orçamentos: a composição, o cálculo da alíquota efetiva e a aplicação de desconto sobre RT devem seguir a mesma semântica de persistência já usada para Comissão e Lucro — os mesmos padrões de tabela, relacionamento e serialização.</w:t>
      </w:r>
    </w:p>
    <w:p>
      <w:pPr>
        <w:pStyle w:val="ListParagraph"/>
        <w:numPr>
          <w:ilvl w:val="0"/>
          <w:numId w:val="1"/>
        </w:numPr>
        <w:spacing w:after="60"/>
      </w:pPr>
      <w:r>
        <w:t xml:space="preserve">Na base de dados: o RT deve ser salvo com a mesma lógica de banco de dados (estrutura e semântica) já aplicada a Comissão e Lucro, garantindo que a informação não se perca ou seja corrompida em caso de falha, e que qualquer auditoria ou correção futura no RT possa ser feita com o mesmo tratamento já validado para Comissão e Lucro.</w:t>
      </w:r>
    </w:p>
    <w:p>
      <w:pPr>
        <w:pStyle w:val="ListParagraph"/>
        <w:numPr>
          <w:ilvl w:val="0"/>
          <w:numId w:val="1"/>
        </w:numPr>
        <w:spacing w:after="60"/>
      </w:pPr>
      <w:r>
        <w:t xml:space="preserve">Objetivo desta diretriz: evitar que uma implementação divergente do RT introduza inconsistências estruturais no banco de dados — a réplica fiel do padrão já existente e testado (Comissão/Lucro) reduz o risco de perda ou corrupção de dados.</w:t>
      </w:r>
    </w:p>
    <w:p>
      <w:pPr>
        <w:pStyle w:val="Heading2"/>
        <w:spacing w:after="150" w:before="300"/>
      </w:pPr>
      <w:r>
        <w:t xml:space="preserve">3.10 Relatório de Vendas (Comercial) — Nova Aba "RT Comissões"</w:t>
      </w:r>
    </w:p>
    <w:p>
      <w:pPr>
        <w:spacing w:after="120"/>
      </w:pPr>
      <w:r>
        <w:t xml:space="preserve">Nova aba dentro do módulo Comercial &gt; Relatório de Vendas, seguindo o mesmo padrão da aba já existente "Relatório de Comissões" (mesmos filtros: período, vendedor, pedido, produto; mesmo layout de tabela e cards superiores).</w:t>
      </w:r>
    </w:p>
    <w:p>
      <w:pPr>
        <w:spacing w:after="60" w:before="150"/>
      </w:pPr>
      <w:r>
        <w:rPr>
          <w:b/>
          <w:bCs/>
        </w:rPr>
        <w:t xml:space="preserve">Origem do dado:</w:t>
      </w:r>
    </w:p>
    <w:p>
      <w:pPr>
        <w:spacing w:after="120"/>
      </w:pPr>
      <w:r>
        <w:t xml:space="preserve">O valor de RT exibido nesta aba é oriundo das vendas efetivadas (pedidos efetivados), que são oriundos dos orçamentos, que por sua vez são oriundos da cascata de cada orçamento. A alíquota efetiva de RT congelada na cascata do orçamento gera o percentual e o valor de RT que aparecem nesta aba.</w:t>
      </w:r>
    </w:p>
    <w:p>
      <w:pPr>
        <w:spacing w:after="60" w:before="150"/>
      </w:pPr>
      <w:r>
        <w:rPr>
          <w:b/>
          <w:bCs/>
        </w:rPr>
        <w:t xml:space="preserve">Estrutura da tabela:</w:t>
      </w:r>
    </w:p>
    <w:p>
      <w:pPr>
        <w:pStyle w:val="ListParagraph"/>
        <w:numPr>
          <w:ilvl w:val="0"/>
          <w:numId w:val="1"/>
        </w:numPr>
        <w:spacing w:after="60"/>
      </w:pPr>
      <w:r>
        <w:t xml:space="preserve">Mesmas colunas da aba "Relatório de Comissões" (Data, Cód Venda, Cliente, Vendedor, Valor Vendido), substituindo apenas "Comissão %" e "Comissão R$" por "RT %" e "RT R$".</w:t>
      </w:r>
    </w:p>
    <w:p>
      <w:pPr>
        <w:pStyle w:val="ListParagraph"/>
        <w:numPr>
          <w:ilvl w:val="0"/>
          <w:numId w:val="1"/>
        </w:numPr>
        <w:spacing w:after="60"/>
      </w:pPr>
      <w:r>
        <w:t xml:space="preserve">O valor de "RT R$" exibido por linha corresponde ao valor total de RT da venda/pedido (alíquota efetiva × valor total da venda), independentemente de quantas parcelas já foram liquidadas.</w:t>
      </w:r>
    </w:p>
    <w:p>
      <w:pPr>
        <w:spacing w:after="120"/>
      </w:pPr>
      <w:r>
        <w:rPr>
          <w:b/>
          <w:bCs/>
        </w:rPr>
        <w:t xml:space="preserve">Escopo desta aba: </w:t>
      </w:r>
      <w:r>
        <w:t xml:space="preserve">esta aba tem como único objetivo apresentar o percentual e o valor de RT sobre a venda total. A questão de liquidação/liberação por parcela não é tratada aqui — isso é responsabilidade exclusiva da nova seção "RT Comissões" dentro do Financeiro (item 3.11).</w:t>
      </w:r>
    </w:p>
    <w:p>
      <w:pPr>
        <w:pStyle w:val="Heading2"/>
        <w:spacing w:after="150" w:before="300"/>
      </w:pPr>
      <w:r>
        <w:t xml:space="preserve">3.11 Financeiro — Nova Seção "RT Comissões"</w:t>
      </w:r>
    </w:p>
    <w:p>
      <w:pPr>
        <w:spacing w:after="120"/>
      </w:pPr>
      <w:r>
        <w:t xml:space="preserve">Nova seção dentro do módulo Financeiro, espelhando o mesmo layout já existente da tela "Comissão de Vendedor" (filtros Mês/Ano e Vendedor; cards superiores de resumo; botão Exportar).</w:t>
      </w:r>
    </w:p>
    <w:p>
      <w:pPr>
        <w:spacing w:after="60" w:before="150"/>
      </w:pPr>
      <w:r>
        <w:rPr>
          <w:b/>
          <w:bCs/>
        </w:rPr>
        <w:t xml:space="preserve">Regra de liberação (idêntica à já existente para Comissão de Vendedor):</w:t>
      </w:r>
    </w:p>
    <w:p>
      <w:pPr>
        <w:pStyle w:val="ListParagraph"/>
        <w:numPr>
          <w:ilvl w:val="0"/>
          <w:numId w:val="1"/>
        </w:numPr>
        <w:spacing w:after="60"/>
      </w:pPr>
      <w:r>
        <w:t xml:space="preserve">CONFIRMADO: a Comissão de Vendedor já funciona hoje segundo esta mesma regra — o valor só é liberado para pagamento conforme o cliente efetiva (liquida) cada parcela junto à empresa. O RT Comissões deve replicar exatamente essa regra já validada, sem alterações.</w:t>
      </w:r>
    </w:p>
    <w:p>
      <w:pPr>
        <w:pStyle w:val="ListParagraph"/>
        <w:numPr>
          <w:ilvl w:val="0"/>
          <w:numId w:val="1"/>
        </w:numPr>
        <w:spacing w:after="60"/>
      </w:pPr>
      <w:r>
        <w:t xml:space="preserve">A partir do momento em que uma parcela do cliente é liquidada no Fluxo de Caixa (posição de recebimento), o valor de RT correspondente àquela parcela fica disponível para repasse dentro da seção RT Comissões do Financeiro.</w:t>
      </w:r>
    </w:p>
    <w:p>
      <w:pPr>
        <w:pStyle w:val="ListParagraph"/>
        <w:numPr>
          <w:ilvl w:val="0"/>
          <w:numId w:val="1"/>
        </w:numPr>
        <w:spacing w:after="60"/>
      </w:pPr>
      <w:r>
        <w:t xml:space="preserve">Liberação proporcional: o RT de cada parcela é calculado aplicando a alíquota efetiva congelada sobre o valor daquela parcela específica — e não pela simples divisão do RT total pelo número de parcelas. Isso garante que a representatividade da alíquota seja respeitada mesmo quando as parcelas têm valores diferentes entre si.</w:t>
      </w:r>
    </w:p>
    <w:p>
      <w:pPr>
        <w:pStyle w:val="ListParagraph"/>
        <w:numPr>
          <w:ilvl w:val="0"/>
          <w:numId w:val="1"/>
        </w:numPr>
        <w:spacing w:after="60"/>
      </w:pPr>
      <w:r>
        <w:t xml:space="preserve">Pagamento parcial de parcela: caso o cliente pague apenas parte de uma parcela, a liberação do RT correspondente àquela parcela ocorre na mesma proporção do valor efetivamente pago (liberação parcial, proporcional ao valor liquidado).</w:t>
      </w:r>
    </w:p>
    <w:p>
      <w:pPr>
        <w:spacing w:after="60" w:before="150"/>
      </w:pPr>
      <w:r>
        <w:rPr>
          <w:b/>
          <w:bCs/>
        </w:rPr>
        <w:t xml:space="preserve">Exemplo numérico ilustrativo (parcelas iguais):</w:t>
      </w:r>
    </w:p>
    <w:p>
      <w:pPr>
        <w:pStyle w:val="ListParagraph"/>
        <w:numPr>
          <w:ilvl w:val="0"/>
          <w:numId w:val="1"/>
        </w:numPr>
        <w:spacing w:after="60"/>
      </w:pPr>
      <w:r>
        <w:t xml:space="preserve">Venda total: R$ 100.000,00, parcelada em 4x, com alíquota efetiva de RT de 0,875%</w:t>
      </w:r>
    </w:p>
    <w:p>
      <w:pPr>
        <w:pStyle w:val="ListParagraph"/>
        <w:numPr>
          <w:ilvl w:val="0"/>
          <w:numId w:val="1"/>
        </w:numPr>
        <w:spacing w:after="60"/>
      </w:pPr>
      <w:r>
        <w:t xml:space="preserve">RT total da venda: R$ 875,00</w:t>
      </w:r>
    </w:p>
    <w:p>
      <w:pPr>
        <w:pStyle w:val="ListParagraph"/>
        <w:numPr>
          <w:ilvl w:val="0"/>
          <w:numId w:val="1"/>
        </w:numPr>
        <w:spacing w:after="60"/>
      </w:pPr>
      <w:r>
        <w:t xml:space="preserve">Cada parcela: R$ 25.000,00 × 0,875% = R$ 218,75 de RT, liberados individualmente à medida que cada parcela é liquidada</w:t>
      </w:r>
    </w:p>
    <w:p>
      <w:pPr>
        <w:spacing w:after="60" w:before="150"/>
      </w:pPr>
      <w:r>
        <w:rPr>
          <w:b/>
          <w:bCs/>
        </w:rPr>
        <w:t xml:space="preserve">Exibição na tela:</w:t>
      </w:r>
    </w:p>
    <w:p>
      <w:pPr>
        <w:pStyle w:val="ListParagraph"/>
        <w:numPr>
          <w:ilvl w:val="0"/>
          <w:numId w:val="1"/>
        </w:numPr>
        <w:spacing w:after="60"/>
      </w:pPr>
      <w:r>
        <w:t xml:space="preserve">A tela deve exibir tanto o valor pendente a receber (RT referente a parcelas ainda não liquidadas) quanto o valor já liberado/pago (RT referente a parcelas já liquidadas), assim como ocorre conceitualmente na tela de Comissão de Vendedor.</w:t>
      </w:r>
    </w:p>
    <w:p>
      <w:pPr>
        <w:pStyle w:val="Heading2"/>
        <w:spacing w:after="150" w:before="300"/>
      </w:pPr>
      <w:r>
        <w:t xml:space="preserve">3.12 Adendo — Distinção de Escopo entre as Duas Telas e entre "Liberado" e "Pago"</w:t>
      </w:r>
    </w:p>
    <w:p>
      <w:pPr>
        <w:spacing w:after="120"/>
      </w:pPr>
      <w:r>
        <w:rPr>
          <w:b/>
          <w:bCs/>
        </w:rPr>
        <w:t xml:space="preserve">Relatório de Vendas (Comercial) — sempre valor integral: </w:t>
      </w:r>
      <w:r>
        <w:t xml:space="preserve">nesta tela, o Valor Vendido, a Comissão e o RT são sempre exibidos pelo valor integral da venda, independentemente de quantas parcelas já foram liquidadas. É uma visão "sobre o total" da venda, sem refletir o status de recebimento.</w:t>
      </w:r>
    </w:p>
    <w:p>
      <w:pPr>
        <w:spacing w:after="120"/>
      </w:pPr>
      <w:r>
        <w:rPr>
          <w:b/>
          <w:bCs/>
        </w:rPr>
        <w:t xml:space="preserve">Financeiro &gt; RT Comissões — somente reflexo da liquidação: </w:t>
      </w:r>
      <w:r>
        <w:t xml:space="preserve">nesta tela, o RT só aparece conforme o status real de recebimento das parcelas — exibindo o que está disponível/liberado (parcela liquidada total ou parcialmente) e o que está pendente/a liquidar (parcela ainda não paga pelo cliente). Nunca exibe o valor integral "cego" da venda como se já estivesse todo disponível.</w:t>
      </w:r>
    </w:p>
    <w:p>
      <w:pPr>
        <w:spacing w:after="120"/>
      </w:pPr>
      <w:r>
        <w:rPr>
          <w:b/>
          <w:bCs/>
        </w:rPr>
        <w:t xml:space="preserve">Distinção crítica — RT a receber (controle) vs. RT a pagar (execução): </w:t>
      </w:r>
      <w:r>
        <w:t xml:space="preserve">existem dois fluxos de natureza diferente que não devem ser confundidos na implementação.</w:t>
      </w:r>
    </w:p>
    <w:p>
      <w:pPr>
        <w:pStyle w:val="ListParagraph"/>
        <w:numPr>
          <w:ilvl w:val="0"/>
          <w:numId w:val="1"/>
        </w:numPr>
        <w:spacing w:after="60"/>
      </w:pPr>
      <w:r>
        <w:t xml:space="preserve">RT a receber / controle (automático): é o valor de RT Comissões oriundo das vendas, que fica disponível para pagamento à medida que as parcelas do cliente são liquidadas. Este é o dado que alimenta a seção RT Comissões do Financeiro, informando "quanto está liberado para pagar".</w:t>
      </w:r>
    </w:p>
    <w:p>
      <w:pPr>
        <w:pStyle w:val="ListParagraph"/>
        <w:numPr>
          <w:ilvl w:val="0"/>
          <w:numId w:val="1"/>
        </w:numPr>
        <w:spacing w:after="60"/>
      </w:pPr>
      <w:r>
        <w:t xml:space="preserve">RT a pagar / execução (manual): é o lançamento de despesa feito manualmente pelo operacional no Fluxo de Caixa (categoria "RT - Comissão Reserva Técnica"), no momento em que o valor é efetivamente repassado ao beneficiário (ex.: comissão do arquiteto). Esse lançamento não é uma baixa automática gerada pelo sistema — é sempre uma ação manual do operacional.</w:t>
      </w:r>
    </w:p>
    <w:p>
      <w:pPr>
        <w:pStyle w:val="ListParagraph"/>
        <w:numPr>
          <w:ilvl w:val="0"/>
          <w:numId w:val="1"/>
        </w:numPr>
        <w:spacing w:after="60"/>
      </w:pPr>
      <w:r>
        <w:t xml:space="preserve">Fluxo completo: Precificação (RT manual por produto) → Produto salvo → Orçamento (agrupamento e alíquota efetiva) → Cascata (aplicação pós-desconto) → Venda efetivada (repasse ao Fluxo de Caixa com parcelamento) → Parcela liquidada pelo cliente (libera simultaneamente Comissão do Vendedor e RT Comissões, antes apenas visíveis, agora disponíveis) → Financeiro &gt; RT Comissões (reflete o disponível/pendente) → Lançamento manual de despesa no Fluxo de Caixa (pagamento efetivo ao beneficiário).</w:t>
      </w:r>
    </w:p>
    <w:p>
      <w:pPr>
        <w:pBdr>
          <w:bottom w:val="single" w:color="999999" w:sz="6" w:space="1"/>
        </w:pBdr>
        <w:spacing w:after="200" w:before="200"/>
      </w:pPr>
    </w:p>
    <w:p>
      <w:pPr>
        <w:spacing w:before="300"/>
      </w:pPr>
      <w:r>
        <w:rPr>
          <w:i/>
          <w:iCs/>
          <w:color w:val="666666"/>
        </w:rPr>
        <w:t xml:space="preserve">Fim do relatório.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2026-07-13T19:00:57.972Z</dcterms:created>
  <dcterms:modified xsi:type="dcterms:W3CDTF">2026-07-13T19:00:57.986Z</dcterms:modified>
</cp:coreProperties>
</file>

<file path=docProps/custom.xml><?xml version="1.0" encoding="utf-8"?>
<Properties xmlns="http://schemas.openxmlformats.org/officeDocument/2006/custom-properties" xmlns:vt="http://schemas.openxmlformats.org/officeDocument/2006/docPropsVTypes"/>
</file>