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FFFFFF"/>
          <w:sz w:val="36"/>
          <w:szCs w:val="36"/>
        </w:rPr>
        <w:t xml:space="preserve">PRECIFICA CERTO</w:t>
      </w:r>
    </w:p>
    <w:p>
      <w:pPr>
        <w:shd w:fill="1E3A5F" w:val="clear"/>
        <w:spacing w:after="0" w:before="0"/>
      </w:pPr>
      <w:r>
        <w:rPr>
          <w:rFonts w:ascii="Arial" w:cs="Arial" w:eastAsia="Arial" w:hAnsi="Arial"/>
          <w:b/>
          <w:bCs/>
          <w:color w:val="FFFFFF"/>
          <w:sz w:val="28"/>
          <w:szCs w:val="28"/>
        </w:rPr>
        <w:t xml:space="preserve">  Relatório de Correção — Motor do Resultado Residual Operacional (RRO)</w:t>
      </w:r>
    </w:p>
    <w:p>
      <w:pPr>
        <w:shd w:fill="2E6DA4" w:val="clear"/>
        <w:spacing w:after="40" w:before="0"/>
      </w:pPr>
      <w:r>
        <w:rPr>
          <w:rFonts w:ascii="Arial" w:cs="Arial" w:eastAsia="Arial" w:hAnsi="Arial"/>
          <w:color w:val="FFFFFF"/>
          <w:sz w:val="18"/>
          <w:szCs w:val="18"/>
        </w:rPr>
        <w:t xml:space="preserve">  Módulo: Cascata de Orçamentos  |  Data: 26/06/2026  |  Versão: 1.0</w:t>
      </w:r>
    </w:p>
    <w:p>
      <w:pPr>
        <w:spacing w:after="200" w:before="0"/>
      </w:pPr>
    </w:p>
    <w:p>
      <w:pPr>
        <w:pStyle w:val="Heading1"/>
        <w:spacing w:after="160" w:before="320"/>
      </w:pPr>
      <w:r>
        <w:rPr>
          <w:rFonts w:ascii="Arial" w:cs="Arial" w:eastAsia="Arial" w:hAnsi="Arial"/>
          <w:b/>
          <w:bCs/>
          <w:color w:val="1E3A5F"/>
          <w:sz w:val="32"/>
          <w:szCs w:val="32"/>
        </w:rPr>
        <w:t xml:space="preserve">1. Escopo do Relatório</w:t>
      </w:r>
    </w:p>
    <w:p>
      <w:pPr>
        <w:pBdr>
          <w:bottom w:val="single" w:color="2E6DA4" w:sz="6" w:space="1"/>
        </w:pBdr>
        <w:spacing w:after="160" w:before="160"/>
      </w:pPr>
    </w:p>
    <w:p>
      <w:pPr>
        <w:spacing w:after="80" w:before="80"/>
      </w:pPr>
      <w:r>
        <w:rPr>
          <w:rFonts w:ascii="Arial" w:cs="Arial" w:eastAsia="Arial" w:hAnsi="Arial"/>
          <w:b w:val="false"/>
          <w:bCs w:val="false"/>
          <w:color w:val="222222"/>
          <w:sz w:val="20"/>
          <w:szCs w:val="20"/>
        </w:rPr>
        <w:t xml:space="preserve">Este relatório documenta duas inconsistências identificadas na cascata de orçamentos do Precifica Certo, ambas relacionadas ao Motor do Resultado Residual Operacional (RRO). As correções descritas são baseadas na regra inviolável do sistema:</w:t>
      </w:r>
    </w:p>
    <w:p>
      <w:pPr>
        <w:shd w:fill="D0E4F7" w:val="clear"/>
        <w:spacing w:after="120" w:before="120"/>
      </w:pPr>
      <w:r>
        <w:rPr>
          <w:rFonts w:ascii="Arial" w:cs="Arial" w:eastAsia="Arial" w:hAnsi="Arial"/>
          <w:b/>
          <w:bCs/>
          <w:color w:val="1E3A5F"/>
          <w:sz w:val="20"/>
          <w:szCs w:val="20"/>
        </w:rPr>
        <w:t xml:space="preserve">  Regra fundamental — Pai = Σ Filhos: o valor exibido em qualquer categoria da cascata deve ser exclusivamente a soma dos valores das suas subcategorias diretas.</w:t>
      </w:r>
    </w:p>
    <w:p>
      <w:pPr>
        <w:spacing w:after="0" w:before="160"/>
      </w:pPr>
    </w:p>
    <w:p>
      <w:pPr>
        <w:pStyle w:val="Heading1"/>
        <w:spacing w:after="160" w:before="320"/>
      </w:pPr>
      <w:r>
        <w:rPr>
          <w:rFonts w:ascii="Arial" w:cs="Arial" w:eastAsia="Arial" w:hAnsi="Arial"/>
          <w:b/>
          <w:bCs/>
          <w:color w:val="1E3A5F"/>
          <w:sz w:val="32"/>
          <w:szCs w:val="32"/>
        </w:rPr>
        <w:t xml:space="preserve">2. Correção 1 — Item 4: CMV Efetivo com valor incorreto</w:t>
      </w:r>
    </w:p>
    <w:p>
      <w:pPr>
        <w:pBdr>
          <w:bottom w:val="single" w:color="2E6DA4" w:sz="6" w:space="1"/>
        </w:pBdr>
        <w:spacing w:after="160" w:before="160"/>
      </w:pPr>
    </w:p>
    <w:p>
      <w:pPr>
        <w:spacing w:after="80" w:before="240"/>
      </w:pPr>
      <w:r>
        <w:rPr>
          <w:rFonts w:ascii="Arial" w:cs="Arial" w:eastAsia="Arial" w:hAnsi="Arial"/>
          <w:b/>
          <w:bCs/>
          <w:color w:val="2E6DA4"/>
          <w:sz w:val="22"/>
          <w:szCs w:val="22"/>
        </w:rPr>
        <w:t xml:space="preserve">2.1 Descrição do Problema</w:t>
      </w:r>
    </w:p>
    <w:p>
      <w:pPr>
        <w:spacing w:after="80" w:before="80"/>
      </w:pPr>
      <w:r>
        <w:rPr>
          <w:rFonts w:ascii="Arial" w:cs="Arial" w:eastAsia="Arial" w:hAnsi="Arial"/>
          <w:b w:val="false"/>
          <w:bCs w:val="false"/>
          <w:color w:val="222222"/>
          <w:sz w:val="20"/>
          <w:szCs w:val="20"/>
        </w:rPr>
        <w:t xml:space="preserve">O item 4 da cascata — Consolidação dos Custos (CMV Efetivo) — exibe o valor de R$ 150.319,70, que não corresponde à soma dos custos reais declarados dentro de cada produto do orçamento.</w:t>
      </w:r>
    </w:p>
    <w:p>
      <w:pPr>
        <w:spacing w:after="80" w:before="80"/>
      </w:pPr>
      <w:r>
        <w:rPr>
          <w:rFonts w:ascii="Arial" w:cs="Arial" w:eastAsia="Arial" w:hAnsi="Arial"/>
          <w:b w:val="false"/>
          <w:bCs w:val="false"/>
          <w:color w:val="222222"/>
          <w:sz w:val="20"/>
          <w:szCs w:val="20"/>
        </w:rPr>
        <w:t xml:space="preserve">O motor está captando um valor divergente de base intermediária em vez de buscar diretamente o campo Custo produto de cada produto na sua Operação Interna.</w:t>
      </w:r>
    </w:p>
    <w:p>
      <w:pPr>
        <w:spacing w:after="0" w:before="80"/>
      </w:pPr>
    </w:p>
    <w:p>
      <w:pPr>
        <w:spacing w:after="80" w:before="240"/>
      </w:pPr>
      <w:r>
        <w:rPr>
          <w:rFonts w:ascii="Arial" w:cs="Arial" w:eastAsia="Arial" w:hAnsi="Arial"/>
          <w:b/>
          <w:bCs/>
          <w:color w:val="2E6DA4"/>
          <w:sz w:val="22"/>
          <w:szCs w:val="22"/>
        </w:rPr>
        <w:t xml:space="preserve">2.2 Definição da Fonte Correta</w:t>
      </w:r>
    </w:p>
    <w:p>
      <w:pPr>
        <w:spacing w:after="80" w:before="80"/>
      </w:pPr>
      <w:r>
        <w:rPr>
          <w:rFonts w:ascii="Arial" w:cs="Arial" w:eastAsia="Arial" w:hAnsi="Arial"/>
          <w:b w:val="false"/>
          <w:bCs w:val="false"/>
          <w:color w:val="222222"/>
          <w:sz w:val="20"/>
          <w:szCs w:val="20"/>
        </w:rPr>
        <w:t xml:space="preserve">O custo de cada produto é composto por:</w:t>
      </w:r>
    </w:p>
    <w:p>
      <w:pPr>
        <w:shd w:fill="F2F2F2" w:val="clear"/>
        <w:spacing w:after="60" w:before="60"/>
      </w:pPr>
      <w:r>
        <w:rPr>
          <w:rFonts w:ascii="Arial" w:cs="Arial" w:eastAsia="Arial" w:hAnsi="Arial"/>
          <w:b/>
          <w:bCs/>
          <w:i/>
          <w:iCs/>
          <w:color w:val="1E3A5F"/>
          <w:sz w:val="20"/>
          <w:szCs w:val="20"/>
        </w:rPr>
        <w:t xml:space="preserve">  Custo produto = Σ Itens do produto + Mão de Obra Produtiva (MOD), quando houver</w:t>
      </w:r>
    </w:p>
    <w:p>
      <w:pPr>
        <w:spacing w:after="80" w:before="80"/>
      </w:pPr>
      <w:r>
        <w:rPr>
          <w:rFonts w:ascii="Arial" w:cs="Arial" w:eastAsia="Arial" w:hAnsi="Arial"/>
          <w:b w:val="false"/>
          <w:bCs w:val="false"/>
          <w:color w:val="222222"/>
          <w:sz w:val="20"/>
          <w:szCs w:val="20"/>
        </w:rPr>
        <w:t xml:space="preserve">Esse valor já está calculado e disponível dentro da Operação Interna de cada produto, exibido em vermelho como "Custo produto". É esse campo que o motor deve ler — e somente ele.</w:t>
      </w:r>
    </w:p>
    <w:p>
      <w:pPr>
        <w:spacing w:after="0" w:before="80"/>
      </w:pPr>
    </w:p>
    <w:p>
      <w:pPr>
        <w:spacing w:after="80" w:before="240"/>
      </w:pPr>
      <w:r>
        <w:rPr>
          <w:rFonts w:ascii="Arial" w:cs="Arial" w:eastAsia="Arial" w:hAnsi="Arial"/>
          <w:b/>
          <w:bCs/>
          <w:color w:val="2E6DA4"/>
          <w:sz w:val="22"/>
          <w:szCs w:val="22"/>
        </w:rPr>
        <w:t xml:space="preserve">2.3 Levantamento dos Valores Corretos</w:t>
      </w:r>
    </w:p>
    <w:p>
      <w:pPr>
        <w:spacing w:after="80" w:before="80"/>
      </w:pPr>
      <w:r>
        <w:rPr>
          <w:rFonts w:ascii="Arial" w:cs="Arial" w:eastAsia="Arial" w:hAnsi="Arial"/>
          <w:b w:val="false"/>
          <w:bCs w:val="false"/>
          <w:color w:val="222222"/>
          <w:sz w:val="20"/>
          <w:szCs w:val="20"/>
        </w:rPr>
        <w:t xml:space="preserve">Abaixo, os custos corretos extraídos de cada produto do orçamento: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c>
          <w:tcPr>
            <w:tcW w:type="dxa" w:w="3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Produto</w:t>
            </w:r>
          </w:p>
        </w:tc>
        <w:tc>
          <w:tcPr>
            <w:tcW w:type="dxa" w:w="27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 Produto (R$)</w:t>
            </w:r>
          </w:p>
        </w:tc>
        <w:tc>
          <w:tcPr>
            <w:tcW w:type="dxa" w:w="273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Fonte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AAATeste0506</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R$ 55.901,92</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Operação Interna – Custo produto</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AAAtesteCBS5</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R$ 39.929,94</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Operação Interna – Custo produto</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Obra Josue Pvc Branco (Daniel)</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R$ 45.340,99</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Operação Interna – Custo produto</w:t>
            </w:r>
          </w:p>
        </w:tc>
      </w:tr>
      <w:tr>
        <w:tc>
          <w:tcPr>
            <w:tcW w:type="dxa" w:w="39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CORRETO</w:t>
            </w:r>
          </w:p>
        </w:tc>
        <w:tc>
          <w:tcPr>
            <w:tcW w:type="dxa" w:w="273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right"/>
            </w:pPr>
            <w:r>
              <w:rPr>
                <w:rFonts w:ascii="Arial" w:cs="Arial" w:eastAsia="Arial" w:hAnsi="Arial"/>
                <w:b/>
                <w:bCs/>
                <w:color w:val="1A7A4A"/>
                <w:sz w:val="20"/>
                <w:szCs w:val="20"/>
              </w:rPr>
              <w:t xml:space="preserve">R$ 141.172,85</w:t>
            </w:r>
          </w:p>
        </w:tc>
        <w:tc>
          <w:tcPr>
            <w:tcW w:type="dxa" w:w="273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Σ Custo produto dos 3 produtos</w:t>
            </w:r>
          </w:p>
        </w:tc>
      </w:tr>
      <w:tr>
        <w:tc>
          <w:tcPr>
            <w:tcW w:type="dxa" w:w="3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Valor utilizado na cascata (incorreto)</w:t>
            </w:r>
          </w:p>
        </w:tc>
        <w:tc>
          <w:tcPr>
            <w:tcW w:type="dxa" w:w="27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right"/>
            </w:pPr>
            <w:r>
              <w:rPr>
                <w:rFonts w:ascii="Arial" w:cs="Arial" w:eastAsia="Arial" w:hAnsi="Arial"/>
                <w:b/>
                <w:bCs/>
                <w:color w:val="C0392B"/>
                <w:sz w:val="20"/>
                <w:szCs w:val="20"/>
              </w:rPr>
              <w:t xml:space="preserve">R$ 150.319,70</w:t>
            </w:r>
          </w:p>
        </w:tc>
        <w:tc>
          <w:tcPr>
            <w:tcW w:type="dxa" w:w="27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Origem divergente – não rastreável aos produtos</w:t>
            </w:r>
          </w:p>
        </w:tc>
      </w:tr>
      <w:tr>
        <w:tc>
          <w:tcPr>
            <w:tcW w:type="dxa" w:w="3900"/>
            <w:tcBorders>
              <w:top w:val="single" w:color="CCCCCC" w:sz="1"/>
              <w:left w:val="single" w:color="CCCCCC" w:sz="1"/>
              <w:bottom w:val="single" w:color="CCCCCC" w:sz="1"/>
              <w:right w:val="single" w:color="CCCCCC" w:sz="1"/>
            </w:tcBorders>
            <w:shd w:fill="FAD4D4"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Diferença (erro)</w:t>
            </w:r>
          </w:p>
        </w:tc>
        <w:tc>
          <w:tcPr>
            <w:tcW w:type="dxa" w:w="2730"/>
            <w:tcBorders>
              <w:top w:val="single" w:color="CCCCCC" w:sz="1"/>
              <w:left w:val="single" w:color="CCCCCC" w:sz="1"/>
              <w:bottom w:val="single" w:color="CCCCCC" w:sz="1"/>
              <w:right w:val="single" w:color="CCCCCC" w:sz="1"/>
            </w:tcBorders>
            <w:shd w:fill="FAD4D4" w:val="clear"/>
            <w:tcMar>
              <w:top w:type="dxa" w:w="80"/>
              <w:left w:type="dxa" w:w="120"/>
              <w:bottom w:type="dxa" w:w="80"/>
              <w:right w:type="dxa" w:w="120"/>
            </w:tcMar>
            <w:vAlign w:val="center"/>
          </w:tcPr>
          <w:p>
            <w:pPr>
              <w:jc w:val="right"/>
            </w:pPr>
            <w:r>
              <w:rPr>
                <w:rFonts w:ascii="Arial" w:cs="Arial" w:eastAsia="Arial" w:hAnsi="Arial"/>
                <w:b/>
                <w:bCs/>
                <w:color w:val="C0392B"/>
                <w:sz w:val="20"/>
                <w:szCs w:val="20"/>
              </w:rPr>
              <w:t xml:space="preserve">R$ 9.146,85</w:t>
            </w:r>
          </w:p>
        </w:tc>
        <w:tc>
          <w:tcPr>
            <w:tcW w:type="dxa" w:w="2730"/>
            <w:tcBorders>
              <w:top w:val="single" w:color="CCCCCC" w:sz="1"/>
              <w:left w:val="single" w:color="CCCCCC" w:sz="1"/>
              <w:bottom w:val="single" w:color="CCCCCC" w:sz="1"/>
              <w:right w:val="single" w:color="CCCCCC" w:sz="1"/>
            </w:tcBorders>
            <w:shd w:fill="FAD4D4"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Valor incorretamente agregado ao CMV</w:t>
            </w:r>
          </w:p>
        </w:tc>
      </w:tr>
    </w:tbl>
    <w:p>
      <w:pPr>
        <w:spacing w:after="0" w:before="80"/>
      </w:pPr>
    </w:p>
    <w:p>
      <w:pPr>
        <w:spacing w:after="80" w:before="200"/>
      </w:pPr>
    </w:p>
    <w:p>
      <w:pPr>
        <w:spacing w:after="80" w:before="240"/>
      </w:pPr>
      <w:r>
        <w:rPr>
          <w:rFonts w:ascii="Arial" w:cs="Arial" w:eastAsia="Arial" w:hAnsi="Arial"/>
          <w:b/>
          <w:bCs/>
          <w:color w:val="2E6DA4"/>
          <w:sz w:val="22"/>
          <w:szCs w:val="22"/>
        </w:rPr>
        <w:t xml:space="preserve">2.4 Solução a Ser Aplicada no Sistema</w:t>
      </w:r>
    </w:p>
    <w:p>
      <w:pPr>
        <w:spacing w:after="80" w:before="80"/>
      </w:pPr>
      <w:r>
        <w:rPr>
          <w:rFonts w:ascii="Arial" w:cs="Arial" w:eastAsia="Arial" w:hAnsi="Arial"/>
          <w:b w:val="false"/>
          <w:bCs w:val="false"/>
          <w:color w:val="222222"/>
          <w:sz w:val="20"/>
          <w:szCs w:val="20"/>
        </w:rPr>
        <w:t xml:space="preserve">O motor de consolidação de custos deve ser ajustado para:</w:t>
      </w:r>
    </w:p>
    <w:p>
      <w:pPr>
        <w:pStyle w:val="ListParagraph"/>
        <w:numPr>
          <w:ilvl w:val="0"/>
          <w:numId w:val="2"/>
        </w:numPr>
        <w:spacing w:after="60" w:before="60"/>
      </w:pPr>
      <w:r>
        <w:rPr>
          <w:rFonts w:ascii="Arial" w:cs="Arial" w:eastAsia="Arial" w:hAnsi="Arial"/>
          <w:sz w:val="20"/>
          <w:szCs w:val="20"/>
        </w:rPr>
        <w:t xml:space="preserve">Iterar sobre cada produto presente no orçamento.</w:t>
      </w:r>
    </w:p>
    <w:p>
      <w:pPr>
        <w:pStyle w:val="ListParagraph"/>
        <w:numPr>
          <w:ilvl w:val="0"/>
          <w:numId w:val="2"/>
        </w:numPr>
        <w:spacing w:after="60" w:before="60"/>
      </w:pPr>
      <w:r>
        <w:rPr>
          <w:rFonts w:ascii="Arial" w:cs="Arial" w:eastAsia="Arial" w:hAnsi="Arial"/>
          <w:sz w:val="20"/>
          <w:szCs w:val="20"/>
        </w:rPr>
        <w:t xml:space="preserve">Ler o campo Custo produto da Operação Interna de cada produto (já contempla Itens + MOD quando há).</w:t>
      </w:r>
    </w:p>
    <w:p>
      <w:pPr>
        <w:pStyle w:val="ListParagraph"/>
        <w:numPr>
          <w:ilvl w:val="0"/>
          <w:numId w:val="2"/>
        </w:numPr>
        <w:spacing w:after="60" w:before="60"/>
      </w:pPr>
      <w:r>
        <w:rPr>
          <w:rFonts w:ascii="Arial" w:cs="Arial" w:eastAsia="Arial" w:hAnsi="Arial"/>
          <w:sz w:val="20"/>
          <w:szCs w:val="20"/>
        </w:rPr>
        <w:t xml:space="preserve">Somar esses valores para compor o CMV consolidado do item 4.</w:t>
      </w:r>
    </w:p>
    <w:p>
      <w:pPr>
        <w:pStyle w:val="ListParagraph"/>
        <w:numPr>
          <w:ilvl w:val="0"/>
          <w:numId w:val="2"/>
        </w:numPr>
        <w:spacing w:after="60" w:before="60"/>
      </w:pPr>
      <w:r>
        <w:rPr>
          <w:rFonts w:ascii="Arial" w:cs="Arial" w:eastAsia="Arial" w:hAnsi="Arial"/>
          <w:b/>
          <w:bCs/>
          <w:color w:val="C0392B"/>
          <w:sz w:val="20"/>
          <w:szCs w:val="20"/>
        </w:rPr>
        <w:t xml:space="preserve">Nunca derivar o CMV de outro ponto intermediário da cadeia de cálculo.</w:t>
      </w:r>
    </w:p>
    <w:p>
      <w:pPr>
        <w:spacing w:after="80" w:before="80"/>
      </w:pPr>
      <w:r>
        <w:rPr>
          <w:rFonts w:ascii="Arial" w:cs="Arial" w:eastAsia="Arial" w:hAnsi="Arial"/>
          <w:b/>
          <w:bCs/>
          <w:color w:val="222222"/>
          <w:sz w:val="20"/>
          <w:szCs w:val="20"/>
        </w:rPr>
        <w:t xml:space="preserve">Expressão correta do motor:</w:t>
      </w:r>
    </w:p>
    <w:p>
      <w:pPr>
        <w:shd w:fill="F2F2F2" w:val="clear"/>
        <w:spacing w:after="80" w:before="80"/>
      </w:pPr>
      <w:r>
        <w:rPr>
          <w:rFonts w:ascii="Courier New" w:cs="Courier New" w:eastAsia="Courier New" w:hAnsi="Courier New"/>
          <w:b/>
          <w:bCs/>
          <w:color w:val="1E3A5F"/>
          <w:sz w:val="20"/>
          <w:szCs w:val="20"/>
        </w:rPr>
        <w:t xml:space="preserve">  CMV Efetivo (Item 4) = Σ [Custo produto]ₙ para cada produto n do orçamento</w:t>
      </w:r>
    </w:p>
    <w:p>
      <w:pPr>
        <w:spacing w:after="0" w:before="80"/>
      </w:pPr>
    </w:p>
    <w:p>
      <w:pPr>
        <w:spacing w:after="80" w:before="200"/>
      </w:pPr>
    </w:p>
    <w:p>
      <w:pPr>
        <w:spacing w:after="80" w:before="240"/>
      </w:pPr>
      <w:r>
        <w:rPr>
          <w:rFonts w:ascii="Arial" w:cs="Arial" w:eastAsia="Arial" w:hAnsi="Arial"/>
          <w:b/>
          <w:bCs/>
          <w:color w:val="2E6DA4"/>
          <w:sz w:val="22"/>
          <w:szCs w:val="22"/>
        </w:rPr>
        <w:t xml:space="preserve">2.5 Impacto em Cascata da Correção</w:t>
      </w:r>
    </w:p>
    <w:p>
      <w:pPr>
        <w:spacing w:after="80" w:before="80"/>
      </w:pPr>
      <w:r>
        <w:rPr>
          <w:rFonts w:ascii="Arial" w:cs="Arial" w:eastAsia="Arial" w:hAnsi="Arial"/>
          <w:b w:val="false"/>
          <w:bCs w:val="false"/>
          <w:color w:val="222222"/>
          <w:sz w:val="20"/>
          <w:szCs w:val="20"/>
        </w:rPr>
        <w:t xml:space="preserve">O valor incorreto de R$ 9.146,85 excedentes propaga-se por todos os itens downstream. Após a correção, os seguintes itens serão recalculados automaticamente: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2700"/>
        <w:gridCol w:w="270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Descrição</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atual (incorreto)</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 após correção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Consolidação dos custos (CMV Efetivo)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C0392B"/>
                <w:sz w:val="20"/>
                <w:szCs w:val="20"/>
              </w:rPr>
              <w:t xml:space="preserve">R$ 150.319,70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7A4A"/>
                <w:sz w:val="20"/>
                <w:szCs w:val="20"/>
              </w:rPr>
              <w:t xml:space="preserve">R$ 141.172,85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Redução de custos e despesas – Custos CMV efetivo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C0392B"/>
                <w:sz w:val="20"/>
                <w:szCs w:val="20"/>
              </w:rPr>
              <w:t xml:space="preserve">-R$ 150.319,70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1A7A4A"/>
                <w:sz w:val="20"/>
                <w:szCs w:val="20"/>
              </w:rPr>
              <w:t xml:space="preserve">-R$ 141.172,85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Resultado Residual Operacional (RRO)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Afetado pelo CMV inflado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Recalculado com CMV correto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Redistribuição RRO (Comissão + Lucro + IRPJ + CSLL)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Afetado pelo CMV inflado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Recalculado com CMV correto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Consolidação final da operação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Afetado pelo CMV inflado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Recalculado com CMV correto</w:t>
            </w:r>
          </w:p>
        </w:tc>
      </w:tr>
    </w:tbl>
    <w:p>
      <w:pPr>
        <w:spacing w:after="0" w:before="80"/>
      </w:pPr>
    </w:p>
    <w:p>
      <w:pPr>
        <w:spacing w:after="0" w:before="240"/>
      </w:pPr>
      <w:r>
        <w:br w:type="page"/>
      </w:r>
    </w:p>
    <w:p>
      <w:pPr>
        <w:pStyle w:val="Heading1"/>
        <w:spacing w:after="160" w:before="320"/>
      </w:pPr>
      <w:r>
        <w:rPr>
          <w:rFonts w:ascii="Arial" w:cs="Arial" w:eastAsia="Arial" w:hAnsi="Arial"/>
          <w:b/>
          <w:bCs/>
          <w:color w:val="1E3A5F"/>
          <w:sz w:val="32"/>
          <w:szCs w:val="32"/>
        </w:rPr>
        <w:t xml:space="preserve">3. Correção 2 — Item 17: Quebra da Semântica Pai → Filho</w:t>
      </w:r>
    </w:p>
    <w:p>
      <w:pPr>
        <w:pBdr>
          <w:bottom w:val="single" w:color="2E6DA4" w:sz="6" w:space="1"/>
        </w:pBdr>
        <w:spacing w:after="160" w:before="160"/>
      </w:pPr>
    </w:p>
    <w:p>
      <w:pPr>
        <w:spacing w:after="80" w:before="240"/>
      </w:pPr>
      <w:r>
        <w:rPr>
          <w:rFonts w:ascii="Arial" w:cs="Arial" w:eastAsia="Arial" w:hAnsi="Arial"/>
          <w:b/>
          <w:bCs/>
          <w:color w:val="2E6DA4"/>
          <w:sz w:val="22"/>
          <w:szCs w:val="22"/>
        </w:rPr>
        <w:t xml:space="preserve">3.1 Descrição do Problema</w:t>
      </w:r>
    </w:p>
    <w:p>
      <w:pPr>
        <w:spacing w:after="80" w:before="80"/>
      </w:pPr>
      <w:r>
        <w:rPr>
          <w:rFonts w:ascii="Arial" w:cs="Arial" w:eastAsia="Arial" w:hAnsi="Arial"/>
          <w:b w:val="false"/>
          <w:bCs w:val="false"/>
          <w:color w:val="222222"/>
          <w:sz w:val="20"/>
          <w:szCs w:val="20"/>
        </w:rPr>
        <w:t xml:space="preserve">O item 17 — Consolidação final da operação — exibe o valor de R$ 351.346,81 como total da categoria. Esse valor não corresponde à soma das suas subcategorias (IBS + CBS + IPI), violando a semântica pai → filho que rege todos os demais itens da cascata.</w:t>
      </w:r>
    </w:p>
    <w:p>
      <w:pPr>
        <w:spacing w:after="80" w:before="80"/>
      </w:pPr>
      <w:r>
        <w:rPr>
          <w:rFonts w:ascii="Arial" w:cs="Arial" w:eastAsia="Arial" w:hAnsi="Arial"/>
          <w:b w:val="false"/>
          <w:bCs w:val="false"/>
          <w:color w:val="222222"/>
          <w:sz w:val="20"/>
          <w:szCs w:val="20"/>
        </w:rPr>
        <w:t xml:space="preserve">O valor exibido carrega o total acumulado de toda a operação (proveniente dos itens anteriores), em vez de refletir exclusivamente a soma dos filhos diretos do item 17.</w:t>
      </w:r>
    </w:p>
    <w:p>
      <w:pPr>
        <w:spacing w:after="0" w:before="80"/>
      </w:pPr>
    </w:p>
    <w:p>
      <w:pPr>
        <w:spacing w:after="80" w:before="240"/>
      </w:pPr>
      <w:r>
        <w:rPr>
          <w:rFonts w:ascii="Arial" w:cs="Arial" w:eastAsia="Arial" w:hAnsi="Arial"/>
          <w:b/>
          <w:bCs/>
          <w:color w:val="2E6DA4"/>
          <w:sz w:val="22"/>
          <w:szCs w:val="22"/>
        </w:rPr>
        <w:t xml:space="preserve">3.2 Regra Violada</w:t>
      </w:r>
    </w:p>
    <w:p>
      <w:pPr>
        <w:shd w:fill="D0E4F7" w:val="clear"/>
        <w:spacing w:after="80" w:before="80"/>
      </w:pPr>
      <w:r>
        <w:rPr>
          <w:rFonts w:ascii="Arial" w:cs="Arial" w:eastAsia="Arial" w:hAnsi="Arial"/>
          <w:b/>
          <w:bCs/>
          <w:color w:val="1E3A5F"/>
          <w:sz w:val="20"/>
          <w:szCs w:val="20"/>
        </w:rPr>
        <w:t xml:space="preserve">  Pai = Σ Filhos: o total de qualquer categoria deve ser igual, e somente igual, à soma dos valores das subcategorias que ela contém. Não há acumulação de itens externos à hierarquia do pai.</w:t>
      </w:r>
    </w:p>
    <w:p>
      <w:pPr>
        <w:spacing w:after="0" w:before="80"/>
      </w:pPr>
    </w:p>
    <w:p>
      <w:pPr>
        <w:spacing w:after="80" w:before="240"/>
      </w:pPr>
      <w:r>
        <w:rPr>
          <w:rFonts w:ascii="Arial" w:cs="Arial" w:eastAsia="Arial" w:hAnsi="Arial"/>
          <w:b/>
          <w:bCs/>
          <w:color w:val="2E6DA4"/>
          <w:sz w:val="22"/>
          <w:szCs w:val="22"/>
        </w:rPr>
        <w:t xml:space="preserve">3.3 Levantamento dos Valores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Subcategoria (filho)</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 (R$)</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R$ 116,66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Correto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CBS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R$ 1.049,94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Correto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000000"/>
                <w:sz w:val="20"/>
                <w:szCs w:val="20"/>
              </w:rPr>
              <w:t xml:space="preserve">R$ 6.883,15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Correto</w:t>
            </w:r>
          </w:p>
        </w:tc>
      </w:tr>
      <w:tr>
        <w:tc>
          <w:tcPr>
            <w:tcW w:type="dxa" w:w="468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TOTAL CORRETO (Pai = Σ Filhos)</w:t>
            </w:r>
          </w:p>
        </w:tc>
        <w:tc>
          <w:tcPr>
            <w:tcW w:type="dxa" w:w="23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right"/>
            </w:pPr>
            <w:r>
              <w:rPr>
                <w:rFonts w:ascii="Arial" w:cs="Arial" w:eastAsia="Arial" w:hAnsi="Arial"/>
                <w:b/>
                <w:bCs/>
                <w:color w:val="1A7A4A"/>
                <w:sz w:val="20"/>
                <w:szCs w:val="20"/>
              </w:rPr>
              <w:t xml:space="preserve">R$ 8.049,75</w:t>
            </w:r>
          </w:p>
        </w:tc>
        <w:tc>
          <w:tcPr>
            <w:tcW w:type="dxa" w:w="234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Valor correto</w:t>
            </w:r>
          </w:p>
        </w:tc>
      </w:tr>
      <w:tr>
        <w:tc>
          <w:tcPr>
            <w:tcW w:type="dxa" w:w="46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Valor exibido na cascata (incorreto)</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right"/>
            </w:pPr>
            <w:r>
              <w:rPr>
                <w:rFonts w:ascii="Arial" w:cs="Arial" w:eastAsia="Arial" w:hAnsi="Arial"/>
                <w:b/>
                <w:bCs/>
                <w:color w:val="C0392B"/>
                <w:sz w:val="20"/>
                <w:szCs w:val="20"/>
              </w:rPr>
              <w:t xml:space="preserve">R$ 351.346,81</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Acumula toda a operação</w:t>
            </w:r>
          </w:p>
        </w:tc>
      </w:tr>
    </w:tbl>
    <w:p>
      <w:pPr>
        <w:spacing w:after="0" w:before="80"/>
      </w:pPr>
    </w:p>
    <w:p>
      <w:pPr>
        <w:spacing w:after="80" w:before="200"/>
      </w:pPr>
    </w:p>
    <w:p>
      <w:pPr>
        <w:spacing w:after="80" w:before="240"/>
      </w:pPr>
      <w:r>
        <w:rPr>
          <w:rFonts w:ascii="Arial" w:cs="Arial" w:eastAsia="Arial" w:hAnsi="Arial"/>
          <w:b/>
          <w:bCs/>
          <w:color w:val="2E6DA4"/>
          <w:sz w:val="22"/>
          <w:szCs w:val="22"/>
        </w:rPr>
        <w:t xml:space="preserve">3.4 Solução a Ser Aplicada no Sistema</w:t>
      </w:r>
    </w:p>
    <w:p>
      <w:pPr>
        <w:spacing w:after="80" w:before="80"/>
      </w:pPr>
      <w:r>
        <w:rPr>
          <w:rFonts w:ascii="Arial" w:cs="Arial" w:eastAsia="Arial" w:hAnsi="Arial"/>
          <w:b w:val="false"/>
          <w:bCs w:val="false"/>
          <w:color w:val="222222"/>
          <w:sz w:val="20"/>
          <w:szCs w:val="20"/>
        </w:rPr>
        <w:t xml:space="preserve">O campo de valor do item 17 deve ser recalculado exclusivamente como:</w:t>
      </w:r>
    </w:p>
    <w:p>
      <w:pPr>
        <w:shd w:fill="F2F2F2" w:val="clear"/>
        <w:spacing w:after="80" w:before="80"/>
      </w:pPr>
      <w:r>
        <w:rPr>
          <w:rFonts w:ascii="Courier New" w:cs="Courier New" w:eastAsia="Courier New" w:hAnsi="Courier New"/>
          <w:b/>
          <w:bCs/>
          <w:color w:val="1E3A5F"/>
          <w:sz w:val="20"/>
          <w:szCs w:val="20"/>
        </w:rPr>
        <w:t xml:space="preserve">  Item 17 (Consolidação final) = IBS + CBS + IPI = R$ 8.049,75</w:t>
      </w:r>
    </w:p>
    <w:p>
      <w:pPr>
        <w:spacing w:after="80" w:before="80"/>
      </w:pPr>
      <w:r>
        <w:rPr>
          <w:rFonts w:ascii="Arial" w:cs="Arial" w:eastAsia="Arial" w:hAnsi="Arial"/>
          <w:b w:val="false"/>
          <w:bCs w:val="false"/>
          <w:color w:val="222222"/>
          <w:sz w:val="20"/>
          <w:szCs w:val="20"/>
        </w:rPr>
        <w:t xml:space="preserve">O motor não deve injetar o valor acumulado da operação nesse campo. Cada nível da cascata é autossuficiente e fechado dentro da sua própria hierarquia.</w:t>
      </w:r>
    </w:p>
    <w:p>
      <w:pPr>
        <w:spacing w:after="0" w:before="80"/>
      </w:pPr>
    </w:p>
    <w:p>
      <w:pPr>
        <w:spacing w:after="80" w:before="200"/>
      </w:pPr>
    </w:p>
    <w:p>
      <w:pPr>
        <w:pStyle w:val="Heading1"/>
        <w:spacing w:after="160" w:before="320"/>
      </w:pPr>
      <w:r>
        <w:rPr>
          <w:rFonts w:ascii="Arial" w:cs="Arial" w:eastAsia="Arial" w:hAnsi="Arial"/>
          <w:b/>
          <w:bCs/>
          <w:color w:val="1E3A5F"/>
          <w:sz w:val="32"/>
          <w:szCs w:val="32"/>
        </w:rPr>
        <w:t xml:space="preserve">4. Referência ao Motor RRO — Base de Conhecimento</w:t>
      </w:r>
    </w:p>
    <w:p>
      <w:pPr>
        <w:pBdr>
          <w:bottom w:val="single" w:color="2E6DA4" w:sz="6" w:space="1"/>
        </w:pBdr>
        <w:spacing w:after="160" w:before="160"/>
      </w:pPr>
    </w:p>
    <w:p>
      <w:pPr>
        <w:spacing w:after="80" w:before="80"/>
      </w:pPr>
      <w:r>
        <w:rPr>
          <w:rFonts w:ascii="Arial" w:cs="Arial" w:eastAsia="Arial" w:hAnsi="Arial"/>
          <w:b w:val="false"/>
          <w:bCs w:val="false"/>
          <w:color w:val="222222"/>
          <w:sz w:val="20"/>
          <w:szCs w:val="20"/>
        </w:rPr>
        <w:t xml:space="preserve">Todas as correções descritas neste relatório têm como referência normativa o Motor RRO Base de Conhecimento do Precifica Certo. As regras aqui documentadas não introduzem novas lógicas — apenas reafirmam e corrigem desvios em relação ao comportamento já estabelecido:</w:t>
      </w:r>
    </w:p>
    <w:p>
      <w:pPr>
        <w:pStyle w:val="ListParagraph"/>
        <w:numPr>
          <w:ilvl w:val="0"/>
          <w:numId w:val="2"/>
        </w:numPr>
        <w:spacing w:after="60" w:before="80"/>
      </w:pPr>
      <w:r>
        <w:rPr>
          <w:rFonts w:ascii="Arial" w:cs="Arial" w:eastAsia="Arial" w:hAnsi="Arial"/>
          <w:sz w:val="20"/>
          <w:szCs w:val="20"/>
        </w:rPr>
        <w:t xml:space="preserve">A fonte do CMV é e sempre foi o campo Custo produto da Operação Interna de cada produto.</w:t>
      </w:r>
    </w:p>
    <w:p>
      <w:pPr>
        <w:pStyle w:val="ListParagraph"/>
        <w:numPr>
          <w:ilvl w:val="0"/>
          <w:numId w:val="2"/>
        </w:numPr>
        <w:spacing w:after="60" w:before="60"/>
      </w:pPr>
      <w:r>
        <w:rPr>
          <w:rFonts w:ascii="Arial" w:cs="Arial" w:eastAsia="Arial" w:hAnsi="Arial"/>
          <w:sz w:val="20"/>
          <w:szCs w:val="20"/>
        </w:rPr>
        <w:t xml:space="preserve">A semântica Pai = Σ Filhos é estrutural e não admite exceções em nenhum item da cascata.</w:t>
      </w:r>
    </w:p>
    <w:p>
      <w:pPr>
        <w:pStyle w:val="ListParagraph"/>
        <w:numPr>
          <w:ilvl w:val="0"/>
          <w:numId w:val="2"/>
        </w:numPr>
        <w:spacing w:after="60" w:before="60"/>
      </w:pPr>
      <w:r>
        <w:rPr>
          <w:rFonts w:ascii="Arial" w:cs="Arial" w:eastAsia="Arial" w:hAnsi="Arial"/>
          <w:sz w:val="20"/>
          <w:szCs w:val="20"/>
        </w:rPr>
        <w:t xml:space="preserve">O total de qualquer categoria é sempre e somente a soma das suas subcategorias diretas — nunca um acumulado externo.</w:t>
      </w:r>
    </w:p>
    <w:p>
      <w:pPr>
        <w:spacing w:after="80" w:before="200"/>
      </w:pPr>
    </w:p>
    <w:p>
      <w:pPr>
        <w:pStyle w:val="Heading1"/>
        <w:spacing w:after="160" w:before="320"/>
      </w:pPr>
      <w:r>
        <w:rPr>
          <w:rFonts w:ascii="Arial" w:cs="Arial" w:eastAsia="Arial" w:hAnsi="Arial"/>
          <w:b/>
          <w:bCs/>
          <w:color w:val="1E3A5F"/>
          <w:sz w:val="32"/>
          <w:szCs w:val="32"/>
        </w:rPr>
        <w:t xml:space="preserve">5. Resumo Executivo das Correções</w:t>
      </w:r>
    </w:p>
    <w:p>
      <w:pPr>
        <w:pBdr>
          <w:bottom w:val="single" w:color="2E6DA4"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80"/>
        <w:gridCol w:w="288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 da Cascata</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Problema</w:t>
            </w:r>
          </w:p>
        </w:tc>
        <w:tc>
          <w:tcPr>
            <w:tcW w:type="dxa" w:w="2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Solução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Item 4 – CMV Efetivo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Valor R$ 150.319,70 não coincide com Σ custos dos produtos (R$ 141.172,85). Diferença: R$ 9.146,85.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Motor deve ler o campo Custo produto da Operação Interna de cada produto e somar. Nunca usar base intermediária.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Item 17 – Consolidação final da operação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Valor R$ 351.346,81 acumula toda a operação. Quebra a semântica Pai = Σ Filhos.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A4A"/>
                <w:sz w:val="20"/>
                <w:szCs w:val="20"/>
              </w:rPr>
              <w:t xml:space="preserve">Total deve ser exclusivamente IBS + CBS + IPI = R$ 8.049,75.</w:t>
            </w:r>
          </w:p>
        </w:tc>
      </w:tr>
    </w:tbl>
    <w:p>
      <w:pPr>
        <w:spacing w:after="80" w:before="320"/>
      </w:pPr>
    </w:p>
    <w:p>
      <w:pPr>
        <w:shd w:fill="1E3A5F" w:val="clear"/>
        <w:spacing w:after="0" w:before="0"/>
      </w:pPr>
      <w:r>
        <w:rPr>
          <w:rFonts w:ascii="Arial" w:cs="Arial" w:eastAsia="Arial" w:hAnsi="Arial"/>
          <w:color w:val="FFFFFF"/>
          <w:sz w:val="16"/>
          <w:szCs w:val="16"/>
        </w:rPr>
        <w:t xml:space="preserve">  Relatório gerado em 26/06/2026 — Precifica Certo © 2026. Uso interno.</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2026-06-26T22:32:23.731Z</dcterms:created>
  <dcterms:modified xsi:type="dcterms:W3CDTF">2026-06-26T22:32:23.732Z</dcterms:modified>
</cp:coreProperties>
</file>

<file path=docProps/custom.xml><?xml version="1.0" encoding="utf-8"?>
<Properties xmlns="http://schemas.openxmlformats.org/officeDocument/2006/custom-properties" xmlns:vt="http://schemas.openxmlformats.org/officeDocument/2006/docPropsVTypes"/>
</file>