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0C1E3E"/>
          <w:sz w:val="36"/>
          <w:szCs w:val="36"/>
        </w:rPr>
        <w:t xml:space="preserve">RELATÓRIO DE CORREÇÃO — EMERGENCIAL</w:t>
      </w:r>
    </w:p>
    <w:p>
      <w:pPr>
        <w:spacing w:after="40"/>
        <w:jc w:val="center"/>
      </w:pPr>
      <w:r>
        <w:rPr>
          <w:color w:val="444444"/>
          <w:sz w:val="24"/>
          <w:szCs w:val="24"/>
        </w:rPr>
        <w:t xml:space="preserve">Precifica Certo — Motor RRO (Resultado Residual Operacional)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app.precificacerto.com  ·  Data: 30/06/2026  ·  Solicitante: Cristiano (Product Owner)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91F1F" w:sz="4"/>
              <w:left w:val="single" w:color="791F1F" w:sz="4"/>
              <w:bottom w:val="single" w:color="791F1F" w:sz="4"/>
              <w:right w:val="single" w:color="791F1F" w:sz="4"/>
            </w:tcBorders>
            <w:shd w:fill="FCE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91F1F"/>
                <w:sz w:val="22"/>
                <w:szCs w:val="22"/>
              </w:rPr>
              <w:t xml:space="preserve">CLASSIFICAÇÃO: CRÍTICO / INVIOLÁVEL — CORREÇÃO DE EMERGÊNCIA. Este relatório descreve duas não conformidades no Motor RRO que devem ser tratadas com prioridade máxima por violarem regras de negócio inegociáveis e/ou comprometerem a confiança do usuário no resultado fiscal exibido. Toda alteração deve ser validada estritamente contra os dados de teste fornecidos neste documento antes de ser considerada concluída.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Sumário executivo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1700"/>
        <w:gridCol w:w="13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PC-BUG-CMV-ETAPA4-004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4 da cascata (Consolidação dos custos) exibe valor diferente da soma real dos CMVs individuais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 de cálculo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PC-UI-IBSCBS-ALIQEFETIVA-005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Linha de IBS/CBS não exibe a alíquota efetiva (pós-fator de redução do IVA Dual), apenas a cheia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Melhoria de transparência (UI)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PC-BUG-CMV-ETAPA4-004 — Consolidação dos custos (Etapa 4) com valor divergente</w:t>
      </w:r>
    </w:p>
    <w:p>
      <w:pPr>
        <w:pStyle w:val="Heading2"/>
      </w:pPr>
      <w:r>
        <w:t xml:space="preserve">1.1 Severidade</w:t>
      </w:r>
    </w:p>
    <w:p>
      <w:pPr>
        <w:spacing w:after="160"/>
      </w:pPr>
      <w:r>
        <w:t xml:space="preserve">CRÍTICA. Viola regra inviolável da Base de Conhecimento do Motor RRO: a Etapa 4 (Consolidação dos custos) deve ser sempre a soma direta e exata dos CMVs (Custo do Produto) de cada produto individual do orçamento — sem rateio, sem recálculo, sem qualquer transformação intermediária.</w:t>
      </w:r>
    </w:p>
    <w:p>
      <w:pPr>
        <w:pStyle w:val="Heading2"/>
      </w:pPr>
      <w:r>
        <w:t xml:space="preserve">1.2 Diagnóstico — dados de origem (planilha Excel oficial, fonte de verdade)</w:t>
      </w:r>
    </w:p>
    <w:p>
      <w:pPr>
        <w:spacing w:after="160"/>
      </w:pPr>
      <w:r>
        <w:t xml:space="preserve">Orçamento composto por 3 produtos. Custo individual (CMV) de cada um, conforme módulo de precificação do produto e confirmado na planilha Excel oficial: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do produto (CMV)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Produto 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R$ 55.901,92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Produto 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R$ 39.929,94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Produto 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R$ 45.340,99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SOMA — valor correto da Etapa 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R$ 141.172,85</w:t>
            </w:r>
          </w:p>
        </w:tc>
      </w:tr>
    </w:tbl>
    <w:p>
      <w:pPr>
        <w:pStyle w:val="Heading2"/>
      </w:pPr>
      <w:r>
        <w:t xml:space="preserve">1.3 Valor exibido pelo sistema (incorreto)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4 — Consolidação dos custos (sistema)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R$ 147.638,46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4 — valor correto (soma direta dos CMVs)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R$ 141.172,85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Diferença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R$ 6.465,61 a mais (≈ 4,58% acima do correto)</w:t>
            </w:r>
          </w:p>
        </w:tc>
      </w:tr>
    </w:tbl>
    <w:p>
      <w:pPr>
        <w:pStyle w:val="Heading2"/>
      </w:pPr>
      <w:r>
        <w:t xml:space="preserve">1.4 Evidência adicional — isolamento da falha</w:t>
      </w:r>
    </w:p>
    <w:p>
      <w:pPr>
        <w:spacing w:after="80" w:before="120"/>
      </w:pPr>
      <w:r>
        <w:drawing>
          <wp:inline distT="0" distB="0" distL="0" distR="0">
            <wp:extent cx="409575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Print — tela “Memória Cascata” do sistema. Linha 4 (Consolidação dos custos) exibindo R$ 147.638,46, valor que diverge da soma direta dos CMVs individuais (R$ 141.172,85). Observar que a Linha 5 (Consolidação das despesas operacionais, R$ 96.127,74) bate exatamente com a soma de seus componentes (MO Administrativa + Despesa Fixa + Despesa Variável + Despesa Financeira), confirmando que a falha está isolada à Etapa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Etapa 5 (Consolidação das despesas operacionais) do mesmo orçamento bate exatamente com a soma dos componentes individuais (MO Administrativa R$ 34.107,52 + Despesa Fixa R$ 37.421,03 + Despesa Variável R$ 23.086,50/51 + Despesa Financeira R$ 1.512,69 = R$ 96.127,74), confirmando que o motor de consolidação funciona corretamente para outras etapas.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Isso isola a falha especificamente à consolidação do CMV na Etapa 4 — não é um problema genérico do motor de consolidação.</w:t>
      </w:r>
    </w:p>
    <w:p>
      <w:pPr>
        <w:pStyle w:val="Heading2"/>
      </w:pPr>
      <w:r>
        <w:t xml:space="preserve">1.5 Causa raiz suspeita</w:t>
      </w:r>
    </w:p>
    <w:p>
      <w:pPr>
        <w:spacing w:after="160"/>
      </w:pPr>
      <w:r>
        <w:t xml:space="preserve">Mesma causa-raiz já identificada e documentada no bug PC-BUG-CMV-PERSIST-001: o CMV Efetivo de ao menos um dos produtos é alterado/corrompido por serialização incorreta após salvar e reabrir o orçamento (o valor correto R$ 141.172,85 muda para um valor diferente após o ciclo save/reopen). A Etapa 4 provavelmente está somando o CMV desatualizado/serializado incorretamente de um ou mais produtos, em vez do CMV real e atual no momento da consolidação.</w:t>
      </w:r>
    </w:p>
    <w:p>
      <w:pPr>
        <w:pStyle w:val="Heading2"/>
      </w:pPr>
      <w:r>
        <w:t xml:space="preserve">1.6 Regra inviolável (citar literalmente na correção)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C447C"/>
                <w:sz w:val="22"/>
                <w:szCs w:val="22"/>
              </w:rPr>
              <w:t xml:space="preserve">“A Etapa 4 (Consolidação dos custos) DEVE SER SEMPRE igual à soma aritmética direta e exata dos valores de Custo do produto (CMV) de cada produto individual incluído no orçamento. Não deve haver rateio, peso, recálculo ou qualquer transformação intermediária aplicada a esse valor.”</w:t>
            </w:r>
          </w:p>
        </w:tc>
      </w:tr>
    </w:tbl>
    <w:p>
      <w:pPr>
        <w:pStyle w:val="Heading2"/>
      </w:pPr>
      <w:r>
        <w:t xml:space="preserve">1.7 Solução proposta — passo a passo para o desenvolvedor/LLM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Localizar a função/query que popula a Etapa 4 na consolidação da cascata RRO.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Garantir que essa função leia o CMV ATUAL (pós-recálculo em memória) de cada produto do orçamento no momento da consolidação — nunca um valor de CMV serializado/cacheado desatualizado.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Investigar e corrigir, na mesma frente, a causa raiz de PC-BUG-CMV-PERSIST-001 (serialização incorreta do CMV Efetivo após save/reopen), pois é a causa mais provável deste bug também.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Implementar validação automática: para qualquer orçamento com N produtos, Etapa 4 = Σ(CMV do produto i), com tolerância ZERO (diferença deve ser R$ 0,00).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Rodar o caso de teste de regressão abaixo antes de considerar a correção concluída.</w:t>
      </w:r>
    </w:p>
    <w:p>
      <w:pPr>
        <w:pStyle w:val="Heading3"/>
      </w:pPr>
      <w:r>
        <w:t xml:space="preserve">Caso de teste de regressão (usar exatamente estes dados)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CMV Produto 1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R$ 55.901,92</w:t>
            </w:r>
          </w:p>
        </w:tc>
      </w:tr>
      <w:t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CMV Produto 2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R$ 39.929,94</w:t>
            </w:r>
          </w:p>
        </w:tc>
      </w:tr>
      <w:t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CMV Produto 3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R$ 45.340,99</w:t>
            </w:r>
          </w:p>
        </w:tc>
      </w:tr>
      <w:t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Etapa 4 esperada (correta)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R$ 141.172,85</w:t>
            </w:r>
          </w:p>
        </w:tc>
      </w:tr>
      <w:t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Etapa 4 atual no sistema (incorreta — não deve mais ocorrer)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R$ 147.638,46</w:t>
            </w:r>
          </w:p>
        </w:tc>
      </w:tr>
    </w:tbl>
    <w:p>
      <w:pPr>
        <w:pStyle w:val="Heading2"/>
      </w:pPr>
      <w:r>
        <w:t xml:space="preserve">1.8 Prioridade</w:t>
      </w:r>
    </w:p>
    <w:p>
      <w:pPr>
        <w:spacing w:after="160"/>
      </w:pPr>
      <w:r>
        <w:t xml:space="preserve">EMERGENCIAL. Compromete diretamente a integridade numérica da cascata de precificação exibida ao usuário final, podendo gerar decisões reais de precificação sobre uma base de custo incorreta (sobrepreço de R$ 6.465,61 no orçamento auditado).</w:t>
      </w:r>
    </w:p>
    <w:p>
      <w:r>
        <w:br w:type="page"/>
      </w:r>
    </w:p>
    <w:p>
      <w:pPr>
        <w:pStyle w:val="Heading1"/>
      </w:pPr>
      <w:r>
        <w:t xml:space="preserve">2. PC-UI-IBSCBS-ALIQEFETIVA-005 — Exibir alíquota efetiva de IBS/CBS na linha do imposto</w:t>
      </w:r>
    </w:p>
    <w:p>
      <w:pPr>
        <w:pStyle w:val="Heading2"/>
      </w:pPr>
      <w:r>
        <w:t xml:space="preserve">2.1 Severidade</w:t>
      </w:r>
    </w:p>
    <w:p>
      <w:pPr>
        <w:spacing w:after="160"/>
      </w:pPr>
      <w:r>
        <w:t xml:space="preserve">ALTA. Não é um erro de cálculo — o sistema aplica o fator de redução do IVA Dual corretamente. É uma falha de transparência de UI que gera ambiguidade e insegurança no usuário quanto à validade do resultado.</w:t>
      </w:r>
    </w:p>
    <w:p>
      <w:pPr>
        <w:pStyle w:val="Heading2"/>
      </w:pPr>
      <w:r>
        <w:t xml:space="preserve">2.2 Diagnóstico — confirmação de que o cálculo está correto</w:t>
      </w:r>
    </w:p>
    <w:p>
      <w:pPr>
        <w:spacing w:after="160"/>
      </w:pPr>
      <w:r>
        <w:t xml:space="preserve">Comparando o mesmo produto antes e depois da seleção do fator de redução de 50% no campo “Fator de redução da alíquota do IVA DUAL”: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2700"/>
        <w:gridCol w:w="23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Imposto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R$ sem fator selecionado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R$ com fator 50% aplicado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Razão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IBS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R$ 185,80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R$ 92,90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exatamente 50%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CBS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R$ 1.635,01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R$ 817,51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exatamente 50%</w:t>
            </w:r>
          </w:p>
        </w:tc>
      </w:tr>
    </w:tbl>
    <w:p>
      <w:pPr>
        <w:spacing w:after="160"/>
      </w:pPr>
      <w:r>
        <w:t xml:space="preserve">Isso confirma que o fator de redução é aplicado corretamente ao valor monetário do imposto. O problema é que a alíquota efetiva resultante não é exibida na linha do imposto — apenas a alíquota cheia (nominal) digitada pelo usuário.</w:t>
      </w:r>
    </w:p>
    <w:p>
      <w:pPr>
        <w:pStyle w:val="Heading2"/>
      </w:pPr>
      <w:r>
        <w:t xml:space="preserve">2.3 Problema de UX identificado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linha de cada imposto (IBS e CBS) na seção “IMPOSTOS (IBS / CBS)” do cadastro de produto exibe apenas: a alíquota cheia digitada (ex.: 1,000% / 8,800%) e o valor R$ já calculado com o fator aplicado.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conversão “cheia → efetiva” só aparece em um texto auxiliar abaixo do seletor de fator de redução, em outra seção da tela, fisicamente distante da linha onde o R$ é de fato calculado.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Resultado: o usuário vê “1,000%” na linha de IBS, mas o R$ exibido não corresponde de forma óbvia a 1% de nenhuma base visível ali — gerando dúvida sobre se a redução foi realmente considerada no cálculo.</w:t>
      </w:r>
    </w:p>
    <w:p>
      <w:pPr>
        <w:pStyle w:val="Heading2"/>
      </w:pPr>
      <w:r>
        <w:t xml:space="preserve">2.4 Evidência (prints anexos)</w:t>
      </w:r>
    </w:p>
    <w:p>
      <w:pPr>
        <w:spacing w:after="80" w:before="12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Print 1 — Cadastro de produto, seção IMPOSTOS (IBS/CBS) antes da seleção do fator de redução: IBS R$ 185,80 (1,000%) e CBS R$ 1.635,01 (8,800%).</w:t>
      </w:r>
    </w:p>
    <w:p>
      <w:pPr>
        <w:spacing w:after="80" w:before="12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Print 2 — Seletor “Fator de redução da alíquota do IVA DUAL” = 50%, com o texto auxiliar de conversão: “IBS: 1,00% (bruta) → 0,50% (efetiva) · CBS: 8,80% (bruta) → 4,40% (efetiva)” — essa é a lógica que precisa ser replicada na linha do imposto.</w:t>
      </w:r>
    </w:p>
    <w:p>
      <w:pPr>
        <w:spacing w:after="80" w:before="120"/>
      </w:pPr>
      <w:r>
        <w:drawing>
          <wp:inline distT="0" distB="0" distL="0" distR="0">
            <wp:extent cx="53340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Print 3 — Detalhe da seção IMPOSTOS (IBS/CBS) após o fator de 50% aplicado: IBS R$ 92,90 e CBS R$ 817,51 — exatamente metade dos valores do Print 1.</w:t>
      </w:r>
    </w:p>
    <w:p>
      <w:pPr>
        <w:spacing w:after="80" w:before="12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Print 4 — Tela completa após aplicação do fator, confirmando a consistência do “Preço Final com Impostos” (R$ 23.295,56).</w:t>
      </w:r>
    </w:p>
    <w:p>
      <w:pPr>
        <w:pStyle w:val="Heading2"/>
      </w:pPr>
      <w:r>
        <w:t xml:space="preserve">2.5 Solução proposta — especificação de layout</w:t>
      </w:r>
    </w:p>
    <w:p>
      <w:pPr>
        <w:spacing w:after="160"/>
      </w:pPr>
      <w:r>
        <w:t xml:space="preserve">Adicionar, na própria linha de cada imposto (IBS e CBS) na seção “IMPOSTOS (IBS/CBS)”, entre o campo de input da alíquota e o valor R$ exibido, um indicador no seguinte formato: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6215C" w:sz="4"/>
              <w:left w:val="single" w:color="26215C" w:sz="4"/>
              <w:bottom w:val="single" w:color="26215C" w:sz="4"/>
              <w:right w:val="single" w:color="26215C" w:sz="4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26215C"/>
                <w:sz w:val="22"/>
                <w:szCs w:val="22"/>
              </w:rPr>
              <w:t xml:space="preserve">cheia [X]%  →  efetiva [Y]%  (fator [Z]%)</w:t>
            </w:r>
          </w:p>
        </w:tc>
      </w:tr>
    </w:tbl>
    <w:p>
      <w:pPr>
        <w:spacing w:after="160"/>
      </w:pPr>
      <w:r>
        <w:t xml:space="preserve">Onde: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 = alíquota nominal digitada pelo usuário no campo de input (ex.: 1,000%). Este campo permanece como está hoje — editável, exibindo sempre a alíquota cheia.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 = fator de redução selecionado no seletor “Fator de redução da alíquota do IVA DUAL” (ex.: 50%).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 = alíquota efetiva resultante = X × Z (ex.: 1,000% × 50% = 0,500%).</w:t>
      </w:r>
    </w:p>
    <w:p>
      <w:pPr>
        <w:spacing w:after="160"/>
      </w:pPr>
      <w:r>
        <w:t xml:space="preserve">Esse cálculo já existe no sistema — é o mesmo que hoje gera o texto auxiliar do seletor de fator (Print 2). A correção não exige nova lógica de negócio, apenas duplicar/reposicionar essa exibição para dentro da linha de cada imposto, onde o usuário efetivamente vê o R$ calculado.</w:t>
      </w:r>
    </w:p>
    <w:p>
      <w:pPr>
        <w:pStyle w:val="Heading3"/>
      </w:pPr>
      <w:r>
        <w:t xml:space="preserve">Exemplo aplicado (dados deste relatório)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300"/>
        <w:gridCol w:w="2160"/>
        <w:gridCol w:w="250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Imposto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Alíquota cheia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Alíquota efetiva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R$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IBS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0,500%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R$ 92,90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CBS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8,800%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4,400%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R$ 817,51</w:t>
            </w:r>
          </w:p>
        </w:tc>
      </w:tr>
    </w:tbl>
    <w:p>
      <w:pPr>
        <w:pStyle w:val="Heading2"/>
      </w:pPr>
      <w:r>
        <w:t xml:space="preserve">2.6 Regra a preservar (inviolável)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C447C"/>
                <w:sz w:val="22"/>
                <w:szCs w:val="22"/>
              </w:rPr>
              <w:t xml:space="preserve">O campo de input da alíquota deve continuar SEMPRE editável e exibindo a alíquota cheia/nominal — nunca a efetiva. A alíquota efetiva é exclusivamente um campo de exibição (somente leitura), derivado da cheia e do fator selecionado, e jamais deve ser editável diretamente.</w:t>
            </w:r>
          </w:p>
        </w:tc>
      </w:tr>
    </w:tbl>
    <w:p>
      <w:pPr>
        <w:pStyle w:val="Heading2"/>
      </w:pPr>
      <w:r>
        <w:t xml:space="preserve">2.7 Cobertura — onde replicar esta exibição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 de cadastro de produto (seção IMPOSTOS IBS/CBS) — ponto descrito neste relatório.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Etapa 17 da cascata (consolidação final), em qualquer linha que exiba IBS/CBS com fator de redução aplicável.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Qualquer relatório/PDF futuro da cascata (ver feature já mapeada PC-FEAT-CASCADE-PDF-001), para que a exportação reflita a mesma transparência da tela.</w:t>
      </w:r>
    </w:p>
    <w:p>
      <w:pPr>
        <w:pStyle w:val="Heading2"/>
      </w:pPr>
      <w:r>
        <w:t xml:space="preserve">2.8 Prioridade</w:t>
      </w:r>
    </w:p>
    <w:p>
      <w:pPr>
        <w:spacing w:after="160"/>
      </w:pPr>
      <w:r>
        <w:t xml:space="preserve">ALTA. Não bloqueia o cálculo, que está correto — mas é essencial para a confiança do usuário no motor fiscal do sistema, especialmente no contexto da reforma tributária (LC 214/2025), em que a complexidade do IVA Dual já gera insegurança nos usuários finais.</w:t>
      </w:r>
    </w:p>
    <w:p>
      <w:r>
        <w:br w:type="page"/>
      </w:r>
    </w:p>
    <w:p>
      <w:pPr>
        <w:pStyle w:val="Heading1"/>
      </w:pPr>
      <w:r>
        <w:t xml:space="preserve">3. Observações finais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Ambos os itens deste relatório são classificados como CRÍTICOS e de correção EMERGENCIAL por determinação do Product Owner.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item 1 (Etapa 4) é uma violação de regra inviolável de cálculo e deve ser tratado com prioridade máxima: compromete a integridade numérica da cascata de precificação exibida ao usuário final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item 2 é uma melhoria de transparência que deve acompanhar a mesma janela de correção, por estar diretamente ligada à confiança do usuário na engine fiscal do sistema (IVA Dual / LC 214/2025).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alteração resultante deste relatório deve ser validada estritamente contra os dados de teste e regras invioláveis aqui descritos, e contra a Base de Conhecimento do Motor RRO como fonte de verdade, antes de ser considerada concluída.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Nenhuma das correções deste relatório deve alterar o comportamento de cálculo já validado e correto de outras etapas da cascata (ex.: Etapa 5, Etapa 7/8, Etapa 17) — o escopo é estritamente o descrito nas seções 1 e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C1E3E" w:sz="8" w:space="4"/>
      </w:pBdr>
      <w:spacing w:after="200" w:before="360"/>
      <w:outlineLvl w:val="0"/>
    </w:pPr>
    <w:rPr>
      <w:rFonts w:ascii="Arial" w:cs="Arial" w:eastAsia="Arial" w:hAnsi="Arial"/>
      <w:b/>
      <w:bCs/>
      <w:color w:val="0C1E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C1E3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5e833b9ec8e55b251951a62b8cd5d078d1fae0.png"/><Relationship Id="rId8" Type="http://schemas.openxmlformats.org/officeDocument/2006/relationships/image" Target="media/be1411c4d908afb834d89a07efeba18da143ba0c.png"/><Relationship Id="rId9" Type="http://schemas.openxmlformats.org/officeDocument/2006/relationships/image" Target="media/14ea2dbacb4ec0076cfe6ceb2b8d2536b2445769.png"/><Relationship Id="rId10" Type="http://schemas.openxmlformats.org/officeDocument/2006/relationships/image" Target="media/2c822596579e74f00b3a978db09cdf11c6c9403c.png"/><Relationship Id="rId11" Type="http://schemas.openxmlformats.org/officeDocument/2006/relationships/image" Target="media/cf9d72370af3e630382f57ce56254f55d9bc79f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2026-06-30T18:31:48.150Z</dcterms:created>
  <dcterms:modified xsi:type="dcterms:W3CDTF">2026-06-30T18:31:48.151Z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