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color w:val="1F4D78"/>
          <w:sz w:val="48"/>
        </w:rPr>
        <w:t>Comprehensive Project Report</w:t>
      </w:r>
    </w:p>
    <w:p>
      <w:pPr>
        <w:spacing w:after="240"/>
        <w:jc w:val="center"/>
      </w:pPr>
      <w:r>
        <w:rPr>
          <w:rFonts w:ascii="Calibri" w:hAnsi="Calibri"/>
          <w:color w:val="666666"/>
          <w:sz w:val="24"/>
        </w:rPr>
        <w:t>MediNomix | LASA Drug Error Prevention System</w:t>
      </w:r>
    </w:p>
    <w:tbl>
      <w:tblPr>
        <w:tblW w:type="auto" w:w="0"/>
        <w:jc w:val="center"/>
        <w:tblLayout w:type="fixed"/>
        <w:tblLook w:firstColumn="1" w:firstRow="1" w:lastColumn="0" w:lastRow="0" w:noHBand="0" w:noVBand="1" w:val="04A0"/>
        <w:tblCellMar>
          <w:top w:w="80" w:type="dxa"/>
          <w:start w:w="120" w:type="dxa"/>
          <w:bottom w:w="80" w:type="dxa"/>
          <w:end w:w="120" w:type="dxa"/>
        </w:tblCellMa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rPr>
          <w:tblHeader w:val="true"/>
        </w:trPr>
        <w:tc>
          <w:tcPr>
            <w:tcW w:type="dxa" w:w="2592"/>
            <w:vAlign w:val="center"/>
            <w:shd w:fill="F2F4F7"/>
          </w:tcPr>
          <w:p>
            <w:pPr>
              <w:jc w:val="left"/>
            </w:pPr>
            <w:r/>
            <w:r>
              <w:rPr>
                <w:rFonts w:ascii="Calibri" w:hAnsi="Calibri"/>
                <w:b/>
                <w:color w:val="1F2937"/>
                <w:sz w:val="20"/>
              </w:rPr>
              <w:t>Report Topic</w:t>
            </w:r>
          </w:p>
        </w:tc>
        <w:tc>
          <w:tcPr>
            <w:tcW w:type="dxa" w:w="6768"/>
            <w:vAlign w:val="center"/>
          </w:tcPr>
          <w:p>
            <w:pPr>
              <w:jc w:val="left"/>
            </w:pPr>
            <w:r/>
            <w:r>
              <w:rPr>
                <w:rFonts w:ascii="Calibri" w:hAnsi="Calibri"/>
                <w:b w:val="0"/>
                <w:color w:val="1F2937"/>
                <w:sz w:val="20"/>
              </w:rPr>
              <w:t>LASA medication error problem and MediNomix as a preventive web application</w:t>
            </w:r>
          </w:p>
        </w:tc>
      </w:tr>
      <w:tr>
        <w:tc>
          <w:tcPr>
            <w:tcW w:type="dxa" w:w="4680"/>
            <w:vAlign w:val="center"/>
            <w:shd w:fill="F2F4F7"/>
          </w:tcPr>
          <w:p>
            <w:pPr>
              <w:jc w:val="left"/>
            </w:pPr>
            <w:r/>
            <w:r>
              <w:rPr>
                <w:rFonts w:ascii="Calibri" w:hAnsi="Calibri"/>
                <w:b/>
                <w:color w:val="1F2937"/>
                <w:sz w:val="20"/>
              </w:rPr>
              <w:t>Project</w:t>
            </w:r>
          </w:p>
        </w:tc>
        <w:tc>
          <w:tcPr>
            <w:tcW w:type="dxa" w:w="4680"/>
            <w:vAlign w:val="center"/>
          </w:tcPr>
          <w:p>
            <w:pPr>
              <w:jc w:val="left"/>
            </w:pPr>
            <w:r/>
            <w:r>
              <w:rPr>
                <w:rFonts w:ascii="Calibri" w:hAnsi="Calibri"/>
                <w:b w:val="0"/>
                <w:color w:val="1F2937"/>
                <w:sz w:val="20"/>
              </w:rPr>
              <w:t>MediNomix</w:t>
            </w:r>
          </w:p>
        </w:tc>
      </w:tr>
      <w:tr>
        <w:tc>
          <w:tcPr>
            <w:tcW w:type="dxa" w:w="4680"/>
            <w:vAlign w:val="center"/>
            <w:shd w:fill="F2F4F7"/>
          </w:tcPr>
          <w:p>
            <w:pPr>
              <w:jc w:val="left"/>
            </w:pPr>
            <w:r/>
            <w:r>
              <w:rPr>
                <w:rFonts w:ascii="Calibri" w:hAnsi="Calibri"/>
                <w:b/>
                <w:color w:val="1F2937"/>
                <w:sz w:val="20"/>
              </w:rPr>
              <w:t>Academic Context</w:t>
            </w:r>
          </w:p>
        </w:tc>
        <w:tc>
          <w:tcPr>
            <w:tcW w:type="dxa" w:w="4680"/>
            <w:vAlign w:val="center"/>
          </w:tcPr>
          <w:p>
            <w:pPr>
              <w:jc w:val="left"/>
            </w:pPr>
            <w:r/>
            <w:r>
              <w:rPr>
                <w:rFonts w:ascii="Calibri" w:hAnsi="Calibri"/>
                <w:b w:val="0"/>
                <w:color w:val="1F2937"/>
                <w:sz w:val="20"/>
              </w:rPr>
              <w:t>5th semester course project</w:t>
            </w:r>
          </w:p>
        </w:tc>
      </w:tr>
      <w:tr>
        <w:tc>
          <w:tcPr>
            <w:tcW w:type="dxa" w:w="4680"/>
            <w:vAlign w:val="center"/>
            <w:shd w:fill="F2F4F7"/>
          </w:tcPr>
          <w:p>
            <w:pPr>
              <w:jc w:val="left"/>
            </w:pPr>
            <w:r/>
            <w:r>
              <w:rPr>
                <w:rFonts w:ascii="Calibri" w:hAnsi="Calibri"/>
                <w:b/>
                <w:color w:val="1F2937"/>
                <w:sz w:val="20"/>
              </w:rPr>
              <w:t>Final Implementation Reviewed</w:t>
            </w:r>
          </w:p>
        </w:tc>
        <w:tc>
          <w:tcPr>
            <w:tcW w:type="dxa" w:w="4680"/>
            <w:vAlign w:val="center"/>
          </w:tcPr>
          <w:p>
            <w:pPr>
              <w:jc w:val="left"/>
            </w:pPr>
            <w:r/>
            <w:r>
              <w:rPr>
                <w:rFonts w:ascii="Calibri" w:hAnsi="Calibri"/>
                <w:b w:val="0"/>
                <w:color w:val="1F2937"/>
                <w:sz w:val="20"/>
              </w:rPr>
              <w:t>local_final_backend.py and frontend_imp_realtime.py</w:t>
            </w:r>
          </w:p>
        </w:tc>
      </w:tr>
      <w:tr>
        <w:tc>
          <w:tcPr>
            <w:tcW w:type="dxa" w:w="4680"/>
            <w:vAlign w:val="center"/>
            <w:shd w:fill="F2F4F7"/>
          </w:tcPr>
          <w:p>
            <w:pPr>
              <w:jc w:val="left"/>
            </w:pPr>
            <w:r/>
            <w:r>
              <w:rPr>
                <w:rFonts w:ascii="Calibri" w:hAnsi="Calibri"/>
                <w:b/>
                <w:color w:val="1F2937"/>
                <w:sz w:val="20"/>
              </w:rPr>
              <w:t>GitHub Repository</w:t>
            </w:r>
          </w:p>
        </w:tc>
        <w:tc>
          <w:tcPr>
            <w:tcW w:type="dxa" w:w="4680"/>
            <w:vAlign w:val="center"/>
          </w:tcPr>
          <w:p>
            <w:pPr>
              <w:jc w:val="left"/>
            </w:pPr>
            <w:r/>
            <w:r>
              <w:rPr>
                <w:rFonts w:ascii="Calibri" w:hAnsi="Calibri"/>
                <w:b w:val="0"/>
                <w:color w:val="1F2937"/>
                <w:sz w:val="20"/>
              </w:rPr>
              <w:t>https://github.com/precious-05/MediNomixLocal</w:t>
            </w:r>
          </w:p>
        </w:tc>
      </w:tr>
      <w:tr>
        <w:tc>
          <w:tcPr>
            <w:tcW w:type="dxa" w:w="4680"/>
            <w:vAlign w:val="center"/>
            <w:shd w:fill="F2F4F7"/>
          </w:tcPr>
          <w:p>
            <w:pPr>
              <w:jc w:val="left"/>
            </w:pPr>
            <w:r/>
            <w:r>
              <w:rPr>
                <w:rFonts w:ascii="Calibri" w:hAnsi="Calibri"/>
                <w:b/>
                <w:color w:val="1F2937"/>
                <w:sz w:val="20"/>
              </w:rPr>
              <w:t>Research Sources Reviewed</w:t>
            </w:r>
          </w:p>
        </w:tc>
        <w:tc>
          <w:tcPr>
            <w:tcW w:type="dxa" w:w="4680"/>
            <w:vAlign w:val="center"/>
          </w:tcPr>
          <w:p>
            <w:pPr>
              <w:jc w:val="left"/>
            </w:pPr>
            <w:r/>
            <w:r>
              <w:rPr>
                <w:rFonts w:ascii="Calibri" w:hAnsi="Calibri"/>
                <w:b w:val="0"/>
                <w:color w:val="1F2937"/>
                <w:sz w:val="20"/>
              </w:rPr>
              <w:t>NCBI, AMCP, Uppsala Reports, AHRQ PSNet, WHO, NCC MERP, Wiley/BCP article, Ontario College of Pharmacists case resource, and the existing project research DOCX</w:t>
            </w:r>
          </w:p>
        </w:tc>
      </w:tr>
      <w:tr>
        <w:tc>
          <w:tcPr>
            <w:tcW w:type="dxa" w:w="4680"/>
            <w:vAlign w:val="center"/>
            <w:shd w:fill="F2F4F7"/>
          </w:tcPr>
          <w:p>
            <w:pPr>
              <w:jc w:val="left"/>
            </w:pPr>
            <w:r/>
            <w:r>
              <w:rPr>
                <w:rFonts w:ascii="Calibri" w:hAnsi="Calibri"/>
                <w:b/>
                <w:color w:val="1F2937"/>
                <w:sz w:val="20"/>
              </w:rPr>
              <w:t>Prepared On</w:t>
            </w:r>
          </w:p>
        </w:tc>
        <w:tc>
          <w:tcPr>
            <w:tcW w:type="dxa" w:w="4680"/>
            <w:vAlign w:val="center"/>
          </w:tcPr>
          <w:p>
            <w:pPr>
              <w:jc w:val="left"/>
            </w:pPr>
            <w:r/>
            <w:r>
              <w:rPr>
                <w:rFonts w:ascii="Calibri" w:hAnsi="Calibri"/>
                <w:b w:val="0"/>
                <w:color w:val="1F2937"/>
                <w:sz w:val="20"/>
              </w:rPr>
              <w:t>August 14, 2026</w:t>
            </w:r>
          </w:p>
        </w:tc>
      </w:tr>
    </w:tbl>
    <w:p/>
    <w:p>
      <w:pPr>
        <w:pStyle w:val="Heading1"/>
      </w:pPr>
      <w:r>
        <w:t>Executive Summary</w:t>
      </w:r>
    </w:p>
    <w:p>
      <w:r>
        <w:t>Medication errors remain a serious patient-safety problem because medicines pass through multiple human and technical steps: prescribing, transcribing, dispensing, administration, and monitoring. LASA errors are a specific and high-risk subtype where two medicines look alike, sound alike, or are used in confusing contexts. MediNomix addresses this problem by checking drug-name similarity before the error reaches the patient. It combines spelling algorithms, phonetic algorithms, therapeutic context scoring, known risky pairs, database logging, and visual dashboards.</w:t>
      </w:r>
    </w:p>
    <w:tbl>
      <w:tblPr>
        <w:tblW w:type="auto" w:w="0"/>
        <w:jc w:val="center"/>
        <w:tblLayout w:type="fixed"/>
        <w:tblLook w:firstColumn="1" w:firstRow="1" w:lastColumn="0" w:lastRow="0" w:noHBand="0" w:noVBand="1" w:val="04A0"/>
        <w:tblCellMar>
          <w:top w:w="120" w:type="dxa"/>
          <w:start w:w="160" w:type="dxa"/>
          <w:bottom w:w="120" w:type="dxa"/>
          <w:end w:w="160" w:type="dxa"/>
        </w:tblCellMar>
        <w:tblBorders>
          <w:top w:val="single" w:sz="6" w:space="0" w:color="C8D6E5"/>
          <w:left w:val="single" w:sz="6" w:space="0" w:color="C8D6E5"/>
          <w:bottom w:val="single" w:sz="6" w:space="0" w:color="C8D6E5"/>
          <w:right w:val="single" w:sz="6" w:space="0" w:color="C8D6E5"/>
          <w:insideH w:val="single" w:sz="6" w:space="0" w:color="C8D6E5"/>
          <w:insideV w:val="single" w:sz="6" w:space="0" w:color="C8D6E5"/>
        </w:tblBorders>
      </w:tblPr>
      <w:tblGrid>
        <w:gridCol w:w="9360"/>
      </w:tblGrid>
      <w:tr>
        <w:trPr>
          <w:tblHeader w:val="true"/>
        </w:trPr>
        <w:tc>
          <w:tcPr>
            <w:tcW w:type="dxa" w:w="9360"/>
            <w:shd w:fill="E8EEF5"/>
          </w:tcPr>
          <w:p>
            <w:pPr>
              <w:spacing w:after="60"/>
            </w:pPr>
            <w:r/>
            <w:r>
              <w:rPr>
                <w:b/>
                <w:color w:val="1F4D78"/>
                <w:sz w:val="22"/>
              </w:rPr>
              <w:t>Core claim</w:t>
            </w:r>
          </w:p>
          <w:p>
            <w:pPr>
              <w:spacing w:after="0"/>
            </w:pPr>
            <w:r>
              <w:t>MediNomix does not replace clinical judgment. It acts as an early-warning and decision-support layer that helps doctors, pharmacists, nurses, and administrators detect risky drug pairs sooner.</w:t>
            </w:r>
          </w:p>
        </w:tc>
      </w:tr>
    </w:tbl>
    <w:p/>
    <w:p>
      <w:pPr>
        <w:pStyle w:val="Heading1"/>
      </w:pPr>
      <w:r>
        <w:t>1. Understanding the Medication Error Problem</w:t>
      </w:r>
    </w:p>
    <w:p>
      <w:r>
        <w:t>NCC MERP defines a medication error as any preventable event that may cause or lead to inappropriate medication use or patient harm while the medication is in the control of a healthcare professional, patient, or consumer. This broad definition is important because it includes errors even before actual patient harm occurs.</w:t>
      </w:r>
    </w:p>
    <w:p>
      <w:r>
        <w:t>The NCBI medication-dispensing chapter explains that medication errors can occur in ordering, documenting, transcribing, dispensing, administering, or monitoring medicines. It also notes that these errors are a frequent and preventable source of patient harm.</w:t>
      </w:r>
    </w:p>
    <w:p>
      <w:r>
        <w:t>WHO and Uppsala Reports both emphasize that medication-related harm is not only a clinical issue but also an economic and system issue. WHO's patient-safety material highlights the large preventable burden of medication harm, while Uppsala Reports summarizes global concerns including avoidability, human factors, and the importance of learning from reports.</w:t>
      </w:r>
    </w:p>
    <w:p>
      <w:pPr>
        <w:pStyle w:val="Heading1"/>
      </w:pPr>
      <w:r>
        <w:t>2. What LASA Means</w:t>
      </w:r>
    </w:p>
    <w:p>
      <w:r>
        <w:t>LASA stands for Look-Alike Sound-Alike. A LASA error occurs when medicine names, labels, packages, pronunciation, or clinical context are similar enough that one medicine can be mistaken for another. Examples from the project include Lamictal and Lamisil, Celebrex and Celexa, Hydralazine and Hydroxyzine, Metformin and Metronidazole, and Clonidine and Klonopin.</w:t>
      </w:r>
    </w:p>
    <w:tbl>
      <w:tblPr>
        <w:tblW w:type="auto" w:w="0"/>
        <w:jc w:val="center"/>
        <w:tblLayout w:type="fixed"/>
        <w:tblLook w:firstColumn="1" w:firstRow="1" w:lastColumn="0" w:lastRow="0" w:noHBand="0" w:noVBand="1" w:val="04A0"/>
        <w:tblCellMar>
          <w:top w:w="80" w:type="dxa"/>
          <w:start w:w="120" w:type="dxa"/>
          <w:bottom w:w="80" w:type="dxa"/>
          <w:end w:w="120" w:type="dxa"/>
        </w:tblCellMa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rPr>
          <w:tblHeader w:val="true"/>
        </w:trPr>
        <w:tc>
          <w:tcPr>
            <w:tcW w:type="dxa" w:w="2088"/>
            <w:vAlign w:val="center"/>
            <w:shd w:fill="E8EEF5"/>
          </w:tcPr>
          <w:p>
            <w:pPr>
              <w:jc w:val="left"/>
            </w:pPr>
            <w:r/>
            <w:r>
              <w:rPr>
                <w:rFonts w:ascii="Calibri" w:hAnsi="Calibri"/>
                <w:b/>
                <w:color w:val="1F4D78"/>
                <w:sz w:val="20"/>
              </w:rPr>
              <w:t>LASA Factor</w:t>
            </w:r>
          </w:p>
        </w:tc>
        <w:tc>
          <w:tcPr>
            <w:tcW w:type="dxa" w:w="3528"/>
            <w:vAlign w:val="center"/>
            <w:shd w:fill="E8EEF5"/>
          </w:tcPr>
          <w:p>
            <w:pPr>
              <w:jc w:val="left"/>
            </w:pPr>
            <w:r/>
            <w:r>
              <w:rPr>
                <w:rFonts w:ascii="Calibri" w:hAnsi="Calibri"/>
                <w:b/>
                <w:color w:val="1F4D78"/>
                <w:sz w:val="20"/>
              </w:rPr>
              <w:t>How It Creates Risk</w:t>
            </w:r>
          </w:p>
        </w:tc>
        <w:tc>
          <w:tcPr>
            <w:tcW w:type="dxa" w:w="3744"/>
            <w:vAlign w:val="center"/>
            <w:shd w:fill="E8EEF5"/>
          </w:tcPr>
          <w:p>
            <w:pPr>
              <w:jc w:val="left"/>
            </w:pPr>
            <w:r/>
            <w:r>
              <w:rPr>
                <w:rFonts w:ascii="Calibri" w:hAnsi="Calibri"/>
                <w:b/>
                <w:color w:val="1F4D78"/>
                <w:sz w:val="20"/>
              </w:rPr>
              <w:t>MediNomix Response</w:t>
            </w:r>
          </w:p>
        </w:tc>
      </w:tr>
      <w:tr>
        <w:tc>
          <w:tcPr>
            <w:tcW w:type="dxa" w:w="3120"/>
            <w:vAlign w:val="center"/>
          </w:tcPr>
          <w:p>
            <w:pPr>
              <w:jc w:val="left"/>
            </w:pPr>
            <w:r/>
            <w:r>
              <w:rPr>
                <w:rFonts w:ascii="Calibri" w:hAnsi="Calibri"/>
                <w:b w:val="0"/>
                <w:color w:val="1F2937"/>
                <w:sz w:val="20"/>
              </w:rPr>
              <w:t>Spelling similarity</w:t>
            </w:r>
          </w:p>
        </w:tc>
        <w:tc>
          <w:tcPr>
            <w:tcW w:type="dxa" w:w="3120"/>
            <w:vAlign w:val="center"/>
          </w:tcPr>
          <w:p>
            <w:pPr>
              <w:jc w:val="left"/>
            </w:pPr>
            <w:r/>
            <w:r>
              <w:rPr>
                <w:rFonts w:ascii="Calibri" w:hAnsi="Calibri"/>
                <w:b w:val="0"/>
                <w:color w:val="1F2937"/>
                <w:sz w:val="20"/>
              </w:rPr>
              <w:t>Names share prefixes, suffixes, length, or letter patterns.</w:t>
            </w:r>
          </w:p>
        </w:tc>
        <w:tc>
          <w:tcPr>
            <w:tcW w:type="dxa" w:w="3120"/>
            <w:vAlign w:val="center"/>
          </w:tcPr>
          <w:p>
            <w:pPr>
              <w:jc w:val="left"/>
            </w:pPr>
            <w:r/>
            <w:r>
              <w:rPr>
                <w:rFonts w:ascii="Calibri" w:hAnsi="Calibri"/>
                <w:b w:val="0"/>
                <w:color w:val="1F2937"/>
                <w:sz w:val="20"/>
              </w:rPr>
              <w:t>Uses Levenshtein, fuzzy ratio, and Jaro-Winkler similarity.</w:t>
            </w:r>
          </w:p>
        </w:tc>
      </w:tr>
      <w:tr>
        <w:tc>
          <w:tcPr>
            <w:tcW w:type="dxa" w:w="3120"/>
            <w:vAlign w:val="center"/>
          </w:tcPr>
          <w:p>
            <w:pPr>
              <w:jc w:val="left"/>
            </w:pPr>
            <w:r/>
            <w:r>
              <w:rPr>
                <w:rFonts w:ascii="Calibri" w:hAnsi="Calibri"/>
                <w:b w:val="0"/>
                <w:color w:val="1F2937"/>
                <w:sz w:val="20"/>
              </w:rPr>
              <w:t>Sound similarity</w:t>
            </w:r>
          </w:p>
        </w:tc>
        <w:tc>
          <w:tcPr>
            <w:tcW w:type="dxa" w:w="3120"/>
            <w:vAlign w:val="center"/>
          </w:tcPr>
          <w:p>
            <w:pPr>
              <w:jc w:val="left"/>
            </w:pPr>
            <w:r/>
            <w:r>
              <w:rPr>
                <w:rFonts w:ascii="Calibri" w:hAnsi="Calibri"/>
                <w:b w:val="0"/>
                <w:color w:val="1F2937"/>
                <w:sz w:val="20"/>
              </w:rPr>
              <w:t>Names can sound similar in verbal orders, ward communication, or phone calls.</w:t>
            </w:r>
          </w:p>
        </w:tc>
        <w:tc>
          <w:tcPr>
            <w:tcW w:type="dxa" w:w="3120"/>
            <w:vAlign w:val="center"/>
          </w:tcPr>
          <w:p>
            <w:pPr>
              <w:jc w:val="left"/>
            </w:pPr>
            <w:r/>
            <w:r>
              <w:rPr>
                <w:rFonts w:ascii="Calibri" w:hAnsi="Calibri"/>
                <w:b w:val="0"/>
                <w:color w:val="1F2937"/>
                <w:sz w:val="20"/>
              </w:rPr>
              <w:t>Uses Soundex, Metaphone, and NYSIIS phonetic checks.</w:t>
            </w:r>
          </w:p>
        </w:tc>
      </w:tr>
      <w:tr>
        <w:tc>
          <w:tcPr>
            <w:tcW w:type="dxa" w:w="3120"/>
            <w:vAlign w:val="center"/>
          </w:tcPr>
          <w:p>
            <w:pPr>
              <w:jc w:val="left"/>
            </w:pPr>
            <w:r/>
            <w:r>
              <w:rPr>
                <w:rFonts w:ascii="Calibri" w:hAnsi="Calibri"/>
                <w:b w:val="0"/>
                <w:color w:val="1F2937"/>
                <w:sz w:val="20"/>
              </w:rPr>
              <w:t>Therapeutic confusion</w:t>
            </w:r>
          </w:p>
        </w:tc>
        <w:tc>
          <w:tcPr>
            <w:tcW w:type="dxa" w:w="3120"/>
            <w:vAlign w:val="center"/>
          </w:tcPr>
          <w:p>
            <w:pPr>
              <w:jc w:val="left"/>
            </w:pPr>
            <w:r/>
            <w:r>
              <w:rPr>
                <w:rFonts w:ascii="Calibri" w:hAnsi="Calibri"/>
                <w:b w:val="0"/>
                <w:color w:val="1F2937"/>
                <w:sz w:val="20"/>
              </w:rPr>
              <w:t>Similar names may belong to different classes or clinical purposes.</w:t>
            </w:r>
          </w:p>
        </w:tc>
        <w:tc>
          <w:tcPr>
            <w:tcW w:type="dxa" w:w="3120"/>
            <w:vAlign w:val="center"/>
          </w:tcPr>
          <w:p>
            <w:pPr>
              <w:jc w:val="left"/>
            </w:pPr>
            <w:r/>
            <w:r>
              <w:rPr>
                <w:rFonts w:ascii="Calibri" w:hAnsi="Calibri"/>
                <w:b w:val="0"/>
                <w:color w:val="1F2937"/>
                <w:sz w:val="20"/>
              </w:rPr>
              <w:t>Adds drug suffix/class inference and therapeutic context risk.</w:t>
            </w:r>
          </w:p>
        </w:tc>
      </w:tr>
      <w:tr>
        <w:tc>
          <w:tcPr>
            <w:tcW w:type="dxa" w:w="3120"/>
            <w:vAlign w:val="center"/>
          </w:tcPr>
          <w:p>
            <w:pPr>
              <w:jc w:val="left"/>
            </w:pPr>
            <w:r/>
            <w:r>
              <w:rPr>
                <w:rFonts w:ascii="Calibri" w:hAnsi="Calibri"/>
                <w:b w:val="0"/>
                <w:color w:val="1F2937"/>
                <w:sz w:val="20"/>
              </w:rPr>
              <w:t>Known incident history</w:t>
            </w:r>
          </w:p>
        </w:tc>
        <w:tc>
          <w:tcPr>
            <w:tcW w:type="dxa" w:w="3120"/>
            <w:vAlign w:val="center"/>
          </w:tcPr>
          <w:p>
            <w:pPr>
              <w:jc w:val="left"/>
            </w:pPr>
            <w:r/>
            <w:r>
              <w:rPr>
                <w:rFonts w:ascii="Calibri" w:hAnsi="Calibri"/>
                <w:b w:val="0"/>
                <w:color w:val="1F2937"/>
                <w:sz w:val="20"/>
              </w:rPr>
              <w:t>Some pairs are already recognized as dangerous in safety literature.</w:t>
            </w:r>
          </w:p>
        </w:tc>
        <w:tc>
          <w:tcPr>
            <w:tcW w:type="dxa" w:w="3120"/>
            <w:vAlign w:val="center"/>
          </w:tcPr>
          <w:p>
            <w:pPr>
              <w:jc w:val="left"/>
            </w:pPr>
            <w:r/>
            <w:r>
              <w:rPr>
                <w:rFonts w:ascii="Calibri" w:hAnsi="Calibri"/>
                <w:b w:val="0"/>
                <w:color w:val="1F2937"/>
                <w:sz w:val="20"/>
              </w:rPr>
              <w:t>Seeds known risky pairs and highlights them in analytics.</w:t>
            </w:r>
          </w:p>
        </w:tc>
      </w:tr>
      <w:tr>
        <w:tc>
          <w:tcPr>
            <w:tcW w:type="dxa" w:w="3120"/>
            <w:vAlign w:val="center"/>
          </w:tcPr>
          <w:p>
            <w:pPr>
              <w:jc w:val="left"/>
            </w:pPr>
            <w:r/>
            <w:r>
              <w:rPr>
                <w:rFonts w:ascii="Calibri" w:hAnsi="Calibri"/>
                <w:b w:val="0"/>
                <w:color w:val="1F2937"/>
                <w:sz w:val="20"/>
              </w:rPr>
              <w:t>Workflow pressure</w:t>
            </w:r>
          </w:p>
        </w:tc>
        <w:tc>
          <w:tcPr>
            <w:tcW w:type="dxa" w:w="3120"/>
            <w:vAlign w:val="center"/>
          </w:tcPr>
          <w:p>
            <w:pPr>
              <w:jc w:val="left"/>
            </w:pPr>
            <w:r/>
            <w:r>
              <w:rPr>
                <w:rFonts w:ascii="Calibri" w:hAnsi="Calibri"/>
                <w:b w:val="0"/>
                <w:color w:val="1F2937"/>
                <w:sz w:val="18"/>
              </w:rPr>
              <w:t>Busy prescribing, dispensing, and administration environments increase cognitive load.</w:t>
            </w:r>
          </w:p>
        </w:tc>
        <w:tc>
          <w:tcPr>
            <w:tcW w:type="dxa" w:w="3120"/>
            <w:vAlign w:val="center"/>
          </w:tcPr>
          <w:p>
            <w:pPr>
              <w:jc w:val="left"/>
            </w:pPr>
            <w:r/>
            <w:r>
              <w:rPr>
                <w:rFonts w:ascii="Calibri" w:hAnsi="Calibri"/>
                <w:b w:val="0"/>
                <w:color w:val="1F2937"/>
                <w:sz w:val="20"/>
              </w:rPr>
              <w:t>Provides quick risk scoring, dashboards, and check prompts.</w:t>
            </w:r>
          </w:p>
        </w:tc>
      </w:tr>
    </w:tbl>
    <w:p/>
    <w:p>
      <w:pPr>
        <w:pStyle w:val="Heading1"/>
      </w:pPr>
      <w:r>
        <w:t>3. Research Source Review</w:t>
      </w:r>
    </w:p>
    <w:p>
      <w:r>
        <w:t>The following source review is based on the abstracts, primers, definitions, and safety summaries provided in the requested links, plus the existing project research document.</w:t>
      </w:r>
    </w:p>
    <w:tbl>
      <w:tblPr>
        <w:tblW w:type="auto" w:w="0"/>
        <w:jc w:val="center"/>
        <w:tblLayout w:type="fixed"/>
        <w:tblLook w:firstColumn="1" w:firstRow="1" w:lastColumn="0" w:lastRow="0" w:noHBand="0" w:noVBand="1" w:val="04A0"/>
        <w:tblCellMar>
          <w:top w:w="80" w:type="dxa"/>
          <w:start w:w="120" w:type="dxa"/>
          <w:bottom w:w="80" w:type="dxa"/>
          <w:end w:w="120" w:type="dxa"/>
        </w:tblCellMa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rPr>
          <w:tblHeader w:val="true"/>
        </w:trPr>
        <w:tc>
          <w:tcPr>
            <w:tcW w:type="dxa" w:w="2664"/>
            <w:vAlign w:val="center"/>
            <w:shd w:fill="E8EEF5"/>
          </w:tcPr>
          <w:p>
            <w:pPr>
              <w:jc w:val="left"/>
            </w:pPr>
            <w:r/>
            <w:r>
              <w:rPr>
                <w:rFonts w:ascii="Calibri" w:hAnsi="Calibri"/>
                <w:b/>
                <w:color w:val="1F4D78"/>
                <w:sz w:val="20"/>
              </w:rPr>
              <w:t>Source</w:t>
            </w:r>
          </w:p>
        </w:tc>
        <w:tc>
          <w:tcPr>
            <w:tcW w:type="dxa" w:w="3384"/>
            <w:vAlign w:val="center"/>
            <w:shd w:fill="E8EEF5"/>
          </w:tcPr>
          <w:p>
            <w:pPr>
              <w:jc w:val="left"/>
            </w:pPr>
            <w:r/>
            <w:r>
              <w:rPr>
                <w:rFonts w:ascii="Calibri" w:hAnsi="Calibri"/>
                <w:b/>
                <w:color w:val="1F4D78"/>
                <w:sz w:val="20"/>
              </w:rPr>
              <w:t>Key Point for the Report</w:t>
            </w:r>
          </w:p>
        </w:tc>
        <w:tc>
          <w:tcPr>
            <w:tcW w:type="dxa" w:w="3311"/>
            <w:vAlign w:val="center"/>
            <w:shd w:fill="E8EEF5"/>
          </w:tcPr>
          <w:p>
            <w:pPr>
              <w:jc w:val="left"/>
            </w:pPr>
            <w:r/>
            <w:r>
              <w:rPr>
                <w:rFonts w:ascii="Calibri" w:hAnsi="Calibri"/>
                <w:b/>
                <w:color w:val="1F4D78"/>
                <w:sz w:val="20"/>
              </w:rPr>
              <w:t>Relevance to MediNomix</w:t>
            </w:r>
          </w:p>
        </w:tc>
      </w:tr>
      <w:tr>
        <w:tc>
          <w:tcPr>
            <w:tcW w:type="dxa" w:w="3120"/>
            <w:vAlign w:val="center"/>
          </w:tcPr>
          <w:p>
            <w:pPr>
              <w:jc w:val="left"/>
            </w:pPr>
            <w:r/>
            <w:r>
              <w:rPr>
                <w:rFonts w:ascii="Calibri" w:hAnsi="Calibri"/>
                <w:b w:val="0"/>
                <w:color w:val="1F2937"/>
                <w:sz w:val="20"/>
              </w:rPr>
              <w:t>NCBI Bookshelf: Medication Dispensing Errors and Prevention</w:t>
            </w:r>
          </w:p>
        </w:tc>
        <w:tc>
          <w:tcPr>
            <w:tcW w:type="dxa" w:w="3120"/>
            <w:vAlign w:val="center"/>
          </w:tcPr>
          <w:p>
            <w:pPr>
              <w:jc w:val="left"/>
            </w:pPr>
            <w:r/>
            <w:r>
              <w:rPr>
                <w:rFonts w:ascii="Calibri" w:hAnsi="Calibri"/>
                <w:b w:val="0"/>
                <w:color w:val="1F2937"/>
                <w:sz w:val="18"/>
              </w:rPr>
              <w:t>Medication errors are preventable events across ordering, transcribing, dispensing, administration, and monitoring.</w:t>
            </w:r>
          </w:p>
        </w:tc>
        <w:tc>
          <w:tcPr>
            <w:tcW w:type="dxa" w:w="3120"/>
            <w:vAlign w:val="center"/>
          </w:tcPr>
          <w:p>
            <w:pPr>
              <w:jc w:val="left"/>
            </w:pPr>
            <w:r/>
            <w:r>
              <w:rPr>
                <w:rFonts w:ascii="Calibri" w:hAnsi="Calibri"/>
                <w:b w:val="0"/>
                <w:color w:val="1F2937"/>
                <w:sz w:val="20"/>
              </w:rPr>
              <w:t>Shows that the app should support multiple workflow stages, not only one user role.</w:t>
            </w:r>
          </w:p>
        </w:tc>
      </w:tr>
      <w:tr>
        <w:tc>
          <w:tcPr>
            <w:tcW w:type="dxa" w:w="3120"/>
            <w:vAlign w:val="center"/>
          </w:tcPr>
          <w:p>
            <w:pPr>
              <w:jc w:val="left"/>
            </w:pPr>
            <w:r/>
            <w:r>
              <w:rPr>
                <w:rFonts w:ascii="Calibri" w:hAnsi="Calibri"/>
                <w:b w:val="0"/>
                <w:color w:val="1F2937"/>
                <w:sz w:val="20"/>
              </w:rPr>
              <w:t>AMCP Medication Errors</w:t>
            </w:r>
          </w:p>
        </w:tc>
        <w:tc>
          <w:tcPr>
            <w:tcW w:type="dxa" w:w="3120"/>
            <w:vAlign w:val="center"/>
          </w:tcPr>
          <w:p>
            <w:pPr>
              <w:jc w:val="left"/>
            </w:pPr>
            <w:r/>
            <w:r>
              <w:rPr>
                <w:rFonts w:ascii="Calibri" w:hAnsi="Calibri"/>
                <w:b w:val="0"/>
                <w:color w:val="1F2937"/>
                <w:sz w:val="18"/>
              </w:rPr>
              <w:t>Medication errors can occur at many points in the medication-use process and require system-level prevention.</w:t>
            </w:r>
          </w:p>
        </w:tc>
        <w:tc>
          <w:tcPr>
            <w:tcW w:type="dxa" w:w="3120"/>
            <w:vAlign w:val="center"/>
          </w:tcPr>
          <w:p>
            <w:pPr>
              <w:jc w:val="left"/>
            </w:pPr>
            <w:r/>
            <w:r>
              <w:rPr>
                <w:rFonts w:ascii="Calibri" w:hAnsi="Calibri"/>
                <w:b w:val="0"/>
                <w:color w:val="1F2937"/>
                <w:sz w:val="20"/>
              </w:rPr>
              <w:t>Supports dashboard monitoring, logging, and process-improvement analytics.</w:t>
            </w:r>
          </w:p>
        </w:tc>
      </w:tr>
      <w:tr>
        <w:tc>
          <w:tcPr>
            <w:tcW w:type="dxa" w:w="3120"/>
            <w:vAlign w:val="center"/>
          </w:tcPr>
          <w:p>
            <w:pPr>
              <w:jc w:val="left"/>
            </w:pPr>
            <w:r/>
            <w:r>
              <w:rPr>
                <w:rFonts w:ascii="Calibri" w:hAnsi="Calibri"/>
                <w:b w:val="0"/>
                <w:color w:val="1F2937"/>
                <w:sz w:val="20"/>
              </w:rPr>
              <w:t>Uppsala Reports: Medication Errors</w:t>
            </w:r>
          </w:p>
        </w:tc>
        <w:tc>
          <w:tcPr>
            <w:tcW w:type="dxa" w:w="3120"/>
            <w:vAlign w:val="center"/>
          </w:tcPr>
          <w:p>
            <w:pPr>
              <w:jc w:val="left"/>
            </w:pPr>
            <w:r/>
            <w:r>
              <w:rPr>
                <w:rFonts w:ascii="Calibri" w:hAnsi="Calibri"/>
                <w:b w:val="0"/>
                <w:color w:val="1F2937"/>
                <w:sz w:val="18"/>
              </w:rPr>
              <w:t>Medication errors are common globally and many are avoidable with reporting, learning, and safer systems.</w:t>
            </w:r>
          </w:p>
        </w:tc>
        <w:tc>
          <w:tcPr>
            <w:tcW w:type="dxa" w:w="3120"/>
            <w:vAlign w:val="center"/>
          </w:tcPr>
          <w:p>
            <w:pPr>
              <w:jc w:val="left"/>
            </w:pPr>
            <w:r/>
            <w:r>
              <w:rPr>
                <w:rFonts w:ascii="Calibri" w:hAnsi="Calibri"/>
                <w:b w:val="0"/>
                <w:color w:val="1F2937"/>
                <w:sz w:val="20"/>
              </w:rPr>
              <w:t>Supports the need for a searchable safety tool and historical event tracking.</w:t>
            </w:r>
          </w:p>
        </w:tc>
      </w:tr>
      <w:tr>
        <w:tc>
          <w:tcPr>
            <w:tcW w:type="dxa" w:w="3120"/>
            <w:vAlign w:val="center"/>
          </w:tcPr>
          <w:p>
            <w:pPr>
              <w:jc w:val="left"/>
            </w:pPr>
            <w:r/>
            <w:r>
              <w:rPr>
                <w:rFonts w:ascii="Calibri" w:hAnsi="Calibri"/>
                <w:b w:val="0"/>
                <w:color w:val="1F2937"/>
                <w:sz w:val="20"/>
              </w:rPr>
              <w:t>AHRQ PSNet: Medication Errors and ADEs</w:t>
            </w:r>
          </w:p>
        </w:tc>
        <w:tc>
          <w:tcPr>
            <w:tcW w:type="dxa" w:w="3120"/>
            <w:vAlign w:val="center"/>
          </w:tcPr>
          <w:p>
            <w:pPr>
              <w:jc w:val="left"/>
            </w:pPr>
            <w:r/>
            <w:r>
              <w:rPr>
                <w:rFonts w:ascii="Calibri" w:hAnsi="Calibri"/>
                <w:b w:val="0"/>
                <w:color w:val="1F2937"/>
                <w:sz w:val="18"/>
              </w:rPr>
              <w:t>Medication errors and adverse drug events are related but not identical; prevention strategies include decision support, alerts, reconciliation, and safer systems.</w:t>
            </w:r>
          </w:p>
        </w:tc>
        <w:tc>
          <w:tcPr>
            <w:tcW w:type="dxa" w:w="3120"/>
            <w:vAlign w:val="center"/>
          </w:tcPr>
          <w:p>
            <w:pPr>
              <w:jc w:val="left"/>
            </w:pPr>
            <w:r/>
            <w:r>
              <w:rPr>
                <w:rFonts w:ascii="Calibri" w:hAnsi="Calibri"/>
                <w:b w:val="0"/>
                <w:color w:val="1F2937"/>
                <w:sz w:val="20"/>
              </w:rPr>
              <w:t>Positions MediNomix as decision support before harm occurs.</w:t>
            </w:r>
          </w:p>
        </w:tc>
      </w:tr>
      <w:tr>
        <w:tc>
          <w:tcPr>
            <w:tcW w:type="dxa" w:w="3120"/>
            <w:vAlign w:val="center"/>
          </w:tcPr>
          <w:p>
            <w:pPr>
              <w:jc w:val="left"/>
            </w:pPr>
            <w:r/>
            <w:r>
              <w:rPr>
                <w:rFonts w:ascii="Calibri" w:hAnsi="Calibri"/>
                <w:b w:val="0"/>
                <w:color w:val="1F2937"/>
                <w:sz w:val="20"/>
              </w:rPr>
              <w:t>WHO medication error material</w:t>
            </w:r>
          </w:p>
        </w:tc>
        <w:tc>
          <w:tcPr>
            <w:tcW w:type="dxa" w:w="3120"/>
            <w:vAlign w:val="center"/>
          </w:tcPr>
          <w:p>
            <w:pPr>
              <w:jc w:val="left"/>
            </w:pPr>
            <w:r/>
            <w:r>
              <w:rPr>
                <w:rFonts w:ascii="Calibri" w:hAnsi="Calibri"/>
                <w:b w:val="0"/>
                <w:color w:val="1F2937"/>
                <w:sz w:val="18"/>
              </w:rPr>
              <w:t>Medication harm is a major global patient-safety burden, and systematic approaches can reduce avoidable harm.</w:t>
            </w:r>
          </w:p>
        </w:tc>
        <w:tc>
          <w:tcPr>
            <w:tcW w:type="dxa" w:w="3120"/>
            <w:vAlign w:val="center"/>
          </w:tcPr>
          <w:p>
            <w:pPr>
              <w:jc w:val="left"/>
            </w:pPr>
            <w:r/>
            <w:r>
              <w:rPr>
                <w:rFonts w:ascii="Calibri" w:hAnsi="Calibri"/>
                <w:b w:val="0"/>
                <w:color w:val="1F2937"/>
                <w:sz w:val="20"/>
              </w:rPr>
              <w:t>Supports the project's safety motivation and institutional value.</w:t>
            </w:r>
          </w:p>
        </w:tc>
      </w:tr>
      <w:tr>
        <w:tc>
          <w:tcPr>
            <w:tcW w:type="dxa" w:w="3120"/>
            <w:vAlign w:val="center"/>
          </w:tcPr>
          <w:p>
            <w:pPr>
              <w:jc w:val="left"/>
            </w:pPr>
            <w:r/>
            <w:r>
              <w:rPr>
                <w:rFonts w:ascii="Calibri" w:hAnsi="Calibri"/>
                <w:b w:val="0"/>
                <w:color w:val="1F2937"/>
                <w:sz w:val="20"/>
              </w:rPr>
              <w:t>NCC MERP definition</w:t>
            </w:r>
          </w:p>
        </w:tc>
        <w:tc>
          <w:tcPr>
            <w:tcW w:type="dxa" w:w="3120"/>
            <w:vAlign w:val="center"/>
          </w:tcPr>
          <w:p>
            <w:pPr>
              <w:jc w:val="left"/>
            </w:pPr>
            <w:r/>
            <w:r>
              <w:rPr>
                <w:rFonts w:ascii="Calibri" w:hAnsi="Calibri"/>
                <w:b w:val="0"/>
                <w:color w:val="1F2937"/>
                <w:sz w:val="18"/>
              </w:rPr>
              <w:t>A medication error can be any preventable event that may lead to inappropriate medication use or harm.</w:t>
            </w:r>
          </w:p>
        </w:tc>
        <w:tc>
          <w:tcPr>
            <w:tcW w:type="dxa" w:w="3120"/>
            <w:vAlign w:val="center"/>
          </w:tcPr>
          <w:p>
            <w:pPr>
              <w:jc w:val="left"/>
            </w:pPr>
            <w:r/>
            <w:r>
              <w:rPr>
                <w:rFonts w:ascii="Calibri" w:hAnsi="Calibri"/>
                <w:b w:val="0"/>
                <w:color w:val="1F2937"/>
                <w:sz w:val="20"/>
              </w:rPr>
              <w:t>Gives the report a standard definition for the problem statement.</w:t>
            </w:r>
          </w:p>
        </w:tc>
      </w:tr>
      <w:tr>
        <w:tc>
          <w:tcPr>
            <w:tcW w:type="dxa" w:w="3120"/>
            <w:vAlign w:val="center"/>
          </w:tcPr>
          <w:p>
            <w:pPr>
              <w:jc w:val="left"/>
            </w:pPr>
            <w:r/>
            <w:r>
              <w:rPr>
                <w:rFonts w:ascii="Calibri" w:hAnsi="Calibri"/>
                <w:b w:val="0"/>
                <w:color w:val="1F2937"/>
                <w:sz w:val="20"/>
              </w:rPr>
              <w:t>Wiley / British Journal of Clinical Pharmacology article</w:t>
            </w:r>
          </w:p>
        </w:tc>
        <w:tc>
          <w:tcPr>
            <w:tcW w:type="dxa" w:w="3120"/>
            <w:vAlign w:val="center"/>
          </w:tcPr>
          <w:p>
            <w:pPr>
              <w:jc w:val="left"/>
            </w:pPr>
            <w:r/>
            <w:r>
              <w:rPr>
                <w:rFonts w:ascii="Calibri" w:hAnsi="Calibri"/>
                <w:b w:val="0"/>
                <w:color w:val="1F2937"/>
                <w:sz w:val="18"/>
              </w:rPr>
              <w:t>Medication naming and formulation presentation can create preventable confusion, including co-drug and nomenclature-related errors.</w:t>
            </w:r>
          </w:p>
        </w:tc>
        <w:tc>
          <w:tcPr>
            <w:tcW w:type="dxa" w:w="3120"/>
            <w:vAlign w:val="center"/>
          </w:tcPr>
          <w:p>
            <w:pPr>
              <w:jc w:val="left"/>
            </w:pPr>
            <w:r/>
            <w:r>
              <w:rPr>
                <w:rFonts w:ascii="Calibri" w:hAnsi="Calibri"/>
                <w:b w:val="0"/>
                <w:color w:val="1F2937"/>
                <w:sz w:val="20"/>
              </w:rPr>
              <w:t>Supports the app's focus on name similarity and context-aware alerts.</w:t>
            </w:r>
          </w:p>
        </w:tc>
      </w:tr>
      <w:tr>
        <w:tc>
          <w:tcPr>
            <w:tcW w:type="dxa" w:w="3120"/>
            <w:vAlign w:val="center"/>
          </w:tcPr>
          <w:p>
            <w:pPr>
              <w:jc w:val="left"/>
            </w:pPr>
            <w:r/>
            <w:r>
              <w:rPr>
                <w:rFonts w:ascii="Calibri" w:hAnsi="Calibri"/>
                <w:b w:val="0"/>
                <w:color w:val="1F2937"/>
                <w:sz w:val="20"/>
              </w:rPr>
              <w:t>Ontario College of Pharmacists: Boston 2020 case resource</w:t>
            </w:r>
          </w:p>
        </w:tc>
        <w:tc>
          <w:tcPr>
            <w:tcW w:type="dxa" w:w="3120"/>
            <w:vAlign w:val="center"/>
          </w:tcPr>
          <w:p>
            <w:pPr>
              <w:jc w:val="left"/>
            </w:pPr>
            <w:r/>
            <w:r>
              <w:rPr>
                <w:rFonts w:ascii="Calibri" w:hAnsi="Calibri"/>
                <w:b w:val="0"/>
                <w:color w:val="1F2937"/>
                <w:sz w:val="18"/>
              </w:rPr>
              <w:t>Hydroxyzine and Hydralazine confusion illustrates how similar names and workflow factors can lead to serious harm.</w:t>
            </w:r>
          </w:p>
        </w:tc>
        <w:tc>
          <w:tcPr>
            <w:tcW w:type="dxa" w:w="3120"/>
            <w:vAlign w:val="center"/>
          </w:tcPr>
          <w:p>
            <w:pPr>
              <w:jc w:val="left"/>
            </w:pPr>
            <w:r/>
            <w:r>
              <w:rPr>
                <w:rFonts w:ascii="Calibri" w:hAnsi="Calibri"/>
                <w:b w:val="0"/>
                <w:color w:val="1F2937"/>
                <w:sz w:val="20"/>
              </w:rPr>
              <w:t>Provides a practical case study for demonstrating how MediNomix would warn users.</w:t>
            </w:r>
          </w:p>
        </w:tc>
      </w:tr>
    </w:tbl>
    <w:p/>
    <w:p>
      <w:pPr>
        <w:pStyle w:val="Heading1"/>
      </w:pPr>
      <w:r>
        <w:t>4. Problem Statement</w:t>
      </w:r>
    </w:p>
    <w:p>
      <w:r>
        <w:t>Healthcare professionals often work under time pressure, interruptions, similar medicine names, incomplete prescription context, and complex drug databases. A single wrong selection can lead to an incorrect medicine being dispensed or administered. In LASA cases, the error may not be obvious because the wrong medicine may look or sound close to the intended one.</w:t>
      </w:r>
    </w:p>
    <w:tbl>
      <w:tblPr>
        <w:tblW w:type="auto" w:w="0"/>
        <w:jc w:val="center"/>
        <w:tblLayout w:type="fixed"/>
        <w:tblLook w:firstColumn="1" w:firstRow="1" w:lastColumn="0" w:lastRow="0" w:noHBand="0" w:noVBand="1" w:val="04A0"/>
        <w:tblCellMar>
          <w:top w:w="120" w:type="dxa"/>
          <w:start w:w="160" w:type="dxa"/>
          <w:bottom w:w="120" w:type="dxa"/>
          <w:end w:w="160" w:type="dxa"/>
        </w:tblCellMar>
        <w:tblBorders>
          <w:top w:val="single" w:sz="6" w:space="0" w:color="C8D6E5"/>
          <w:left w:val="single" w:sz="6" w:space="0" w:color="C8D6E5"/>
          <w:bottom w:val="single" w:sz="6" w:space="0" w:color="C8D6E5"/>
          <w:right w:val="single" w:sz="6" w:space="0" w:color="C8D6E5"/>
          <w:insideH w:val="single" w:sz="6" w:space="0" w:color="C8D6E5"/>
          <w:insideV w:val="single" w:sz="6" w:space="0" w:color="C8D6E5"/>
        </w:tblBorders>
      </w:tblPr>
      <w:tblGrid>
        <w:gridCol w:w="9360"/>
      </w:tblGrid>
      <w:tr>
        <w:trPr>
          <w:tblHeader w:val="true"/>
        </w:trPr>
        <w:tc>
          <w:tcPr>
            <w:tcW w:type="dxa" w:w="9360"/>
            <w:shd w:fill="F2F4F7"/>
          </w:tcPr>
          <w:p>
            <w:pPr>
              <w:spacing w:after="60"/>
            </w:pPr>
            <w:r/>
            <w:r>
              <w:rPr>
                <w:b/>
                <w:color w:val="1F4D78"/>
                <w:sz w:val="22"/>
              </w:rPr>
              <w:t>Project problem statement</w:t>
            </w:r>
          </w:p>
          <w:p>
            <w:pPr>
              <w:spacing w:after="0"/>
            </w:pPr>
            <w:r>
              <w:t>There is a need for a simple web-based medication-safety tool that checks drug names for look-alike and sound-alike risk, explains why the pair is risky, and gives a clear risk category before the medicine reaches the patient.</w:t>
            </w:r>
          </w:p>
        </w:tc>
      </w:tr>
    </w:tbl>
    <w:p/>
    <w:p>
      <w:pPr>
        <w:pStyle w:val="Heading1"/>
      </w:pPr>
      <w:r>
        <w:t>5. MediNomix Solution Overview</w:t>
      </w:r>
    </w:p>
    <w:p>
      <w:r>
        <w:t>MediNomix provides a FastAPI backend and Streamlit frontend for LASA risk analysis. The user searches a medication name, the backend retrieves or creates the drug record, compares it against existing drugs, calculates risk components, stores significant pairwise risks, and returns the highest-risk matches to the interface.</w:t>
      </w:r>
    </w:p>
    <w:tbl>
      <w:tblPr>
        <w:tblW w:type="auto" w:w="0"/>
        <w:jc w:val="center"/>
        <w:tblLayout w:type="fixed"/>
        <w:tblLook w:firstColumn="1" w:firstRow="1" w:lastColumn="0" w:lastRow="0" w:noHBand="0" w:noVBand="1" w:val="04A0"/>
        <w:tblCellMar>
          <w:top w:w="80" w:type="dxa"/>
          <w:start w:w="120" w:type="dxa"/>
          <w:bottom w:w="80" w:type="dxa"/>
          <w:end w:w="120" w:type="dxa"/>
        </w:tblCellMa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rPr>
          <w:tblHeader w:val="true"/>
        </w:trPr>
        <w:tc>
          <w:tcPr>
            <w:tcW w:type="dxa" w:w="2088"/>
            <w:vAlign w:val="center"/>
            <w:shd w:fill="E8EEF5"/>
          </w:tcPr>
          <w:p>
            <w:pPr>
              <w:jc w:val="left"/>
            </w:pPr>
            <w:r/>
            <w:r>
              <w:rPr>
                <w:rFonts w:ascii="Calibri" w:hAnsi="Calibri"/>
                <w:b/>
                <w:color w:val="1F4D78"/>
                <w:sz w:val="20"/>
              </w:rPr>
              <w:t>Solution Component</w:t>
            </w:r>
          </w:p>
        </w:tc>
        <w:tc>
          <w:tcPr>
            <w:tcW w:type="dxa" w:w="3240"/>
            <w:vAlign w:val="center"/>
            <w:shd w:fill="E8EEF5"/>
          </w:tcPr>
          <w:p>
            <w:pPr>
              <w:jc w:val="left"/>
            </w:pPr>
            <w:r/>
            <w:r>
              <w:rPr>
                <w:rFonts w:ascii="Calibri" w:hAnsi="Calibri"/>
                <w:b/>
                <w:color w:val="1F4D78"/>
                <w:sz w:val="20"/>
              </w:rPr>
              <w:t>Implementation in Final Code</w:t>
            </w:r>
          </w:p>
        </w:tc>
        <w:tc>
          <w:tcPr>
            <w:tcW w:type="dxa" w:w="4031"/>
            <w:vAlign w:val="center"/>
            <w:shd w:fill="E8EEF5"/>
          </w:tcPr>
          <w:p>
            <w:pPr>
              <w:jc w:val="left"/>
            </w:pPr>
            <w:r/>
            <w:r>
              <w:rPr>
                <w:rFonts w:ascii="Calibri" w:hAnsi="Calibri"/>
                <w:b/>
                <w:color w:val="1F4D78"/>
                <w:sz w:val="20"/>
              </w:rPr>
              <w:t>User Benefit</w:t>
            </w:r>
          </w:p>
        </w:tc>
      </w:tr>
      <w:tr>
        <w:tc>
          <w:tcPr>
            <w:tcW w:type="dxa" w:w="3120"/>
            <w:vAlign w:val="center"/>
          </w:tcPr>
          <w:p>
            <w:pPr>
              <w:jc w:val="left"/>
            </w:pPr>
            <w:r/>
            <w:r>
              <w:rPr>
                <w:rFonts w:ascii="Calibri" w:hAnsi="Calibri"/>
                <w:b w:val="0"/>
                <w:color w:val="1F2937"/>
                <w:sz w:val="20"/>
              </w:rPr>
              <w:t>Drug search</w:t>
            </w:r>
          </w:p>
        </w:tc>
        <w:tc>
          <w:tcPr>
            <w:tcW w:type="dxa" w:w="3120"/>
            <w:vAlign w:val="center"/>
          </w:tcPr>
          <w:p>
            <w:pPr>
              <w:jc w:val="left"/>
            </w:pPr>
            <w:r/>
            <w:r>
              <w:rPr>
                <w:rFonts w:ascii="Calibri" w:hAnsi="Calibri"/>
                <w:b w:val="0"/>
                <w:color w:val="1F2937"/>
                <w:sz w:val="20"/>
              </w:rPr>
              <w:t>/api/search/{drug_name}</w:t>
            </w:r>
          </w:p>
        </w:tc>
        <w:tc>
          <w:tcPr>
            <w:tcW w:type="dxa" w:w="3120"/>
            <w:vAlign w:val="center"/>
          </w:tcPr>
          <w:p>
            <w:pPr>
              <w:jc w:val="left"/>
            </w:pPr>
            <w:r/>
            <w:r>
              <w:rPr>
                <w:rFonts w:ascii="Calibri" w:hAnsi="Calibri"/>
                <w:b w:val="0"/>
                <w:color w:val="1F2937"/>
                <w:sz w:val="20"/>
              </w:rPr>
              <w:t>Quickly checks a medicine before prescribing, dispensing, or administration.</w:t>
            </w:r>
          </w:p>
        </w:tc>
      </w:tr>
      <w:tr>
        <w:tc>
          <w:tcPr>
            <w:tcW w:type="dxa" w:w="3120"/>
            <w:vAlign w:val="center"/>
          </w:tcPr>
          <w:p>
            <w:pPr>
              <w:jc w:val="left"/>
            </w:pPr>
            <w:r/>
            <w:r>
              <w:rPr>
                <w:rFonts w:ascii="Calibri" w:hAnsi="Calibri"/>
                <w:b w:val="0"/>
                <w:color w:val="1F2937"/>
                <w:sz w:val="20"/>
              </w:rPr>
              <w:t>OpenFDA ETL</w:t>
            </w:r>
          </w:p>
        </w:tc>
        <w:tc>
          <w:tcPr>
            <w:tcW w:type="dxa" w:w="3120"/>
            <w:vAlign w:val="center"/>
          </w:tcPr>
          <w:p>
            <w:pPr>
              <w:jc w:val="left"/>
            </w:pPr>
            <w:r/>
            <w:r>
              <w:rPr>
                <w:rFonts w:ascii="Calibri" w:hAnsi="Calibri"/>
                <w:b w:val="0"/>
                <w:color w:val="1F2937"/>
                <w:sz w:val="20"/>
              </w:rPr>
              <w:t>OpenFDAClient and DrugETL classes</w:t>
            </w:r>
          </w:p>
        </w:tc>
        <w:tc>
          <w:tcPr>
            <w:tcW w:type="dxa" w:w="3120"/>
            <w:vAlign w:val="center"/>
          </w:tcPr>
          <w:p>
            <w:pPr>
              <w:jc w:val="left"/>
            </w:pPr>
            <w:r/>
            <w:r>
              <w:rPr>
                <w:rFonts w:ascii="Calibri" w:hAnsi="Calibri"/>
                <w:b w:val="0"/>
                <w:color w:val="1F2937"/>
                <w:sz w:val="20"/>
              </w:rPr>
              <w:t>Adds external drug-label information when local data is missing.</w:t>
            </w:r>
          </w:p>
        </w:tc>
      </w:tr>
      <w:tr>
        <w:tc>
          <w:tcPr>
            <w:tcW w:type="dxa" w:w="3120"/>
            <w:vAlign w:val="center"/>
          </w:tcPr>
          <w:p>
            <w:pPr>
              <w:jc w:val="left"/>
            </w:pPr>
            <w:r/>
            <w:r>
              <w:rPr>
                <w:rFonts w:ascii="Calibri" w:hAnsi="Calibri"/>
                <w:b w:val="0"/>
                <w:color w:val="1F2937"/>
                <w:sz w:val="20"/>
              </w:rPr>
              <w:t>Spelling risk</w:t>
            </w:r>
          </w:p>
        </w:tc>
        <w:tc>
          <w:tcPr>
            <w:tcW w:type="dxa" w:w="3120"/>
            <w:vAlign w:val="center"/>
          </w:tcPr>
          <w:p>
            <w:pPr>
              <w:jc w:val="left"/>
            </w:pPr>
            <w:r/>
            <w:r>
              <w:rPr>
                <w:rFonts w:ascii="Calibri" w:hAnsi="Calibri"/>
                <w:b w:val="0"/>
                <w:color w:val="1F2937"/>
                <w:sz w:val="20"/>
              </w:rPr>
              <w:t>Levenshtein, fuzzy ratio, Jaro-Winkler</w:t>
            </w:r>
          </w:p>
        </w:tc>
        <w:tc>
          <w:tcPr>
            <w:tcW w:type="dxa" w:w="3120"/>
            <w:vAlign w:val="center"/>
          </w:tcPr>
          <w:p>
            <w:pPr>
              <w:jc w:val="left"/>
            </w:pPr>
            <w:r/>
            <w:r>
              <w:rPr>
                <w:rFonts w:ascii="Calibri" w:hAnsi="Calibri"/>
                <w:b w:val="0"/>
                <w:color w:val="1F2937"/>
                <w:sz w:val="20"/>
              </w:rPr>
              <w:t>Detects look-alike names.</w:t>
            </w:r>
          </w:p>
        </w:tc>
      </w:tr>
      <w:tr>
        <w:tc>
          <w:tcPr>
            <w:tcW w:type="dxa" w:w="3120"/>
            <w:vAlign w:val="center"/>
          </w:tcPr>
          <w:p>
            <w:pPr>
              <w:jc w:val="left"/>
            </w:pPr>
            <w:r/>
            <w:r>
              <w:rPr>
                <w:rFonts w:ascii="Calibri" w:hAnsi="Calibri"/>
                <w:b w:val="0"/>
                <w:color w:val="1F2937"/>
                <w:sz w:val="20"/>
              </w:rPr>
              <w:t>Phonetic risk</w:t>
            </w:r>
          </w:p>
        </w:tc>
        <w:tc>
          <w:tcPr>
            <w:tcW w:type="dxa" w:w="3120"/>
            <w:vAlign w:val="center"/>
          </w:tcPr>
          <w:p>
            <w:pPr>
              <w:jc w:val="left"/>
            </w:pPr>
            <w:r/>
            <w:r>
              <w:rPr>
                <w:rFonts w:ascii="Calibri" w:hAnsi="Calibri"/>
                <w:b w:val="0"/>
                <w:color w:val="1F2937"/>
                <w:sz w:val="20"/>
              </w:rPr>
              <w:t>Soundex, Metaphone, NYSIIS</w:t>
            </w:r>
          </w:p>
        </w:tc>
        <w:tc>
          <w:tcPr>
            <w:tcW w:type="dxa" w:w="3120"/>
            <w:vAlign w:val="center"/>
          </w:tcPr>
          <w:p>
            <w:pPr>
              <w:jc w:val="left"/>
            </w:pPr>
            <w:r/>
            <w:r>
              <w:rPr>
                <w:rFonts w:ascii="Calibri" w:hAnsi="Calibri"/>
                <w:b w:val="0"/>
                <w:color w:val="1F2937"/>
                <w:sz w:val="20"/>
              </w:rPr>
              <w:t>Detects sound-alike names.</w:t>
            </w:r>
          </w:p>
        </w:tc>
      </w:tr>
      <w:tr>
        <w:tc>
          <w:tcPr>
            <w:tcW w:type="dxa" w:w="3120"/>
            <w:vAlign w:val="center"/>
          </w:tcPr>
          <w:p>
            <w:pPr>
              <w:jc w:val="left"/>
            </w:pPr>
            <w:r/>
            <w:r>
              <w:rPr>
                <w:rFonts w:ascii="Calibri" w:hAnsi="Calibri"/>
                <w:b w:val="0"/>
                <w:color w:val="1F2937"/>
                <w:sz w:val="20"/>
              </w:rPr>
              <w:t>Therapeutic context</w:t>
            </w:r>
          </w:p>
        </w:tc>
        <w:tc>
          <w:tcPr>
            <w:tcW w:type="dxa" w:w="3120"/>
            <w:vAlign w:val="center"/>
          </w:tcPr>
          <w:p>
            <w:pPr>
              <w:jc w:val="left"/>
            </w:pPr>
            <w:r/>
            <w:r>
              <w:rPr>
                <w:rFonts w:ascii="Calibri" w:hAnsi="Calibri"/>
                <w:b w:val="0"/>
                <w:color w:val="1F2937"/>
                <w:sz w:val="20"/>
              </w:rPr>
              <w:t>Drug suffix and purpose analysis</w:t>
            </w:r>
          </w:p>
        </w:tc>
        <w:tc>
          <w:tcPr>
            <w:tcW w:type="dxa" w:w="3120"/>
            <w:vAlign w:val="center"/>
          </w:tcPr>
          <w:p>
            <w:pPr>
              <w:jc w:val="left"/>
            </w:pPr>
            <w:r/>
            <w:r>
              <w:rPr>
                <w:rFonts w:ascii="Calibri" w:hAnsi="Calibri"/>
                <w:b w:val="0"/>
                <w:color w:val="1F2937"/>
                <w:sz w:val="20"/>
              </w:rPr>
              <w:t>Highlights risk when similar names have different or clinically important purposes.</w:t>
            </w:r>
          </w:p>
        </w:tc>
      </w:tr>
      <w:tr>
        <w:tc>
          <w:tcPr>
            <w:tcW w:type="dxa" w:w="3120"/>
            <w:vAlign w:val="center"/>
          </w:tcPr>
          <w:p>
            <w:pPr>
              <w:jc w:val="left"/>
            </w:pPr>
            <w:r/>
            <w:r>
              <w:rPr>
                <w:rFonts w:ascii="Calibri" w:hAnsi="Calibri"/>
                <w:b w:val="0"/>
                <w:color w:val="1F2937"/>
                <w:sz w:val="20"/>
              </w:rPr>
              <w:t>Risk storage</w:t>
            </w:r>
          </w:p>
        </w:tc>
        <w:tc>
          <w:tcPr>
            <w:tcW w:type="dxa" w:w="3120"/>
            <w:vAlign w:val="center"/>
          </w:tcPr>
          <w:p>
            <w:pPr>
              <w:jc w:val="left"/>
            </w:pPr>
            <w:r/>
            <w:r>
              <w:rPr>
                <w:rFonts w:ascii="Calibri" w:hAnsi="Calibri"/>
                <w:b w:val="0"/>
                <w:color w:val="1F2937"/>
                <w:sz w:val="20"/>
              </w:rPr>
              <w:t>confusion_risks table</w:t>
            </w:r>
          </w:p>
        </w:tc>
        <w:tc>
          <w:tcPr>
            <w:tcW w:type="dxa" w:w="3120"/>
            <w:vAlign w:val="center"/>
          </w:tcPr>
          <w:p>
            <w:pPr>
              <w:jc w:val="left"/>
            </w:pPr>
            <w:r/>
            <w:r>
              <w:rPr>
                <w:rFonts w:ascii="Calibri" w:hAnsi="Calibri"/>
                <w:b w:val="0"/>
                <w:color w:val="1F2937"/>
                <w:sz w:val="20"/>
              </w:rPr>
              <w:t>Creates reusable pairwise risk records for analytics.</w:t>
            </w:r>
          </w:p>
        </w:tc>
      </w:tr>
      <w:tr>
        <w:tc>
          <w:tcPr>
            <w:tcW w:type="dxa" w:w="3120"/>
            <w:vAlign w:val="center"/>
          </w:tcPr>
          <w:p>
            <w:pPr>
              <w:jc w:val="left"/>
            </w:pPr>
            <w:r/>
            <w:r>
              <w:rPr>
                <w:rFonts w:ascii="Calibri" w:hAnsi="Calibri"/>
                <w:b w:val="0"/>
                <w:color w:val="1F2937"/>
                <w:sz w:val="20"/>
              </w:rPr>
              <w:t>Dashboard</w:t>
            </w:r>
          </w:p>
        </w:tc>
        <w:tc>
          <w:tcPr>
            <w:tcW w:type="dxa" w:w="3120"/>
            <w:vAlign w:val="center"/>
          </w:tcPr>
          <w:p>
            <w:pPr>
              <w:jc w:val="left"/>
            </w:pPr>
            <w:r/>
            <w:r>
              <w:rPr>
                <w:rFonts w:ascii="Calibri" w:hAnsi="Calibri"/>
                <w:b w:val="0"/>
                <w:color w:val="1F2937"/>
                <w:sz w:val="20"/>
              </w:rPr>
              <w:t>metrics, top-risks, risk-breakdown, heatmap endpoints</w:t>
            </w:r>
          </w:p>
        </w:tc>
        <w:tc>
          <w:tcPr>
            <w:tcW w:type="dxa" w:w="3120"/>
            <w:vAlign w:val="center"/>
          </w:tcPr>
          <w:p>
            <w:pPr>
              <w:jc w:val="left"/>
            </w:pPr>
            <w:r/>
            <w:r>
              <w:rPr>
                <w:rFonts w:ascii="Calibri" w:hAnsi="Calibri"/>
                <w:b w:val="0"/>
                <w:color w:val="1F2937"/>
                <w:sz w:val="20"/>
              </w:rPr>
              <w:t>Helps administrators and safety teams monitor patterns.</w:t>
            </w:r>
          </w:p>
        </w:tc>
      </w:tr>
      <w:tr>
        <w:tc>
          <w:tcPr>
            <w:tcW w:type="dxa" w:w="3120"/>
            <w:vAlign w:val="center"/>
          </w:tcPr>
          <w:p>
            <w:pPr>
              <w:jc w:val="left"/>
            </w:pPr>
            <w:r/>
            <w:r>
              <w:rPr>
                <w:rFonts w:ascii="Calibri" w:hAnsi="Calibri"/>
                <w:b w:val="0"/>
                <w:color w:val="1F2937"/>
                <w:sz w:val="20"/>
              </w:rPr>
              <w:t>Non-WebSocket final version</w:t>
            </w:r>
          </w:p>
        </w:tc>
        <w:tc>
          <w:tcPr>
            <w:tcW w:type="dxa" w:w="3120"/>
            <w:vAlign w:val="center"/>
          </w:tcPr>
          <w:p>
            <w:pPr>
              <w:jc w:val="left"/>
            </w:pPr>
            <w:r/>
            <w:r>
              <w:rPr>
                <w:rFonts w:ascii="Calibri" w:hAnsi="Calibri"/>
                <w:b w:val="0"/>
                <w:color w:val="1F2937"/>
                <w:sz w:val="20"/>
              </w:rPr>
              <w:t>REST polling and endpoint refresh</w:t>
            </w:r>
          </w:p>
        </w:tc>
        <w:tc>
          <w:tcPr>
            <w:tcW w:type="dxa" w:w="3120"/>
            <w:vAlign w:val="center"/>
          </w:tcPr>
          <w:p>
            <w:pPr>
              <w:jc w:val="left"/>
            </w:pPr>
            <w:r/>
            <w:r>
              <w:rPr>
                <w:rFonts w:ascii="Calibri" w:hAnsi="Calibri"/>
                <w:b w:val="0"/>
                <w:color w:val="1F2937"/>
                <w:sz w:val="20"/>
              </w:rPr>
              <w:t>Keeps final implementation simpler and more reliable for a semester project.</w:t>
            </w:r>
          </w:p>
        </w:tc>
      </w:tr>
    </w:tbl>
    <w:p/>
    <w:p>
      <w:pPr>
        <w:pStyle w:val="Heading1"/>
      </w:pPr>
      <w:r>
        <w:t>6. Algorithm Design</w:t>
      </w:r>
    </w:p>
    <w:p>
      <w:r>
        <w:t>The final backend uses a multi-factor scoring approach. This is stronger than a basic string search because LASA risk is not only visual; it also includes pronunciation and therapeutic context.</w:t>
      </w:r>
    </w:p>
    <w:tbl>
      <w:tblPr>
        <w:tblW w:type="auto" w:w="0"/>
        <w:jc w:val="center"/>
        <w:tblLayout w:type="fixed"/>
        <w:tblLook w:firstColumn="1" w:firstRow="1" w:lastColumn="0" w:lastRow="0" w:noHBand="0" w:noVBand="1" w:val="04A0"/>
        <w:tblCellMar>
          <w:top w:w="80" w:type="dxa"/>
          <w:start w:w="120" w:type="dxa"/>
          <w:bottom w:w="80" w:type="dxa"/>
          <w:end w:w="120" w:type="dxa"/>
        </w:tblCellMa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rPr>
          <w:tblHeader w:val="true"/>
        </w:trPr>
        <w:tc>
          <w:tcPr>
            <w:tcW w:type="dxa" w:w="2160"/>
            <w:vAlign w:val="center"/>
            <w:shd w:fill="E8EEF5"/>
          </w:tcPr>
          <w:p>
            <w:pPr>
              <w:jc w:val="left"/>
            </w:pPr>
            <w:r/>
            <w:r>
              <w:rPr>
                <w:rFonts w:ascii="Calibri" w:hAnsi="Calibri"/>
                <w:b/>
                <w:color w:val="1F4D78"/>
                <w:sz w:val="20"/>
              </w:rPr>
              <w:t>Signal</w:t>
            </w:r>
          </w:p>
        </w:tc>
        <w:tc>
          <w:tcPr>
            <w:tcW w:type="dxa" w:w="3671"/>
            <w:vAlign w:val="center"/>
            <w:shd w:fill="E8EEF5"/>
          </w:tcPr>
          <w:p>
            <w:pPr>
              <w:jc w:val="left"/>
            </w:pPr>
            <w:r/>
            <w:r>
              <w:rPr>
                <w:rFonts w:ascii="Calibri" w:hAnsi="Calibri"/>
                <w:b/>
                <w:color w:val="1F4D78"/>
                <w:sz w:val="20"/>
              </w:rPr>
              <w:t>Method</w:t>
            </w:r>
          </w:p>
        </w:tc>
        <w:tc>
          <w:tcPr>
            <w:tcW w:type="dxa" w:w="3528"/>
            <w:vAlign w:val="center"/>
            <w:shd w:fill="E8EEF5"/>
          </w:tcPr>
          <w:p>
            <w:pPr>
              <w:jc w:val="left"/>
            </w:pPr>
            <w:r/>
            <w:r>
              <w:rPr>
                <w:rFonts w:ascii="Calibri" w:hAnsi="Calibri"/>
                <w:b/>
                <w:color w:val="1F4D78"/>
                <w:sz w:val="20"/>
              </w:rPr>
              <w:t>Weight/Role in Code</w:t>
            </w:r>
          </w:p>
        </w:tc>
      </w:tr>
      <w:tr>
        <w:tc>
          <w:tcPr>
            <w:tcW w:type="dxa" w:w="3120"/>
            <w:vAlign w:val="center"/>
          </w:tcPr>
          <w:p>
            <w:pPr>
              <w:jc w:val="left"/>
            </w:pPr>
            <w:r/>
            <w:r>
              <w:rPr>
                <w:rFonts w:ascii="Calibri" w:hAnsi="Calibri"/>
                <w:b w:val="0"/>
                <w:color w:val="1F2937"/>
                <w:sz w:val="20"/>
              </w:rPr>
              <w:t>Spelling similarity</w:t>
            </w:r>
          </w:p>
        </w:tc>
        <w:tc>
          <w:tcPr>
            <w:tcW w:type="dxa" w:w="3120"/>
            <w:vAlign w:val="center"/>
          </w:tcPr>
          <w:p>
            <w:pPr>
              <w:jc w:val="left"/>
            </w:pPr>
            <w:r/>
            <w:r>
              <w:rPr>
                <w:rFonts w:ascii="Calibri" w:hAnsi="Calibri"/>
                <w:b w:val="0"/>
                <w:color w:val="1F2937"/>
                <w:sz w:val="20"/>
              </w:rPr>
              <w:t>Levenshtein distance, fuzzy ratio, and Jaro-Winkler similarity</w:t>
            </w:r>
          </w:p>
        </w:tc>
        <w:tc>
          <w:tcPr>
            <w:tcW w:type="dxa" w:w="3120"/>
            <w:vAlign w:val="center"/>
          </w:tcPr>
          <w:p>
            <w:pPr>
              <w:jc w:val="left"/>
            </w:pPr>
            <w:r/>
            <w:r>
              <w:rPr>
                <w:rFonts w:ascii="Calibri" w:hAnsi="Calibri"/>
                <w:b w:val="0"/>
                <w:color w:val="1F2937"/>
                <w:sz w:val="18"/>
              </w:rPr>
              <w:t>Base weight around 40 percent, with Levenshtein and fuzzy ratio carrying the strongest contribution.</w:t>
            </w:r>
          </w:p>
        </w:tc>
      </w:tr>
      <w:tr>
        <w:tc>
          <w:tcPr>
            <w:tcW w:type="dxa" w:w="3120"/>
            <w:vAlign w:val="center"/>
          </w:tcPr>
          <w:p>
            <w:pPr>
              <w:jc w:val="left"/>
            </w:pPr>
            <w:r/>
            <w:r>
              <w:rPr>
                <w:rFonts w:ascii="Calibri" w:hAnsi="Calibri"/>
                <w:b w:val="0"/>
                <w:color w:val="1F2937"/>
                <w:sz w:val="20"/>
              </w:rPr>
              <w:t>Phonetic similarity</w:t>
            </w:r>
          </w:p>
        </w:tc>
        <w:tc>
          <w:tcPr>
            <w:tcW w:type="dxa" w:w="3120"/>
            <w:vAlign w:val="center"/>
          </w:tcPr>
          <w:p>
            <w:pPr>
              <w:jc w:val="left"/>
            </w:pPr>
            <w:r/>
            <w:r>
              <w:rPr>
                <w:rFonts w:ascii="Calibri" w:hAnsi="Calibri"/>
                <w:b w:val="0"/>
                <w:color w:val="1F2937"/>
                <w:sz w:val="20"/>
              </w:rPr>
              <w:t>Soundex, Metaphone, and NYSIIS</w:t>
            </w:r>
          </w:p>
        </w:tc>
        <w:tc>
          <w:tcPr>
            <w:tcW w:type="dxa" w:w="3120"/>
            <w:vAlign w:val="center"/>
          </w:tcPr>
          <w:p>
            <w:pPr>
              <w:jc w:val="left"/>
            </w:pPr>
            <w:r/>
            <w:r>
              <w:rPr>
                <w:rFonts w:ascii="Calibri" w:hAnsi="Calibri"/>
                <w:b w:val="0"/>
                <w:color w:val="1F2937"/>
                <w:sz w:val="20"/>
              </w:rPr>
              <w:t>Base weight around 35 percent; increases when Metaphone matches.</w:t>
            </w:r>
          </w:p>
        </w:tc>
      </w:tr>
      <w:tr>
        <w:tc>
          <w:tcPr>
            <w:tcW w:type="dxa" w:w="3120"/>
            <w:vAlign w:val="center"/>
          </w:tcPr>
          <w:p>
            <w:pPr>
              <w:jc w:val="left"/>
            </w:pPr>
            <w:r/>
            <w:r>
              <w:rPr>
                <w:rFonts w:ascii="Calibri" w:hAnsi="Calibri"/>
                <w:b w:val="0"/>
                <w:color w:val="1F2937"/>
                <w:sz w:val="20"/>
              </w:rPr>
              <w:t>Therapeutic context</w:t>
            </w:r>
          </w:p>
        </w:tc>
        <w:tc>
          <w:tcPr>
            <w:tcW w:type="dxa" w:w="3120"/>
            <w:vAlign w:val="center"/>
          </w:tcPr>
          <w:p>
            <w:pPr>
              <w:jc w:val="left"/>
            </w:pPr>
            <w:r/>
            <w:r>
              <w:rPr>
                <w:rFonts w:ascii="Calibri" w:hAnsi="Calibri"/>
                <w:b w:val="0"/>
                <w:color w:val="1F2937"/>
                <w:sz w:val="20"/>
              </w:rPr>
              <w:t>Drug suffix/class inference and purpose keyword overlap</w:t>
            </w:r>
          </w:p>
        </w:tc>
        <w:tc>
          <w:tcPr>
            <w:tcW w:type="dxa" w:w="3120"/>
            <w:vAlign w:val="center"/>
          </w:tcPr>
          <w:p>
            <w:pPr>
              <w:jc w:val="left"/>
            </w:pPr>
            <w:r/>
            <w:r>
              <w:rPr>
                <w:rFonts w:ascii="Calibri" w:hAnsi="Calibri"/>
                <w:b w:val="0"/>
                <w:color w:val="1F2937"/>
                <w:sz w:val="18"/>
              </w:rPr>
              <w:t>Base weight around 25 percent, then risk can be amplified by drug-class suffix weights.</w:t>
            </w:r>
          </w:p>
        </w:tc>
      </w:tr>
      <w:tr>
        <w:tc>
          <w:tcPr>
            <w:tcW w:type="dxa" w:w="3120"/>
            <w:vAlign w:val="center"/>
          </w:tcPr>
          <w:p>
            <w:pPr>
              <w:jc w:val="left"/>
            </w:pPr>
            <w:r/>
            <w:r>
              <w:rPr>
                <w:rFonts w:ascii="Calibri" w:hAnsi="Calibri"/>
                <w:b w:val="0"/>
                <w:color w:val="1F2937"/>
                <w:sz w:val="20"/>
              </w:rPr>
              <w:t>Risk category</w:t>
            </w:r>
          </w:p>
        </w:tc>
        <w:tc>
          <w:tcPr>
            <w:tcW w:type="dxa" w:w="3120"/>
            <w:vAlign w:val="center"/>
          </w:tcPr>
          <w:p>
            <w:pPr>
              <w:jc w:val="left"/>
            </w:pPr>
            <w:r/>
            <w:r>
              <w:rPr>
                <w:rFonts w:ascii="Calibri" w:hAnsi="Calibri"/>
                <w:b w:val="0"/>
                <w:color w:val="1F2937"/>
                <w:sz w:val="20"/>
              </w:rPr>
              <w:t>Threshold rules</w:t>
            </w:r>
          </w:p>
        </w:tc>
        <w:tc>
          <w:tcPr>
            <w:tcW w:type="dxa" w:w="3120"/>
            <w:vAlign w:val="center"/>
          </w:tcPr>
          <w:p>
            <w:pPr>
              <w:jc w:val="left"/>
            </w:pPr>
            <w:r/>
            <w:r>
              <w:rPr>
                <w:rFonts w:ascii="Calibri" w:hAnsi="Calibri"/>
                <w:b w:val="0"/>
                <w:color w:val="1F2937"/>
                <w:sz w:val="20"/>
              </w:rPr>
              <w:t>Critical at 80 or above, high at 60 or above, medium at 40 or above, otherwise low.</w:t>
            </w:r>
          </w:p>
        </w:tc>
      </w:tr>
      <w:tr>
        <w:tc>
          <w:tcPr>
            <w:tcW w:type="dxa" w:w="3120"/>
            <w:vAlign w:val="center"/>
          </w:tcPr>
          <w:p>
            <w:pPr>
              <w:jc w:val="left"/>
            </w:pPr>
            <w:r/>
            <w:r>
              <w:rPr>
                <w:rFonts w:ascii="Calibri" w:hAnsi="Calibri"/>
                <w:b w:val="0"/>
                <w:color w:val="1F2937"/>
                <w:sz w:val="20"/>
              </w:rPr>
              <w:t>Storage threshold</w:t>
            </w:r>
          </w:p>
        </w:tc>
        <w:tc>
          <w:tcPr>
            <w:tcW w:type="dxa" w:w="3120"/>
            <w:vAlign w:val="center"/>
          </w:tcPr>
          <w:p>
            <w:pPr>
              <w:jc w:val="left"/>
            </w:pPr>
            <w:r/>
            <w:r>
              <w:rPr>
                <w:rFonts w:ascii="Calibri" w:hAnsi="Calibri"/>
                <w:b w:val="0"/>
                <w:color w:val="1F2937"/>
                <w:sz w:val="20"/>
              </w:rPr>
              <w:t>Significant-risk persistence</w:t>
            </w:r>
          </w:p>
        </w:tc>
        <w:tc>
          <w:tcPr>
            <w:tcW w:type="dxa" w:w="3120"/>
            <w:vAlign w:val="center"/>
          </w:tcPr>
          <w:p>
            <w:pPr>
              <w:jc w:val="left"/>
            </w:pPr>
            <w:r/>
            <w:r>
              <w:rPr>
                <w:rFonts w:ascii="Calibri" w:hAnsi="Calibri"/>
                <w:b w:val="0"/>
                <w:color w:val="1F2937"/>
                <w:sz w:val="18"/>
              </w:rPr>
              <w:t>Pairs with combined risk at or above 25 are stored for later review and dashboard use.</w:t>
            </w:r>
          </w:p>
        </w:tc>
      </w:tr>
    </w:tbl>
    <w:p/>
    <w:p>
      <w:pPr>
        <w:pStyle w:val="Heading1"/>
      </w:pPr>
      <w:r>
        <w:t>7. Case Study: Hydroxyzine and Hydralazine</w:t>
      </w:r>
    </w:p>
    <w:p>
      <w:r>
        <w:t>The existing project research document discusses a 2020 case scenario involving Hydroxyzine and Hydralazine. Hydroxyzine is used for anxiety or itching, while Hydralazine is used for high blood pressure. Confusing them can produce dangerous clinical consequences because the therapeutic purposes are different.</w:t>
      </w:r>
    </w:p>
    <w:tbl>
      <w:tblPr>
        <w:tblW w:type="auto" w:w="0"/>
        <w:jc w:val="center"/>
        <w:tblLayout w:type="fixed"/>
        <w:tblLook w:firstColumn="1" w:firstRow="1" w:lastColumn="0" w:lastRow="0" w:noHBand="0" w:noVBand="1" w:val="04A0"/>
        <w:tblCellMar>
          <w:top w:w="80" w:type="dxa"/>
          <w:start w:w="120" w:type="dxa"/>
          <w:bottom w:w="80" w:type="dxa"/>
          <w:end w:w="120" w:type="dxa"/>
        </w:tblCellMa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rPr>
          <w:tblHeader w:val="true"/>
        </w:trPr>
        <w:tc>
          <w:tcPr>
            <w:tcW w:type="dxa" w:w="2088"/>
            <w:vAlign w:val="center"/>
            <w:shd w:fill="E8EEF5"/>
          </w:tcPr>
          <w:p>
            <w:pPr>
              <w:jc w:val="left"/>
            </w:pPr>
            <w:r/>
            <w:r>
              <w:rPr>
                <w:rFonts w:ascii="Calibri" w:hAnsi="Calibri"/>
                <w:b/>
                <w:color w:val="1F4D78"/>
                <w:sz w:val="20"/>
              </w:rPr>
              <w:t>Case Risk</w:t>
            </w:r>
          </w:p>
        </w:tc>
        <w:tc>
          <w:tcPr>
            <w:tcW w:type="dxa" w:w="3528"/>
            <w:vAlign w:val="center"/>
            <w:shd w:fill="E8EEF5"/>
          </w:tcPr>
          <w:p>
            <w:pPr>
              <w:jc w:val="left"/>
            </w:pPr>
            <w:r/>
            <w:r>
              <w:rPr>
                <w:rFonts w:ascii="Calibri" w:hAnsi="Calibri"/>
                <w:b/>
                <w:color w:val="1F4D78"/>
                <w:sz w:val="20"/>
              </w:rPr>
              <w:t>Why It Matters</w:t>
            </w:r>
          </w:p>
        </w:tc>
        <w:tc>
          <w:tcPr>
            <w:tcW w:type="dxa" w:w="3744"/>
            <w:vAlign w:val="center"/>
            <w:shd w:fill="E8EEF5"/>
          </w:tcPr>
          <w:p>
            <w:pPr>
              <w:jc w:val="left"/>
            </w:pPr>
            <w:r/>
            <w:r>
              <w:rPr>
                <w:rFonts w:ascii="Calibri" w:hAnsi="Calibri"/>
                <w:b/>
                <w:color w:val="1F4D78"/>
                <w:sz w:val="20"/>
              </w:rPr>
              <w:t>How MediNomix Helps</w:t>
            </w:r>
          </w:p>
        </w:tc>
      </w:tr>
      <w:tr>
        <w:tc>
          <w:tcPr>
            <w:tcW w:type="dxa" w:w="3120"/>
            <w:vAlign w:val="center"/>
          </w:tcPr>
          <w:p>
            <w:pPr>
              <w:jc w:val="left"/>
            </w:pPr>
            <w:r/>
            <w:r>
              <w:rPr>
                <w:rFonts w:ascii="Calibri" w:hAnsi="Calibri"/>
                <w:b w:val="0"/>
                <w:color w:val="1F2937"/>
                <w:sz w:val="20"/>
              </w:rPr>
              <w:t>Look-alike names</w:t>
            </w:r>
          </w:p>
        </w:tc>
        <w:tc>
          <w:tcPr>
            <w:tcW w:type="dxa" w:w="3120"/>
            <w:vAlign w:val="center"/>
          </w:tcPr>
          <w:p>
            <w:pPr>
              <w:jc w:val="left"/>
            </w:pPr>
            <w:r/>
            <w:r>
              <w:rPr>
                <w:rFonts w:ascii="Calibri" w:hAnsi="Calibri"/>
                <w:b w:val="0"/>
                <w:color w:val="1F2937"/>
                <w:sz w:val="20"/>
              </w:rPr>
              <w:t>Both names begin with similar letters and have overlapping internal patterns.</w:t>
            </w:r>
          </w:p>
        </w:tc>
        <w:tc>
          <w:tcPr>
            <w:tcW w:type="dxa" w:w="3120"/>
            <w:vAlign w:val="center"/>
          </w:tcPr>
          <w:p>
            <w:pPr>
              <w:jc w:val="left"/>
            </w:pPr>
            <w:r/>
            <w:r>
              <w:rPr>
                <w:rFonts w:ascii="Calibri" w:hAnsi="Calibri"/>
                <w:b w:val="0"/>
                <w:color w:val="1F2937"/>
                <w:sz w:val="20"/>
              </w:rPr>
              <w:t>Spelling algorithms produce a high similarity alert.</w:t>
            </w:r>
          </w:p>
        </w:tc>
      </w:tr>
      <w:tr>
        <w:tc>
          <w:tcPr>
            <w:tcW w:type="dxa" w:w="3120"/>
            <w:vAlign w:val="center"/>
          </w:tcPr>
          <w:p>
            <w:pPr>
              <w:jc w:val="left"/>
            </w:pPr>
            <w:r/>
            <w:r>
              <w:rPr>
                <w:rFonts w:ascii="Calibri" w:hAnsi="Calibri"/>
                <w:b w:val="0"/>
                <w:color w:val="1F2937"/>
                <w:sz w:val="20"/>
              </w:rPr>
              <w:t>Sound-alike names</w:t>
            </w:r>
          </w:p>
        </w:tc>
        <w:tc>
          <w:tcPr>
            <w:tcW w:type="dxa" w:w="3120"/>
            <w:vAlign w:val="center"/>
          </w:tcPr>
          <w:p>
            <w:pPr>
              <w:jc w:val="left"/>
            </w:pPr>
            <w:r/>
            <w:r>
              <w:rPr>
                <w:rFonts w:ascii="Calibri" w:hAnsi="Calibri"/>
                <w:b w:val="0"/>
                <w:color w:val="1F2937"/>
                <w:sz w:val="20"/>
              </w:rPr>
              <w:t>The names can be misheard in speech or fast clinical communication.</w:t>
            </w:r>
          </w:p>
        </w:tc>
        <w:tc>
          <w:tcPr>
            <w:tcW w:type="dxa" w:w="3120"/>
            <w:vAlign w:val="center"/>
          </w:tcPr>
          <w:p>
            <w:pPr>
              <w:jc w:val="left"/>
            </w:pPr>
            <w:r/>
            <w:r>
              <w:rPr>
                <w:rFonts w:ascii="Calibri" w:hAnsi="Calibri"/>
                <w:b w:val="0"/>
                <w:color w:val="1F2937"/>
                <w:sz w:val="20"/>
              </w:rPr>
              <w:t>Phonetic algorithms compare pronunciation-like encodings.</w:t>
            </w:r>
          </w:p>
        </w:tc>
      </w:tr>
      <w:tr>
        <w:tc>
          <w:tcPr>
            <w:tcW w:type="dxa" w:w="3120"/>
            <w:vAlign w:val="center"/>
          </w:tcPr>
          <w:p>
            <w:pPr>
              <w:jc w:val="left"/>
            </w:pPr>
            <w:r/>
            <w:r>
              <w:rPr>
                <w:rFonts w:ascii="Calibri" w:hAnsi="Calibri"/>
                <w:b w:val="0"/>
                <w:color w:val="1F2937"/>
                <w:sz w:val="20"/>
              </w:rPr>
              <w:t>Different clinical purpose</w:t>
            </w:r>
          </w:p>
        </w:tc>
        <w:tc>
          <w:tcPr>
            <w:tcW w:type="dxa" w:w="3120"/>
            <w:vAlign w:val="center"/>
          </w:tcPr>
          <w:p>
            <w:pPr>
              <w:jc w:val="left"/>
            </w:pPr>
            <w:r/>
            <w:r>
              <w:rPr>
                <w:rFonts w:ascii="Calibri" w:hAnsi="Calibri"/>
                <w:b w:val="0"/>
                <w:color w:val="1F2937"/>
                <w:sz w:val="20"/>
              </w:rPr>
              <w:t>One medicine relates to anxiety/itching, the other to blood pressure.</w:t>
            </w:r>
          </w:p>
        </w:tc>
        <w:tc>
          <w:tcPr>
            <w:tcW w:type="dxa" w:w="3120"/>
            <w:vAlign w:val="center"/>
          </w:tcPr>
          <w:p>
            <w:pPr>
              <w:jc w:val="left"/>
            </w:pPr>
            <w:r/>
            <w:r>
              <w:rPr>
                <w:rFonts w:ascii="Calibri" w:hAnsi="Calibri"/>
                <w:b w:val="0"/>
                <w:color w:val="1F2937"/>
                <w:sz w:val="20"/>
              </w:rPr>
              <w:t>Therapeutic context scoring explains the mismatch.</w:t>
            </w:r>
          </w:p>
        </w:tc>
      </w:tr>
      <w:tr>
        <w:tc>
          <w:tcPr>
            <w:tcW w:type="dxa" w:w="3120"/>
            <w:vAlign w:val="center"/>
          </w:tcPr>
          <w:p>
            <w:pPr>
              <w:jc w:val="left"/>
            </w:pPr>
            <w:r/>
            <w:r>
              <w:rPr>
                <w:rFonts w:ascii="Calibri" w:hAnsi="Calibri"/>
                <w:b w:val="0"/>
                <w:color w:val="1F2937"/>
                <w:sz w:val="20"/>
              </w:rPr>
              <w:t>Dispensing risk</w:t>
            </w:r>
          </w:p>
        </w:tc>
        <w:tc>
          <w:tcPr>
            <w:tcW w:type="dxa" w:w="3120"/>
            <w:vAlign w:val="center"/>
          </w:tcPr>
          <w:p>
            <w:pPr>
              <w:jc w:val="left"/>
            </w:pPr>
            <w:r/>
            <w:r>
              <w:rPr>
                <w:rFonts w:ascii="Calibri" w:hAnsi="Calibri"/>
                <w:b w:val="0"/>
                <w:color w:val="1F2937"/>
                <w:sz w:val="20"/>
              </w:rPr>
              <w:t>Similar names can be selected incorrectly from inventory or software.</w:t>
            </w:r>
          </w:p>
        </w:tc>
        <w:tc>
          <w:tcPr>
            <w:tcW w:type="dxa" w:w="3120"/>
            <w:vAlign w:val="center"/>
          </w:tcPr>
          <w:p>
            <w:pPr>
              <w:jc w:val="left"/>
            </w:pPr>
            <w:r/>
            <w:r>
              <w:rPr>
                <w:rFonts w:ascii="Calibri" w:hAnsi="Calibri"/>
                <w:b w:val="0"/>
                <w:color w:val="1F2937"/>
                <w:sz w:val="20"/>
              </w:rPr>
              <w:t>Top-risk and heatmap views show this pair as high priority.</w:t>
            </w:r>
          </w:p>
        </w:tc>
      </w:tr>
      <w:tr>
        <w:tc>
          <w:tcPr>
            <w:tcW w:type="dxa" w:w="3120"/>
            <w:vAlign w:val="center"/>
          </w:tcPr>
          <w:p>
            <w:pPr>
              <w:jc w:val="left"/>
            </w:pPr>
            <w:r/>
            <w:r>
              <w:rPr>
                <w:rFonts w:ascii="Calibri" w:hAnsi="Calibri"/>
                <w:b w:val="0"/>
                <w:color w:val="1F2937"/>
                <w:sz w:val="20"/>
              </w:rPr>
              <w:t>Administration risk</w:t>
            </w:r>
          </w:p>
        </w:tc>
        <w:tc>
          <w:tcPr>
            <w:tcW w:type="dxa" w:w="3120"/>
            <w:vAlign w:val="center"/>
          </w:tcPr>
          <w:p>
            <w:pPr>
              <w:jc w:val="left"/>
            </w:pPr>
            <w:r/>
            <w:r>
              <w:rPr>
                <w:rFonts w:ascii="Calibri" w:hAnsi="Calibri"/>
                <w:b w:val="0"/>
                <w:color w:val="1F2937"/>
                <w:sz w:val="20"/>
              </w:rPr>
              <w:t>A nurse may receive a correct-looking medicine name without enough purpose context.</w:t>
            </w:r>
          </w:p>
        </w:tc>
        <w:tc>
          <w:tcPr>
            <w:tcW w:type="dxa" w:w="3120"/>
            <w:vAlign w:val="center"/>
          </w:tcPr>
          <w:p>
            <w:pPr>
              <w:jc w:val="left"/>
            </w:pPr>
            <w:r/>
            <w:r>
              <w:rPr>
                <w:rFonts w:ascii="Calibri" w:hAnsi="Calibri"/>
                <w:b w:val="0"/>
                <w:color w:val="1F2937"/>
                <w:sz w:val="20"/>
              </w:rPr>
              <w:t>The app encourages purpose verification before administration.</w:t>
            </w:r>
          </w:p>
        </w:tc>
      </w:tr>
    </w:tbl>
    <w:p/>
    <w:p>
      <w:pPr>
        <w:pStyle w:val="Heading1"/>
      </w:pPr>
      <w:r>
        <w:t>8. End-to-End Prevention Workflow</w:t>
      </w:r>
    </w:p>
    <w:p>
      <w:pPr>
        <w:pStyle w:val="ListNumber"/>
        <w:spacing w:after="80"/>
      </w:pPr>
      <w:r>
        <w:t>Prescribing stage: doctor searches the intended medicine and sees any high-risk LASA alternatives.</w:t>
      </w:r>
    </w:p>
    <w:p>
      <w:pPr>
        <w:pStyle w:val="ListNumber"/>
        <w:spacing w:after="80"/>
      </w:pPr>
      <w:r>
        <w:t>Prescription clarity: if a risky pair exists, the doctor can add purpose, route, or indication notes such as 'for anxiety' or 'for hypertension'.</w:t>
      </w:r>
    </w:p>
    <w:p>
      <w:pPr>
        <w:pStyle w:val="ListNumber"/>
        <w:spacing w:after="80"/>
      </w:pPr>
      <w:r>
        <w:t>Dispensing stage: pharmacist checks the app or dashboard before selecting the product.</w:t>
      </w:r>
    </w:p>
    <w:p>
      <w:pPr>
        <w:pStyle w:val="ListNumber"/>
        <w:spacing w:after="80"/>
      </w:pPr>
      <w:r>
        <w:t>Storage and workflow stage: pharmacy leadership can separate high-risk pairs and train staff using top-risk analytics.</w:t>
      </w:r>
    </w:p>
    <w:p>
      <w:pPr>
        <w:pStyle w:val="ListNumber"/>
        <w:spacing w:after="80"/>
      </w:pPr>
      <w:r>
        <w:t>Administration stage: nurse verifies the medicine against patient condition and prescription purpose.</w:t>
      </w:r>
    </w:p>
    <w:p>
      <w:pPr>
        <w:pStyle w:val="ListNumber"/>
        <w:spacing w:after="80"/>
      </w:pPr>
      <w:r>
        <w:t>Quality improvement stage: administrators review logs, recurring searches, critical pairs, and dashboard metrics.</w:t>
      </w:r>
    </w:p>
    <w:p>
      <w:pPr>
        <w:pStyle w:val="Heading1"/>
      </w:pPr>
      <w:r>
        <w:t>9. Target Users</w:t>
      </w:r>
    </w:p>
    <w:tbl>
      <w:tblPr>
        <w:tblW w:type="auto" w:w="0"/>
        <w:jc w:val="center"/>
        <w:tblLayout w:type="fixed"/>
        <w:tblLook w:firstColumn="1" w:firstRow="1" w:lastColumn="0" w:lastRow="0" w:noHBand="0" w:noVBand="1" w:val="04A0"/>
        <w:tblCellMar>
          <w:top w:w="80" w:type="dxa"/>
          <w:start w:w="120" w:type="dxa"/>
          <w:bottom w:w="80" w:type="dxa"/>
          <w:end w:w="120" w:type="dxa"/>
        </w:tblCellMa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rPr>
          <w:tblHeader w:val="true"/>
        </w:trPr>
        <w:tc>
          <w:tcPr>
            <w:tcW w:type="dxa" w:w="2015"/>
            <w:vAlign w:val="center"/>
            <w:shd w:fill="E8EEF5"/>
          </w:tcPr>
          <w:p>
            <w:pPr>
              <w:jc w:val="left"/>
            </w:pPr>
            <w:r/>
            <w:r>
              <w:rPr>
                <w:rFonts w:ascii="Calibri" w:hAnsi="Calibri"/>
                <w:b/>
                <w:color w:val="1F4D78"/>
                <w:sz w:val="20"/>
              </w:rPr>
              <w:t>User Group</w:t>
            </w:r>
          </w:p>
        </w:tc>
        <w:tc>
          <w:tcPr>
            <w:tcW w:type="dxa" w:w="3888"/>
            <w:vAlign w:val="center"/>
            <w:shd w:fill="E8EEF5"/>
          </w:tcPr>
          <w:p>
            <w:pPr>
              <w:jc w:val="left"/>
            </w:pPr>
            <w:r/>
            <w:r>
              <w:rPr>
                <w:rFonts w:ascii="Calibri" w:hAnsi="Calibri"/>
                <w:b/>
                <w:color w:val="1F4D78"/>
                <w:sz w:val="20"/>
              </w:rPr>
              <w:t>Use Case</w:t>
            </w:r>
          </w:p>
        </w:tc>
        <w:tc>
          <w:tcPr>
            <w:tcW w:type="dxa" w:w="3456"/>
            <w:vAlign w:val="center"/>
            <w:shd w:fill="E8EEF5"/>
          </w:tcPr>
          <w:p>
            <w:pPr>
              <w:jc w:val="left"/>
            </w:pPr>
            <w:r/>
            <w:r>
              <w:rPr>
                <w:rFonts w:ascii="Calibri" w:hAnsi="Calibri"/>
                <w:b/>
                <w:color w:val="1F4D78"/>
                <w:sz w:val="20"/>
              </w:rPr>
              <w:t>Value</w:t>
            </w:r>
          </w:p>
        </w:tc>
      </w:tr>
      <w:tr>
        <w:tc>
          <w:tcPr>
            <w:tcW w:type="dxa" w:w="3120"/>
            <w:vAlign w:val="center"/>
          </w:tcPr>
          <w:p>
            <w:pPr>
              <w:jc w:val="left"/>
            </w:pPr>
            <w:r/>
            <w:r>
              <w:rPr>
                <w:rFonts w:ascii="Calibri" w:hAnsi="Calibri"/>
                <w:b w:val="0"/>
                <w:color w:val="1F2937"/>
                <w:sz w:val="20"/>
              </w:rPr>
              <w:t>Doctors</w:t>
            </w:r>
          </w:p>
        </w:tc>
        <w:tc>
          <w:tcPr>
            <w:tcW w:type="dxa" w:w="3120"/>
            <w:vAlign w:val="center"/>
          </w:tcPr>
          <w:p>
            <w:pPr>
              <w:jc w:val="left"/>
            </w:pPr>
            <w:r/>
            <w:r>
              <w:rPr>
                <w:rFonts w:ascii="Calibri" w:hAnsi="Calibri"/>
                <w:b w:val="0"/>
                <w:color w:val="1F2937"/>
                <w:sz w:val="20"/>
              </w:rPr>
              <w:t>Check confusing names before finalizing a prescription.</w:t>
            </w:r>
          </w:p>
        </w:tc>
        <w:tc>
          <w:tcPr>
            <w:tcW w:type="dxa" w:w="3120"/>
            <w:vAlign w:val="center"/>
          </w:tcPr>
          <w:p>
            <w:pPr>
              <w:jc w:val="left"/>
            </w:pPr>
            <w:r/>
            <w:r>
              <w:rPr>
                <w:rFonts w:ascii="Calibri" w:hAnsi="Calibri"/>
                <w:b w:val="0"/>
                <w:color w:val="1F2937"/>
                <w:sz w:val="20"/>
              </w:rPr>
              <w:t>Reduces ambiguity at the source of the medication workflow.</w:t>
            </w:r>
          </w:p>
        </w:tc>
      </w:tr>
      <w:tr>
        <w:tc>
          <w:tcPr>
            <w:tcW w:type="dxa" w:w="3120"/>
            <w:vAlign w:val="center"/>
          </w:tcPr>
          <w:p>
            <w:pPr>
              <w:jc w:val="left"/>
            </w:pPr>
            <w:r/>
            <w:r>
              <w:rPr>
                <w:rFonts w:ascii="Calibri" w:hAnsi="Calibri"/>
                <w:b w:val="0"/>
                <w:color w:val="1F2937"/>
                <w:sz w:val="20"/>
              </w:rPr>
              <w:t>Pharmacists</w:t>
            </w:r>
          </w:p>
        </w:tc>
        <w:tc>
          <w:tcPr>
            <w:tcW w:type="dxa" w:w="3120"/>
            <w:vAlign w:val="center"/>
          </w:tcPr>
          <w:p>
            <w:pPr>
              <w:jc w:val="left"/>
            </w:pPr>
            <w:r/>
            <w:r>
              <w:rPr>
                <w:rFonts w:ascii="Calibri" w:hAnsi="Calibri"/>
                <w:b w:val="0"/>
                <w:color w:val="1F2937"/>
                <w:sz w:val="20"/>
              </w:rPr>
              <w:t>Verify risky pairs during dispensing and inventory management.</w:t>
            </w:r>
          </w:p>
        </w:tc>
        <w:tc>
          <w:tcPr>
            <w:tcW w:type="dxa" w:w="3120"/>
            <w:vAlign w:val="center"/>
          </w:tcPr>
          <w:p>
            <w:pPr>
              <w:jc w:val="left"/>
            </w:pPr>
            <w:r/>
            <w:r>
              <w:rPr>
                <w:rFonts w:ascii="Calibri" w:hAnsi="Calibri"/>
                <w:b w:val="0"/>
                <w:color w:val="1F2937"/>
                <w:sz w:val="20"/>
              </w:rPr>
              <w:t>Reduces wrong-drug dispensing risk and supports safer storage.</w:t>
            </w:r>
          </w:p>
        </w:tc>
      </w:tr>
      <w:tr>
        <w:tc>
          <w:tcPr>
            <w:tcW w:type="dxa" w:w="3120"/>
            <w:vAlign w:val="center"/>
          </w:tcPr>
          <w:p>
            <w:pPr>
              <w:jc w:val="left"/>
            </w:pPr>
            <w:r/>
            <w:r>
              <w:rPr>
                <w:rFonts w:ascii="Calibri" w:hAnsi="Calibri"/>
                <w:b w:val="0"/>
                <w:color w:val="1F2937"/>
                <w:sz w:val="20"/>
              </w:rPr>
              <w:t>Nurses</w:t>
            </w:r>
          </w:p>
        </w:tc>
        <w:tc>
          <w:tcPr>
            <w:tcW w:type="dxa" w:w="3120"/>
            <w:vAlign w:val="center"/>
          </w:tcPr>
          <w:p>
            <w:pPr>
              <w:jc w:val="left"/>
            </w:pPr>
            <w:r/>
            <w:r>
              <w:rPr>
                <w:rFonts w:ascii="Calibri" w:hAnsi="Calibri"/>
                <w:b w:val="0"/>
                <w:color w:val="1F2937"/>
                <w:sz w:val="20"/>
              </w:rPr>
              <w:t>Confirm medication purpose before administration.</w:t>
            </w:r>
          </w:p>
        </w:tc>
        <w:tc>
          <w:tcPr>
            <w:tcW w:type="dxa" w:w="3120"/>
            <w:vAlign w:val="center"/>
          </w:tcPr>
          <w:p>
            <w:pPr>
              <w:jc w:val="left"/>
            </w:pPr>
            <w:r/>
            <w:r>
              <w:rPr>
                <w:rFonts w:ascii="Calibri" w:hAnsi="Calibri"/>
                <w:b w:val="0"/>
                <w:color w:val="1F2937"/>
                <w:sz w:val="20"/>
              </w:rPr>
              <w:t>Improves bedside confidence and reduces administration error risk.</w:t>
            </w:r>
          </w:p>
        </w:tc>
      </w:tr>
      <w:tr>
        <w:tc>
          <w:tcPr>
            <w:tcW w:type="dxa" w:w="3120"/>
            <w:vAlign w:val="center"/>
          </w:tcPr>
          <w:p>
            <w:pPr>
              <w:jc w:val="left"/>
            </w:pPr>
            <w:r/>
            <w:r>
              <w:rPr>
                <w:rFonts w:ascii="Calibri" w:hAnsi="Calibri"/>
                <w:b w:val="0"/>
                <w:color w:val="1F2937"/>
                <w:sz w:val="20"/>
              </w:rPr>
              <w:t>Hospital administrators</w:t>
            </w:r>
          </w:p>
        </w:tc>
        <w:tc>
          <w:tcPr>
            <w:tcW w:type="dxa" w:w="3120"/>
            <w:vAlign w:val="center"/>
          </w:tcPr>
          <w:p>
            <w:pPr>
              <w:jc w:val="left"/>
            </w:pPr>
            <w:r/>
            <w:r>
              <w:rPr>
                <w:rFonts w:ascii="Calibri" w:hAnsi="Calibri"/>
                <w:b w:val="0"/>
                <w:color w:val="1F2937"/>
                <w:sz w:val="20"/>
              </w:rPr>
              <w:t>Monitor top risks, trends, and safety indicators.</w:t>
            </w:r>
          </w:p>
        </w:tc>
        <w:tc>
          <w:tcPr>
            <w:tcW w:type="dxa" w:w="3120"/>
            <w:vAlign w:val="center"/>
          </w:tcPr>
          <w:p>
            <w:pPr>
              <w:jc w:val="left"/>
            </w:pPr>
            <w:r/>
            <w:r>
              <w:rPr>
                <w:rFonts w:ascii="Calibri" w:hAnsi="Calibri"/>
                <w:b w:val="0"/>
                <w:color w:val="1F2937"/>
                <w:sz w:val="20"/>
              </w:rPr>
              <w:t>Supports training, policy, and quality-improvement decisions.</w:t>
            </w:r>
          </w:p>
        </w:tc>
      </w:tr>
      <w:tr>
        <w:tc>
          <w:tcPr>
            <w:tcW w:type="dxa" w:w="3120"/>
            <w:vAlign w:val="center"/>
          </w:tcPr>
          <w:p>
            <w:pPr>
              <w:jc w:val="left"/>
            </w:pPr>
            <w:r/>
            <w:r>
              <w:rPr>
                <w:rFonts w:ascii="Calibri" w:hAnsi="Calibri"/>
                <w:b w:val="0"/>
                <w:color w:val="1F2937"/>
                <w:sz w:val="20"/>
              </w:rPr>
              <w:t>Patients</w:t>
            </w:r>
          </w:p>
        </w:tc>
        <w:tc>
          <w:tcPr>
            <w:tcW w:type="dxa" w:w="3120"/>
            <w:vAlign w:val="center"/>
          </w:tcPr>
          <w:p>
            <w:pPr>
              <w:jc w:val="left"/>
            </w:pPr>
            <w:r/>
            <w:r>
              <w:rPr>
                <w:rFonts w:ascii="Calibri" w:hAnsi="Calibri"/>
                <w:b w:val="0"/>
                <w:color w:val="1F2937"/>
                <w:sz w:val="20"/>
              </w:rPr>
              <w:t>Indirect beneficiaries of safer medication workflows.</w:t>
            </w:r>
          </w:p>
        </w:tc>
        <w:tc>
          <w:tcPr>
            <w:tcW w:type="dxa" w:w="3120"/>
            <w:vAlign w:val="center"/>
          </w:tcPr>
          <w:p>
            <w:pPr>
              <w:jc w:val="left"/>
            </w:pPr>
            <w:r/>
            <w:r>
              <w:rPr>
                <w:rFonts w:ascii="Calibri" w:hAnsi="Calibri"/>
                <w:b w:val="0"/>
                <w:color w:val="1F2937"/>
                <w:sz w:val="20"/>
              </w:rPr>
              <w:t>Receives safer care when professionals use the tool.</w:t>
            </w:r>
          </w:p>
        </w:tc>
      </w:tr>
    </w:tbl>
    <w:p/>
    <w:p>
      <w:pPr>
        <w:pStyle w:val="Heading1"/>
      </w:pPr>
      <w:r>
        <w:t>10. Database and Course Relevance</w:t>
      </w:r>
    </w:p>
    <w:p>
      <w:r>
        <w:t>MediNomix is especially suitable for a database systems course because it is not only a frontend demo. The backend defines multiple normalized tables, foreign-key relationships, indexes, data ingestion, analysis logs, and analytical query endpoints.</w:t>
      </w:r>
    </w:p>
    <w:p>
      <w:pPr>
        <w:pStyle w:val="ListBullet"/>
        <w:spacing w:after="80"/>
      </w:pPr>
      <w:r>
        <w:t>Normalized entities: drugs, risk pairs, known risky pairs, analysis logs, and metrics.</w:t>
      </w:r>
    </w:p>
    <w:p>
      <w:pPr>
        <w:pStyle w:val="ListBullet"/>
        <w:spacing w:after="80"/>
      </w:pPr>
      <w:r>
        <w:t>Relational design: source and target drug relationships support pairwise analysis.</w:t>
      </w:r>
    </w:p>
    <w:p>
      <w:pPr>
        <w:pStyle w:val="ListBullet"/>
        <w:spacing w:after="80"/>
      </w:pPr>
      <w:r>
        <w:t>Indexes: drug names, phonetic codes, risk category, and combined risk improve search and dashboard retrieval.</w:t>
      </w:r>
    </w:p>
    <w:p>
      <w:pPr>
        <w:pStyle w:val="ListBullet"/>
        <w:spacing w:after="80"/>
      </w:pPr>
      <w:r>
        <w:t>ETL concept: OpenFDA data is fetched, transformed, enhanced with phonetic codes, and stored locally.</w:t>
      </w:r>
    </w:p>
    <w:p>
      <w:pPr>
        <w:pStyle w:val="ListBullet"/>
        <w:spacing w:after="80"/>
      </w:pPr>
      <w:r>
        <w:t>Analytics: dashboard endpoints aggregate risks for charts, heatmap, and monitoring.</w:t>
      </w:r>
    </w:p>
    <w:p>
      <w:pPr>
        <w:pStyle w:val="Heading1"/>
      </w:pPr>
      <w:r>
        <w:t>11. Limitations</w:t>
      </w:r>
    </w:p>
    <w:p>
      <w:pPr>
        <w:pStyle w:val="ListBullet"/>
        <w:spacing w:after="80"/>
      </w:pPr>
      <w:r>
        <w:t>The app is a decision-support tool and should not be used as the only source of clinical truth.</w:t>
      </w:r>
    </w:p>
    <w:p>
      <w:pPr>
        <w:pStyle w:val="ListBullet"/>
        <w:spacing w:after="80"/>
      </w:pPr>
      <w:r>
        <w:t>OpenFDA coverage and label fields may be incomplete for some medicines.</w:t>
      </w:r>
    </w:p>
    <w:p>
      <w:pPr>
        <w:pStyle w:val="ListBullet"/>
        <w:spacing w:after="80"/>
      </w:pPr>
      <w:r>
        <w:t>The therapeutic context logic is rule-based and should be validated with pharmacy experts before real deployment.</w:t>
      </w:r>
    </w:p>
    <w:p>
      <w:pPr>
        <w:pStyle w:val="ListBullet"/>
        <w:spacing w:after="80"/>
      </w:pPr>
      <w:r>
        <w:t>The current credentials and dependency file need cleanup before sharing or production use.</w:t>
      </w:r>
    </w:p>
    <w:p>
      <w:pPr>
        <w:pStyle w:val="ListBullet"/>
        <w:spacing w:after="80"/>
      </w:pPr>
      <w:r>
        <w:t>Demo fallback data is useful for presentation but should be separated from real operational mode.</w:t>
      </w:r>
    </w:p>
    <w:p>
      <w:pPr>
        <w:pStyle w:val="ListBullet"/>
        <w:spacing w:after="80"/>
      </w:pPr>
      <w:r>
        <w:t>The final app does not use WebSockets; dashboard freshness depends on periodic HTTP refresh.</w:t>
      </w:r>
    </w:p>
    <w:p>
      <w:pPr>
        <w:pStyle w:val="Heading1"/>
      </w:pPr>
      <w:r>
        <w:t>12. Future Enhancements</w:t>
      </w:r>
    </w:p>
    <w:p>
      <w:pPr>
        <w:pStyle w:val="ListBullet"/>
        <w:spacing w:after="80"/>
      </w:pPr>
      <w:r>
        <w:t>Add authentication for doctors, pharmacists, nurses, and administrators.</w:t>
      </w:r>
    </w:p>
    <w:p>
      <w:pPr>
        <w:pStyle w:val="ListBullet"/>
        <w:spacing w:after="80"/>
      </w:pPr>
      <w:r>
        <w:t>Add an admin interface for managing known risky pairs and expert-reviewed overrides.</w:t>
      </w:r>
    </w:p>
    <w:p>
      <w:pPr>
        <w:pStyle w:val="ListBullet"/>
        <w:spacing w:after="80"/>
      </w:pPr>
      <w:r>
        <w:t>Add Tall Man lettering suggestions for risky pairs.</w:t>
      </w:r>
    </w:p>
    <w:p>
      <w:pPr>
        <w:pStyle w:val="ListBullet"/>
        <w:spacing w:after="80"/>
      </w:pPr>
      <w:r>
        <w:t>Add barcode or QR verification integration for dispensing and administration workflows.</w:t>
      </w:r>
    </w:p>
    <w:p>
      <w:pPr>
        <w:pStyle w:val="ListBullet"/>
        <w:spacing w:after="80"/>
      </w:pPr>
      <w:r>
        <w:t>Add model evaluation using a labeled LASA dataset.</w:t>
      </w:r>
    </w:p>
    <w:p>
      <w:pPr>
        <w:pStyle w:val="ListBullet"/>
        <w:spacing w:after="80"/>
      </w:pPr>
      <w:r>
        <w:t>Add PDF/CSV export for safety committee reports.</w:t>
      </w:r>
    </w:p>
    <w:p>
      <w:pPr>
        <w:pStyle w:val="ListBullet"/>
        <w:spacing w:after="80"/>
      </w:pPr>
      <w:r>
        <w:t>Add EHR or pharmacy-system integration for real hospital workflows.</w:t>
      </w:r>
    </w:p>
    <w:p>
      <w:pPr>
        <w:pStyle w:val="Heading1"/>
      </w:pPr>
      <w:r>
        <w:t>13. Conclusion</w:t>
      </w:r>
    </w:p>
    <w:p>
      <w:r>
        <w:t>MediNomix provides a practical and explainable solution for the LASA medication-error problem. It turns medication-safety literature into a working web application: users search a drug, the system detects risky name similarities, explains the risk components, stores results, and presents analytics. For a 5th semester project, the strongest part is the connection between a real clinical safety problem and a database-backed, algorithm-driven software solution.</w:t>
      </w:r>
    </w:p>
    <w:p>
      <w:pPr>
        <w:pStyle w:val="Heading1"/>
      </w:pPr>
      <w:r>
        <w:t>References</w:t>
      </w:r>
    </w:p>
    <w:p>
      <w:pPr>
        <w:pStyle w:val="ListNumber"/>
        <w:spacing w:after="80"/>
      </w:pPr>
      <w:r>
        <w:t>NCBI Bookshelf. Medication Dispensing Errors and Prevention. https://www.ncbi.nlm.nih.gov/books/NBK519065/</w:t>
      </w:r>
    </w:p>
    <w:p>
      <w:pPr>
        <w:pStyle w:val="ListNumber"/>
        <w:spacing w:after="80"/>
      </w:pPr>
      <w:r>
        <w:t>Academy of Managed Care Pharmacy. Medication Errors. https://www.amcp.org/concepts-managed-care-pharmacy/medication-errors</w:t>
      </w:r>
    </w:p>
    <w:p>
      <w:pPr>
        <w:pStyle w:val="ListNumber"/>
        <w:spacing w:after="80"/>
      </w:pPr>
      <w:r>
        <w:t>Uppsala Reports. Medication Errors. https://uppsalareports.org/deep-dive/medication-errors</w:t>
      </w:r>
    </w:p>
    <w:p>
      <w:pPr>
        <w:pStyle w:val="ListNumber"/>
        <w:spacing w:after="80"/>
      </w:pPr>
      <w:r>
        <w:t>AHRQ PSNet. Medication Errors and Adverse Drug Events. https://psnet.ahrq.gov/primer/medication-errors-and-adverse-drug-events</w:t>
      </w:r>
    </w:p>
    <w:p>
      <w:pPr>
        <w:pStyle w:val="ListNumber"/>
        <w:spacing w:after="80"/>
      </w:pPr>
      <w:r>
        <w:t>World Health Organization. Medication Error technical material. https://cdn.who.int/media/docs/librariesprovider2/country-sites/medication-error-wpsd-final.pdf?sfvrsn=e5853e2a_1&amp;download=true</w:t>
      </w:r>
    </w:p>
    <w:p>
      <w:pPr>
        <w:pStyle w:val="ListNumber"/>
        <w:spacing w:after="80"/>
      </w:pPr>
      <w:r>
        <w:t>NCC MERP. About Medication Errors. https://www.nccmerp.org/about-medication-errors</w:t>
      </w:r>
    </w:p>
    <w:p>
      <w:pPr>
        <w:pStyle w:val="ListNumber"/>
        <w:spacing w:after="80"/>
      </w:pPr>
      <w:r>
        <w:t>British Journal of Clinical Pharmacology / Wiley. DOI: 10.1111/bcp.16222. https://bpspubs.onlinelibrary.wiley.com/doi/10.1111/bcp.16222</w:t>
      </w:r>
    </w:p>
    <w:p>
      <w:pPr>
        <w:pStyle w:val="ListNumber"/>
        <w:spacing w:after="80"/>
      </w:pPr>
      <w:r>
        <w:t>Ontario College of Pharmacists. Focus on Error Prevention, Spring/Summer 2020. https://ocpinfo.com/ocp-resources/focus-on-error-prevention-spring-summer-2020/</w:t>
      </w:r>
    </w:p>
    <w:p>
      <w:pPr>
        <w:pStyle w:val="ListNumber"/>
        <w:spacing w:after="80"/>
      </w:pPr>
      <w:r>
        <w:t>Project GitHub repository. https://github.com/precious-05/MediNomixLocal</w:t>
      </w:r>
    </w:p>
    <w:p>
      <w:pPr>
        <w:pStyle w:val="ListNumber"/>
        <w:spacing w:after="80"/>
      </w:pPr>
      <w:r>
        <w:t>Existing local document reviewed: Medication_Error_Problem_Research.docx</w:t>
      </w:r>
    </w:p>
    <w:p>
      <w:pPr>
        <w:pStyle w:val="ListNumber"/>
        <w:spacing w:after="80"/>
      </w:pPr>
      <w:r>
        <w:t>Project files reviewed: README.md, local_final_backend.py, frontend_imp_realtime.py, practice/frontend2.py, practice/front.py, and practice/back.py.</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MediNomix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