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F4D78"/>
          <w:sz w:val="48"/>
        </w:rPr>
        <w:t>General Project Details</w:t>
      </w:r>
    </w:p>
    <w:p>
      <w:pPr>
        <w:spacing w:after="240"/>
        <w:jc w:val="center"/>
      </w:pPr>
      <w:r>
        <w:rPr>
          <w:rFonts w:ascii="Calibri" w:hAnsi="Calibri"/>
          <w:color w:val="666666"/>
          <w:sz w:val="24"/>
        </w:rPr>
        <w:t>MediNomix | LASA Drug Error Prevention System</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592"/>
            <w:vAlign w:val="center"/>
            <w:shd w:fill="F2F4F7"/>
          </w:tcPr>
          <w:p>
            <w:pPr>
              <w:jc w:val="left"/>
            </w:pPr>
            <w:r/>
            <w:r>
              <w:rPr>
                <w:rFonts w:ascii="Calibri" w:hAnsi="Calibri"/>
                <w:b/>
                <w:color w:val="1F2937"/>
                <w:sz w:val="20"/>
              </w:rPr>
              <w:t>Project Name</w:t>
            </w:r>
          </w:p>
        </w:tc>
        <w:tc>
          <w:tcPr>
            <w:tcW w:type="dxa" w:w="6768"/>
            <w:vAlign w:val="center"/>
          </w:tcPr>
          <w:p>
            <w:pPr>
              <w:jc w:val="left"/>
            </w:pPr>
            <w:r/>
            <w:r>
              <w:rPr>
                <w:rFonts w:ascii="Calibri" w:hAnsi="Calibri"/>
                <w:b w:val="0"/>
                <w:color w:val="1F2937"/>
                <w:sz w:val="20"/>
              </w:rPr>
              <w:t>MediNomix</w:t>
            </w:r>
          </w:p>
        </w:tc>
      </w:tr>
      <w:tr>
        <w:tc>
          <w:tcPr>
            <w:tcW w:type="dxa" w:w="4680"/>
            <w:vAlign w:val="center"/>
            <w:shd w:fill="F2F4F7"/>
          </w:tcPr>
          <w:p>
            <w:pPr>
              <w:jc w:val="left"/>
            </w:pPr>
            <w:r/>
            <w:r>
              <w:rPr>
                <w:rFonts w:ascii="Calibri" w:hAnsi="Calibri"/>
                <w:b/>
                <w:color w:val="1F2937"/>
                <w:sz w:val="20"/>
              </w:rPr>
              <w:t>Project Type</w:t>
            </w:r>
          </w:p>
        </w:tc>
        <w:tc>
          <w:tcPr>
            <w:tcW w:type="dxa" w:w="4680"/>
            <w:vAlign w:val="center"/>
          </w:tcPr>
          <w:p>
            <w:pPr>
              <w:jc w:val="left"/>
            </w:pPr>
            <w:r/>
            <w:r>
              <w:rPr>
                <w:rFonts w:ascii="Calibri" w:hAnsi="Calibri"/>
                <w:b w:val="0"/>
                <w:color w:val="1F2937"/>
                <w:sz w:val="20"/>
              </w:rPr>
              <w:t>Medication safety web application</w:t>
            </w:r>
          </w:p>
        </w:tc>
      </w:tr>
      <w:tr>
        <w:tc>
          <w:tcPr>
            <w:tcW w:type="dxa" w:w="4680"/>
            <w:vAlign w:val="center"/>
            <w:shd w:fill="F2F4F7"/>
          </w:tcPr>
          <w:p>
            <w:pPr>
              <w:jc w:val="left"/>
            </w:pPr>
            <w:r/>
            <w:r>
              <w:rPr>
                <w:rFonts w:ascii="Calibri" w:hAnsi="Calibri"/>
                <w:b/>
                <w:color w:val="1F2937"/>
                <w:sz w:val="20"/>
              </w:rPr>
              <w:t>Academic Context</w:t>
            </w:r>
          </w:p>
        </w:tc>
        <w:tc>
          <w:tcPr>
            <w:tcW w:type="dxa" w:w="4680"/>
            <w:vAlign w:val="center"/>
          </w:tcPr>
          <w:p>
            <w:pPr>
              <w:jc w:val="left"/>
            </w:pPr>
            <w:r/>
            <w:r>
              <w:rPr>
                <w:rFonts w:ascii="Calibri" w:hAnsi="Calibri"/>
                <w:b w:val="0"/>
                <w:color w:val="1F2937"/>
                <w:sz w:val="20"/>
              </w:rPr>
              <w:t>5th semester course project</w:t>
            </w:r>
          </w:p>
        </w:tc>
      </w:tr>
      <w:tr>
        <w:tc>
          <w:tcPr>
            <w:tcW w:type="dxa" w:w="4680"/>
            <w:vAlign w:val="center"/>
            <w:shd w:fill="F2F4F7"/>
          </w:tcPr>
          <w:p>
            <w:pPr>
              <w:jc w:val="left"/>
            </w:pPr>
            <w:r/>
            <w:r>
              <w:rPr>
                <w:rFonts w:ascii="Calibri" w:hAnsi="Calibri"/>
                <w:b/>
                <w:color w:val="1F2937"/>
                <w:sz w:val="20"/>
              </w:rPr>
              <w:t>Primary Problem</w:t>
            </w:r>
          </w:p>
        </w:tc>
        <w:tc>
          <w:tcPr>
            <w:tcW w:type="dxa" w:w="4680"/>
            <w:vAlign w:val="center"/>
          </w:tcPr>
          <w:p>
            <w:pPr>
              <w:jc w:val="left"/>
            </w:pPr>
            <w:r/>
            <w:r>
              <w:rPr>
                <w:rFonts w:ascii="Calibri" w:hAnsi="Calibri"/>
                <w:b w:val="0"/>
                <w:color w:val="1F2937"/>
                <w:sz w:val="20"/>
              </w:rPr>
              <w:t>Look-Alike Sound-Alike (LASA) drug-name confusion and medication error prevention</w:t>
            </w:r>
          </w:p>
        </w:tc>
      </w:tr>
      <w:tr>
        <w:tc>
          <w:tcPr>
            <w:tcW w:type="dxa" w:w="4680"/>
            <w:vAlign w:val="center"/>
            <w:shd w:fill="F2F4F7"/>
          </w:tcPr>
          <w:p>
            <w:pPr>
              <w:jc w:val="left"/>
            </w:pPr>
            <w:r/>
            <w:r>
              <w:rPr>
                <w:rFonts w:ascii="Calibri" w:hAnsi="Calibri"/>
                <w:b/>
                <w:color w:val="1F2937"/>
                <w:sz w:val="20"/>
              </w:rPr>
              <w:t>Final Code Files Identified</w:t>
            </w:r>
          </w:p>
        </w:tc>
        <w:tc>
          <w:tcPr>
            <w:tcW w:type="dxa" w:w="4680"/>
            <w:vAlign w:val="center"/>
          </w:tcPr>
          <w:p>
            <w:pPr>
              <w:jc w:val="left"/>
            </w:pPr>
            <w:r/>
            <w:r>
              <w:rPr>
                <w:rFonts w:ascii="Calibri" w:hAnsi="Calibri"/>
                <w:b w:val="0"/>
                <w:color w:val="1F2937"/>
                <w:sz w:val="20"/>
              </w:rPr>
              <w:t>local_final_backend.py and frontend_imp_realtime.py</w:t>
            </w:r>
          </w:p>
        </w:tc>
      </w:tr>
      <w:tr>
        <w:tc>
          <w:tcPr>
            <w:tcW w:type="dxa" w:w="4680"/>
            <w:vAlign w:val="center"/>
            <w:shd w:fill="F2F4F7"/>
          </w:tcPr>
          <w:p>
            <w:pPr>
              <w:jc w:val="left"/>
            </w:pPr>
            <w:r/>
            <w:r>
              <w:rPr>
                <w:rFonts w:ascii="Calibri" w:hAnsi="Calibri"/>
                <w:b/>
                <w:color w:val="1F2937"/>
                <w:sz w:val="20"/>
              </w:rPr>
              <w:t>GitHub Repository</w:t>
            </w:r>
          </w:p>
        </w:tc>
        <w:tc>
          <w:tcPr>
            <w:tcW w:type="dxa" w:w="4680"/>
            <w:vAlign w:val="center"/>
          </w:tcPr>
          <w:p>
            <w:pPr>
              <w:jc w:val="left"/>
            </w:pPr>
            <w:r/>
            <w:r>
              <w:rPr>
                <w:rFonts w:ascii="Calibri" w:hAnsi="Calibri"/>
                <w:b w:val="0"/>
                <w:color w:val="1F2937"/>
                <w:sz w:val="20"/>
              </w:rPr>
              <w:t>https://github.com/precious-05/MediNomixLocal</w:t>
            </w:r>
          </w:p>
        </w:tc>
      </w:tr>
      <w:tr>
        <w:tc>
          <w:tcPr>
            <w:tcW w:type="dxa" w:w="4680"/>
            <w:vAlign w:val="center"/>
            <w:shd w:fill="F2F4F7"/>
          </w:tcPr>
          <w:p>
            <w:pPr>
              <w:jc w:val="left"/>
            </w:pPr>
            <w:r/>
            <w:r>
              <w:rPr>
                <w:rFonts w:ascii="Calibri" w:hAnsi="Calibri"/>
                <w:b/>
                <w:color w:val="1F2937"/>
                <w:sz w:val="20"/>
              </w:rPr>
              <w:t>Prepared On</w:t>
            </w:r>
          </w:p>
        </w:tc>
        <w:tc>
          <w:tcPr>
            <w:tcW w:type="dxa" w:w="4680"/>
            <w:vAlign w:val="center"/>
          </w:tcPr>
          <w:p>
            <w:pPr>
              <w:jc w:val="left"/>
            </w:pPr>
            <w:r/>
            <w:r>
              <w:rPr>
                <w:rFonts w:ascii="Calibri" w:hAnsi="Calibri"/>
                <w:b w:val="0"/>
                <w:color w:val="1F2937"/>
                <w:sz w:val="20"/>
              </w:rPr>
              <w:t>August 14, 2026</w:t>
            </w:r>
          </w:p>
        </w:tc>
      </w:tr>
    </w:tbl>
    <w:p/>
    <w:p>
      <w:pPr>
        <w:pStyle w:val="Heading1"/>
      </w:pPr>
      <w:r>
        <w:t>1. Project Overview</w:t>
      </w:r>
    </w:p>
    <w:p>
      <w:r>
        <w:t>MediNomix is a medication safety web application designed to identify confusion risk between drug names. The system focuses on LASA problems, where medicines with similar spelling or pronunciation may be prescribed, dispensed, or administered incorrectly. The application gives healthcare users a searchable interface, a risk score, supporting similarity metrics, and visual analytics.</w:t>
      </w:r>
    </w:p>
    <w:p>
      <w:pPr>
        <w:pStyle w:val="Heading1"/>
      </w:pPr>
      <w:r>
        <w:t>2. Final Version Identification</w:t>
      </w:r>
    </w:p>
    <w:p>
      <w:r>
        <w:t>The project folder contains several practice and backup files. The final working version is best represented by the root-level backend and frontend files. This selection is based on file naming, completeness, endpoint coverage, database integration, and the fact that WebSocket functionality was removed or commented in the final version.</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376"/>
            <w:vAlign w:val="center"/>
            <w:shd w:fill="E8EEF5"/>
          </w:tcPr>
          <w:p>
            <w:pPr>
              <w:jc w:val="left"/>
            </w:pPr>
            <w:r/>
            <w:r>
              <w:rPr>
                <w:rFonts w:ascii="Calibri" w:hAnsi="Calibri"/>
                <w:b/>
                <w:color w:val="1F4D78"/>
                <w:sz w:val="20"/>
              </w:rPr>
              <w:t>File</w:t>
            </w:r>
          </w:p>
        </w:tc>
        <w:tc>
          <w:tcPr>
            <w:tcW w:type="dxa" w:w="1800"/>
            <w:vAlign w:val="center"/>
            <w:shd w:fill="E8EEF5"/>
          </w:tcPr>
          <w:p>
            <w:pPr>
              <w:jc w:val="left"/>
            </w:pPr>
            <w:r/>
            <w:r>
              <w:rPr>
                <w:rFonts w:ascii="Calibri" w:hAnsi="Calibri"/>
                <w:b/>
                <w:color w:val="1F4D78"/>
                <w:sz w:val="20"/>
              </w:rPr>
              <w:t>Role</w:t>
            </w:r>
          </w:p>
        </w:tc>
        <w:tc>
          <w:tcPr>
            <w:tcW w:type="dxa" w:w="5184"/>
            <w:vAlign w:val="center"/>
            <w:shd w:fill="E8EEF5"/>
          </w:tcPr>
          <w:p>
            <w:pPr>
              <w:jc w:val="left"/>
            </w:pPr>
            <w:r/>
            <w:r>
              <w:rPr>
                <w:rFonts w:ascii="Calibri" w:hAnsi="Calibri"/>
                <w:b/>
                <w:color w:val="1F4D78"/>
                <w:sz w:val="20"/>
              </w:rPr>
              <w:t>Reason for Selection</w:t>
            </w:r>
          </w:p>
        </w:tc>
      </w:tr>
      <w:tr>
        <w:tc>
          <w:tcPr>
            <w:tcW w:type="dxa" w:w="3120"/>
            <w:vAlign w:val="center"/>
          </w:tcPr>
          <w:p>
            <w:pPr>
              <w:jc w:val="left"/>
            </w:pPr>
            <w:r/>
            <w:r>
              <w:rPr>
                <w:rFonts w:ascii="Calibri" w:hAnsi="Calibri"/>
                <w:b w:val="0"/>
                <w:color w:val="1F2937"/>
                <w:sz w:val="20"/>
              </w:rPr>
              <w:t>local_final_backend.py</w:t>
            </w:r>
          </w:p>
        </w:tc>
        <w:tc>
          <w:tcPr>
            <w:tcW w:type="dxa" w:w="3120"/>
            <w:vAlign w:val="center"/>
          </w:tcPr>
          <w:p>
            <w:pPr>
              <w:jc w:val="left"/>
            </w:pPr>
            <w:r/>
            <w:r>
              <w:rPr>
                <w:rFonts w:ascii="Calibri" w:hAnsi="Calibri"/>
                <w:b w:val="0"/>
                <w:color w:val="1F2937"/>
                <w:sz w:val="20"/>
              </w:rPr>
              <w:t>Backend API</w:t>
            </w:r>
          </w:p>
        </w:tc>
        <w:tc>
          <w:tcPr>
            <w:tcW w:type="dxa" w:w="3120"/>
            <w:vAlign w:val="center"/>
          </w:tcPr>
          <w:p>
            <w:pPr>
              <w:jc w:val="left"/>
            </w:pPr>
            <w:r/>
            <w:r>
              <w:rPr>
                <w:rFonts w:ascii="Calibri" w:hAnsi="Calibri"/>
                <w:b w:val="0"/>
                <w:color w:val="1F2937"/>
                <w:sz w:val="18"/>
              </w:rPr>
              <w:t>FastAPI backend with database models, OpenFDA integration, similarity algorithms, risk scoring, analytics endpoints, and explicit WebSocket removal comments.</w:t>
            </w:r>
          </w:p>
        </w:tc>
      </w:tr>
      <w:tr>
        <w:tc>
          <w:tcPr>
            <w:tcW w:type="dxa" w:w="3120"/>
            <w:vAlign w:val="center"/>
          </w:tcPr>
          <w:p>
            <w:pPr>
              <w:jc w:val="left"/>
            </w:pPr>
            <w:r/>
            <w:r>
              <w:rPr>
                <w:rFonts w:ascii="Calibri" w:hAnsi="Calibri"/>
                <w:b w:val="0"/>
                <w:color w:val="1F2937"/>
                <w:sz w:val="20"/>
              </w:rPr>
              <w:t>frontend_imp_realtime.py</w:t>
            </w:r>
          </w:p>
        </w:tc>
        <w:tc>
          <w:tcPr>
            <w:tcW w:type="dxa" w:w="3120"/>
            <w:vAlign w:val="center"/>
          </w:tcPr>
          <w:p>
            <w:pPr>
              <w:jc w:val="left"/>
            </w:pPr>
            <w:r/>
            <w:r>
              <w:rPr>
                <w:rFonts w:ascii="Calibri" w:hAnsi="Calibri"/>
                <w:b w:val="0"/>
                <w:color w:val="1F2937"/>
                <w:sz w:val="20"/>
              </w:rPr>
              <w:t>Frontend app</w:t>
            </w:r>
          </w:p>
        </w:tc>
        <w:tc>
          <w:tcPr>
            <w:tcW w:type="dxa" w:w="3120"/>
            <w:vAlign w:val="center"/>
          </w:tcPr>
          <w:p>
            <w:pPr>
              <w:jc w:val="left"/>
            </w:pPr>
            <w:r/>
            <w:r>
              <w:rPr>
                <w:rFonts w:ascii="Calibri" w:hAnsi="Calibri"/>
                <w:b w:val="0"/>
                <w:color w:val="1F2937"/>
                <w:sz w:val="18"/>
              </w:rPr>
              <w:t>Streamlit user interface with Home, Drug Analysis, Analytics, and Real-Time dashboard tabs. It uses HTTP polling/API calls instead of active WebSockets.</w:t>
            </w:r>
          </w:p>
        </w:tc>
      </w:tr>
      <w:tr>
        <w:tc>
          <w:tcPr>
            <w:tcW w:type="dxa" w:w="3120"/>
            <w:vAlign w:val="center"/>
          </w:tcPr>
          <w:p>
            <w:pPr>
              <w:jc w:val="left"/>
            </w:pPr>
            <w:r/>
            <w:r>
              <w:rPr>
                <w:rFonts w:ascii="Calibri" w:hAnsi="Calibri"/>
                <w:b w:val="0"/>
                <w:color w:val="1F2937"/>
                <w:sz w:val="20"/>
              </w:rPr>
              <w:t>practice/frontend2.py</w:t>
            </w:r>
          </w:p>
        </w:tc>
        <w:tc>
          <w:tcPr>
            <w:tcW w:type="dxa" w:w="3120"/>
            <w:vAlign w:val="center"/>
          </w:tcPr>
          <w:p>
            <w:pPr>
              <w:jc w:val="left"/>
            </w:pPr>
            <w:r/>
            <w:r>
              <w:rPr>
                <w:rFonts w:ascii="Calibri" w:hAnsi="Calibri"/>
                <w:b w:val="0"/>
                <w:color w:val="1F2937"/>
                <w:sz w:val="20"/>
              </w:rPr>
              <w:t>Old draft</w:t>
            </w:r>
          </w:p>
        </w:tc>
        <w:tc>
          <w:tcPr>
            <w:tcW w:type="dxa" w:w="3120"/>
            <w:vAlign w:val="center"/>
          </w:tcPr>
          <w:p>
            <w:pPr>
              <w:jc w:val="left"/>
            </w:pPr>
            <w:r/>
            <w:r>
              <w:rPr>
                <w:rFonts w:ascii="Calibri" w:hAnsi="Calibri"/>
                <w:b w:val="0"/>
                <w:color w:val="1F2937"/>
                <w:sz w:val="18"/>
              </w:rPr>
              <w:t>Contains active WebSocket manager code and is not consistent with the stated final version.</w:t>
            </w:r>
          </w:p>
        </w:tc>
      </w:tr>
      <w:tr>
        <w:tc>
          <w:tcPr>
            <w:tcW w:type="dxa" w:w="3120"/>
            <w:vAlign w:val="center"/>
          </w:tcPr>
          <w:p>
            <w:pPr>
              <w:jc w:val="left"/>
            </w:pPr>
            <w:r/>
            <w:r>
              <w:rPr>
                <w:rFonts w:ascii="Calibri" w:hAnsi="Calibri"/>
                <w:b w:val="0"/>
                <w:color w:val="1F2937"/>
                <w:sz w:val="20"/>
              </w:rPr>
              <w:t>practice/front.py and practice backups</w:t>
            </w:r>
          </w:p>
        </w:tc>
        <w:tc>
          <w:tcPr>
            <w:tcW w:type="dxa" w:w="3120"/>
            <w:vAlign w:val="center"/>
          </w:tcPr>
          <w:p>
            <w:pPr>
              <w:jc w:val="left"/>
            </w:pPr>
            <w:r/>
            <w:r>
              <w:rPr>
                <w:rFonts w:ascii="Calibri" w:hAnsi="Calibri"/>
                <w:b w:val="0"/>
                <w:color w:val="1F2937"/>
                <w:sz w:val="20"/>
              </w:rPr>
              <w:t>Older UI drafts</w:t>
            </w:r>
          </w:p>
        </w:tc>
        <w:tc>
          <w:tcPr>
            <w:tcW w:type="dxa" w:w="3120"/>
            <w:vAlign w:val="center"/>
          </w:tcPr>
          <w:p>
            <w:pPr>
              <w:jc w:val="left"/>
            </w:pPr>
            <w:r/>
            <w:r>
              <w:rPr>
                <w:rFonts w:ascii="Calibri" w:hAnsi="Calibri"/>
                <w:b w:val="0"/>
                <w:color w:val="1F2937"/>
                <w:sz w:val="20"/>
              </w:rPr>
              <w:t>Useful for history, but root frontend file is cleaner as the final app entry point.</w:t>
            </w:r>
          </w:p>
        </w:tc>
      </w:tr>
    </w:tbl>
    <w:p/>
    <w:p>
      <w:pPr>
        <w:pStyle w:val="Heading1"/>
      </w:pPr>
      <w:r>
        <w:t>3. Technology Stack</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1655"/>
            <w:vAlign w:val="center"/>
            <w:shd w:fill="E8EEF5"/>
          </w:tcPr>
          <w:p>
            <w:pPr>
              <w:jc w:val="left"/>
            </w:pPr>
            <w:r/>
            <w:r>
              <w:rPr>
                <w:rFonts w:ascii="Calibri" w:hAnsi="Calibri"/>
                <w:b/>
                <w:color w:val="1F4D78"/>
                <w:sz w:val="20"/>
              </w:rPr>
              <w:t>Layer</w:t>
            </w:r>
          </w:p>
        </w:tc>
        <w:tc>
          <w:tcPr>
            <w:tcW w:type="dxa" w:w="2880"/>
            <w:vAlign w:val="center"/>
            <w:shd w:fill="E8EEF5"/>
          </w:tcPr>
          <w:p>
            <w:pPr>
              <w:jc w:val="left"/>
            </w:pPr>
            <w:r/>
            <w:r>
              <w:rPr>
                <w:rFonts w:ascii="Calibri" w:hAnsi="Calibri"/>
                <w:b/>
                <w:color w:val="1F4D78"/>
                <w:sz w:val="20"/>
              </w:rPr>
              <w:t>Technology</w:t>
            </w:r>
          </w:p>
        </w:tc>
        <w:tc>
          <w:tcPr>
            <w:tcW w:type="dxa" w:w="4824"/>
            <w:vAlign w:val="center"/>
            <w:shd w:fill="E8EEF5"/>
          </w:tcPr>
          <w:p>
            <w:pPr>
              <w:jc w:val="left"/>
            </w:pPr>
            <w:r/>
            <w:r>
              <w:rPr>
                <w:rFonts w:ascii="Calibri" w:hAnsi="Calibri"/>
                <w:b/>
                <w:color w:val="1F4D78"/>
                <w:sz w:val="20"/>
              </w:rPr>
              <w:t>Purpose</w:t>
            </w:r>
          </w:p>
        </w:tc>
      </w:tr>
      <w:tr>
        <w:tc>
          <w:tcPr>
            <w:tcW w:type="dxa" w:w="3120"/>
            <w:vAlign w:val="center"/>
          </w:tcPr>
          <w:p>
            <w:pPr>
              <w:jc w:val="left"/>
            </w:pPr>
            <w:r/>
            <w:r>
              <w:rPr>
                <w:rFonts w:ascii="Calibri" w:hAnsi="Calibri"/>
                <w:b w:val="0"/>
                <w:color w:val="1F2937"/>
                <w:sz w:val="20"/>
              </w:rPr>
              <w:t>Frontend</w:t>
            </w:r>
          </w:p>
        </w:tc>
        <w:tc>
          <w:tcPr>
            <w:tcW w:type="dxa" w:w="3120"/>
            <w:vAlign w:val="center"/>
          </w:tcPr>
          <w:p>
            <w:pPr>
              <w:jc w:val="left"/>
            </w:pPr>
            <w:r/>
            <w:r>
              <w:rPr>
                <w:rFonts w:ascii="Calibri" w:hAnsi="Calibri"/>
                <w:b w:val="0"/>
                <w:color w:val="1F2937"/>
                <w:sz w:val="20"/>
              </w:rPr>
              <w:t>Streamlit, Plotly, Pandas, Requests</w:t>
            </w:r>
          </w:p>
        </w:tc>
        <w:tc>
          <w:tcPr>
            <w:tcW w:type="dxa" w:w="3120"/>
            <w:vAlign w:val="center"/>
          </w:tcPr>
          <w:p>
            <w:pPr>
              <w:jc w:val="left"/>
            </w:pPr>
            <w:r/>
            <w:r>
              <w:rPr>
                <w:rFonts w:ascii="Calibri" w:hAnsi="Calibri"/>
                <w:b w:val="0"/>
                <w:color w:val="1F2937"/>
                <w:sz w:val="18"/>
              </w:rPr>
              <w:t>Interactive web interface, charts, search forms, dashboard cards, and backend API calls.</w:t>
            </w:r>
          </w:p>
        </w:tc>
      </w:tr>
      <w:tr>
        <w:tc>
          <w:tcPr>
            <w:tcW w:type="dxa" w:w="3120"/>
            <w:vAlign w:val="center"/>
          </w:tcPr>
          <w:p>
            <w:pPr>
              <w:jc w:val="left"/>
            </w:pPr>
            <w:r/>
            <w:r>
              <w:rPr>
                <w:rFonts w:ascii="Calibri" w:hAnsi="Calibri"/>
                <w:b w:val="0"/>
                <w:color w:val="1F2937"/>
                <w:sz w:val="20"/>
              </w:rPr>
              <w:t>Backend</w:t>
            </w:r>
          </w:p>
        </w:tc>
        <w:tc>
          <w:tcPr>
            <w:tcW w:type="dxa" w:w="3120"/>
            <w:vAlign w:val="center"/>
          </w:tcPr>
          <w:p>
            <w:pPr>
              <w:jc w:val="left"/>
            </w:pPr>
            <w:r/>
            <w:r>
              <w:rPr>
                <w:rFonts w:ascii="Calibri" w:hAnsi="Calibri"/>
                <w:b w:val="0"/>
                <w:color w:val="1F2937"/>
                <w:sz w:val="20"/>
              </w:rPr>
              <w:t>FastAPI, Pydantic, Uvicorn</w:t>
            </w:r>
          </w:p>
        </w:tc>
        <w:tc>
          <w:tcPr>
            <w:tcW w:type="dxa" w:w="3120"/>
            <w:vAlign w:val="center"/>
          </w:tcPr>
          <w:p>
            <w:pPr>
              <w:jc w:val="left"/>
            </w:pPr>
            <w:r/>
            <w:r>
              <w:rPr>
                <w:rFonts w:ascii="Calibri" w:hAnsi="Calibri"/>
                <w:b w:val="0"/>
                <w:color w:val="1F2937"/>
                <w:sz w:val="20"/>
              </w:rPr>
              <w:t>REST API, validation models, health checks, search endpoint, and analytics endpoints.</w:t>
            </w:r>
          </w:p>
        </w:tc>
      </w:tr>
      <w:tr>
        <w:tc>
          <w:tcPr>
            <w:tcW w:type="dxa" w:w="3120"/>
            <w:vAlign w:val="center"/>
          </w:tcPr>
          <w:p>
            <w:pPr>
              <w:jc w:val="left"/>
            </w:pPr>
            <w:r/>
            <w:r>
              <w:rPr>
                <w:rFonts w:ascii="Calibri" w:hAnsi="Calibri"/>
                <w:b w:val="0"/>
                <w:color w:val="1F2937"/>
                <w:sz w:val="20"/>
              </w:rPr>
              <w:t>Database</w:t>
            </w:r>
          </w:p>
        </w:tc>
        <w:tc>
          <w:tcPr>
            <w:tcW w:type="dxa" w:w="3120"/>
            <w:vAlign w:val="center"/>
          </w:tcPr>
          <w:p>
            <w:pPr>
              <w:jc w:val="left"/>
            </w:pPr>
            <w:r/>
            <w:r>
              <w:rPr>
                <w:rFonts w:ascii="Calibri" w:hAnsi="Calibri"/>
                <w:b w:val="0"/>
                <w:color w:val="1F2937"/>
                <w:sz w:val="20"/>
              </w:rPr>
              <w:t>PostgreSQL through SQLAlchemy ORM</w:t>
            </w:r>
          </w:p>
        </w:tc>
        <w:tc>
          <w:tcPr>
            <w:tcW w:type="dxa" w:w="3120"/>
            <w:vAlign w:val="center"/>
          </w:tcPr>
          <w:p>
            <w:pPr>
              <w:jc w:val="left"/>
            </w:pPr>
            <w:r/>
            <w:r>
              <w:rPr>
                <w:rFonts w:ascii="Calibri" w:hAnsi="Calibri"/>
                <w:b w:val="0"/>
                <w:color w:val="1F2937"/>
                <w:sz w:val="20"/>
              </w:rPr>
              <w:t>Stores drugs, confusion risks, known risky pairs, analysis logs, and system metrics.</w:t>
            </w:r>
          </w:p>
        </w:tc>
      </w:tr>
      <w:tr>
        <w:tc>
          <w:tcPr>
            <w:tcW w:type="dxa" w:w="3120"/>
            <w:vAlign w:val="center"/>
          </w:tcPr>
          <w:p>
            <w:pPr>
              <w:jc w:val="left"/>
            </w:pPr>
            <w:r/>
            <w:r>
              <w:rPr>
                <w:rFonts w:ascii="Calibri" w:hAnsi="Calibri"/>
                <w:b w:val="0"/>
                <w:color w:val="1F2937"/>
                <w:sz w:val="20"/>
              </w:rPr>
              <w:t>Data Source</w:t>
            </w:r>
          </w:p>
        </w:tc>
        <w:tc>
          <w:tcPr>
            <w:tcW w:type="dxa" w:w="3120"/>
            <w:vAlign w:val="center"/>
          </w:tcPr>
          <w:p>
            <w:pPr>
              <w:jc w:val="left"/>
            </w:pPr>
            <w:r/>
            <w:r>
              <w:rPr>
                <w:rFonts w:ascii="Calibri" w:hAnsi="Calibri"/>
                <w:b w:val="0"/>
                <w:color w:val="1F2937"/>
                <w:sz w:val="20"/>
              </w:rPr>
              <w:t>OpenFDA Drug Label API</w:t>
            </w:r>
          </w:p>
        </w:tc>
        <w:tc>
          <w:tcPr>
            <w:tcW w:type="dxa" w:w="3120"/>
            <w:vAlign w:val="center"/>
          </w:tcPr>
          <w:p>
            <w:pPr>
              <w:jc w:val="left"/>
            </w:pPr>
            <w:r/>
            <w:r>
              <w:rPr>
                <w:rFonts w:ascii="Calibri" w:hAnsi="Calibri"/>
                <w:b w:val="0"/>
                <w:color w:val="1F2937"/>
                <w:sz w:val="18"/>
              </w:rPr>
              <w:t>Fetches drug label information, brand/generic names, route, purpose, warnings, and related medication metadata.</w:t>
            </w:r>
          </w:p>
        </w:tc>
      </w:tr>
      <w:tr>
        <w:tc>
          <w:tcPr>
            <w:tcW w:type="dxa" w:w="3120"/>
            <w:vAlign w:val="center"/>
          </w:tcPr>
          <w:p>
            <w:pPr>
              <w:jc w:val="left"/>
            </w:pPr>
            <w:r/>
            <w:r>
              <w:rPr>
                <w:rFonts w:ascii="Calibri" w:hAnsi="Calibri"/>
                <w:b w:val="0"/>
                <w:color w:val="1F2937"/>
                <w:sz w:val="20"/>
              </w:rPr>
              <w:t>Algorithms</w:t>
            </w:r>
          </w:p>
        </w:tc>
        <w:tc>
          <w:tcPr>
            <w:tcW w:type="dxa" w:w="3120"/>
            <w:vAlign w:val="center"/>
          </w:tcPr>
          <w:p>
            <w:pPr>
              <w:jc w:val="left"/>
            </w:pPr>
            <w:r/>
            <w:r>
              <w:rPr>
                <w:rFonts w:ascii="Calibri" w:hAnsi="Calibri"/>
                <w:b w:val="0"/>
                <w:color w:val="1F2937"/>
                <w:sz w:val="20"/>
              </w:rPr>
              <w:t>Levenshtein, FuzzyWuzzy, Jaro-Winkler, Soundex, Metaphone, NYSIIS</w:t>
            </w:r>
          </w:p>
        </w:tc>
        <w:tc>
          <w:tcPr>
            <w:tcW w:type="dxa" w:w="3120"/>
            <w:vAlign w:val="center"/>
          </w:tcPr>
          <w:p>
            <w:pPr>
              <w:jc w:val="left"/>
            </w:pPr>
            <w:r/>
            <w:r>
              <w:rPr>
                <w:rFonts w:ascii="Calibri" w:hAnsi="Calibri"/>
                <w:b w:val="0"/>
                <w:color w:val="1F2937"/>
                <w:sz w:val="20"/>
              </w:rPr>
              <w:t>Measures spelling similarity, phonetic similarity, and drug-name confusion risk.</w:t>
            </w:r>
          </w:p>
        </w:tc>
      </w:tr>
    </w:tbl>
    <w:p/>
    <w:p>
      <w:pPr>
        <w:pStyle w:val="Heading1"/>
      </w:pPr>
      <w:r>
        <w:t>4. Core Features</w:t>
      </w:r>
    </w:p>
    <w:p>
      <w:pPr>
        <w:pStyle w:val="ListBullet"/>
        <w:spacing w:after="80"/>
      </w:pPr>
      <w:r>
        <w:t>Drug search by brand or generic name through the backend API.</w:t>
      </w:r>
    </w:p>
    <w:p>
      <w:pPr>
        <w:pStyle w:val="ListBullet"/>
        <w:spacing w:after="80"/>
      </w:pPr>
      <w:r>
        <w:t>OpenFDA lookup when a drug is not already present in the local database.</w:t>
      </w:r>
    </w:p>
    <w:p>
      <w:pPr>
        <w:pStyle w:val="ListBullet"/>
        <w:spacing w:after="80"/>
      </w:pPr>
      <w:r>
        <w:t>Spelling similarity calculation using Levenshtein distance, fuzzy ratio, and Jaro-Winkler similarity.</w:t>
      </w:r>
    </w:p>
    <w:p>
      <w:pPr>
        <w:pStyle w:val="ListBullet"/>
        <w:spacing w:after="80"/>
      </w:pPr>
      <w:r>
        <w:t>Phonetic comparison using Soundex, Metaphone, and NYSIIS.</w:t>
      </w:r>
    </w:p>
    <w:p>
      <w:pPr>
        <w:pStyle w:val="ListBullet"/>
        <w:spacing w:after="80"/>
      </w:pPr>
      <w:r>
        <w:t>Therapeutic context scoring using drug suffixes, therapeutic class inference, and purpose overlap.</w:t>
      </w:r>
    </w:p>
    <w:p>
      <w:pPr>
        <w:pStyle w:val="ListBullet"/>
        <w:spacing w:after="80"/>
      </w:pPr>
      <w:r>
        <w:t>Risk categories: critical, high, medium, and low.</w:t>
      </w:r>
    </w:p>
    <w:p>
      <w:pPr>
        <w:pStyle w:val="ListBullet"/>
        <w:spacing w:after="80"/>
      </w:pPr>
      <w:r>
        <w:t>Analytics dashboard with top risk pairs, risk breakdown, and confusion heatmap.</w:t>
      </w:r>
    </w:p>
    <w:p>
      <w:pPr>
        <w:pStyle w:val="ListBullet"/>
        <w:spacing w:after="80"/>
      </w:pPr>
      <w:r>
        <w:t>Recent activity and metrics dashboard implemented through REST endpoints rather than WebSockets.</w:t>
      </w:r>
    </w:p>
    <w:p>
      <w:pPr>
        <w:pStyle w:val="Heading1"/>
      </w:pPr>
      <w:r>
        <w:t>5. Database Design</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1944"/>
            <w:vAlign w:val="center"/>
            <w:shd w:fill="E8EEF5"/>
          </w:tcPr>
          <w:p>
            <w:pPr>
              <w:jc w:val="left"/>
            </w:pPr>
            <w:r/>
            <w:r>
              <w:rPr>
                <w:rFonts w:ascii="Calibri" w:hAnsi="Calibri"/>
                <w:b/>
                <w:color w:val="1F4D78"/>
                <w:sz w:val="20"/>
              </w:rPr>
              <w:t>Table</w:t>
            </w:r>
          </w:p>
        </w:tc>
        <w:tc>
          <w:tcPr>
            <w:tcW w:type="dxa" w:w="3311"/>
            <w:vAlign w:val="center"/>
            <w:shd w:fill="E8EEF5"/>
          </w:tcPr>
          <w:p>
            <w:pPr>
              <w:jc w:val="left"/>
            </w:pPr>
            <w:r/>
            <w:r>
              <w:rPr>
                <w:rFonts w:ascii="Calibri" w:hAnsi="Calibri"/>
                <w:b/>
                <w:color w:val="1F4D78"/>
                <w:sz w:val="20"/>
              </w:rPr>
              <w:t>Main Purpose</w:t>
            </w:r>
          </w:p>
        </w:tc>
        <w:tc>
          <w:tcPr>
            <w:tcW w:type="dxa" w:w="4104"/>
            <w:vAlign w:val="center"/>
            <w:shd w:fill="E8EEF5"/>
          </w:tcPr>
          <w:p>
            <w:pPr>
              <w:jc w:val="left"/>
            </w:pPr>
            <w:r/>
            <w:r>
              <w:rPr>
                <w:rFonts w:ascii="Calibri" w:hAnsi="Calibri"/>
                <w:b/>
                <w:color w:val="1F4D78"/>
                <w:sz w:val="20"/>
              </w:rPr>
              <w:t>Important Fields</w:t>
            </w:r>
          </w:p>
        </w:tc>
      </w:tr>
      <w:tr>
        <w:tc>
          <w:tcPr>
            <w:tcW w:type="dxa" w:w="3120"/>
            <w:vAlign w:val="center"/>
          </w:tcPr>
          <w:p>
            <w:pPr>
              <w:jc w:val="left"/>
            </w:pPr>
            <w:r/>
            <w:r>
              <w:rPr>
                <w:rFonts w:ascii="Calibri" w:hAnsi="Calibri"/>
                <w:b w:val="0"/>
                <w:color w:val="1F2937"/>
                <w:sz w:val="20"/>
              </w:rPr>
              <w:t>drugs</w:t>
            </w:r>
          </w:p>
        </w:tc>
        <w:tc>
          <w:tcPr>
            <w:tcW w:type="dxa" w:w="3120"/>
            <w:vAlign w:val="center"/>
          </w:tcPr>
          <w:p>
            <w:pPr>
              <w:jc w:val="left"/>
            </w:pPr>
            <w:r/>
            <w:r>
              <w:rPr>
                <w:rFonts w:ascii="Calibri" w:hAnsi="Calibri"/>
                <w:b w:val="0"/>
                <w:color w:val="1F2937"/>
                <w:sz w:val="20"/>
              </w:rPr>
              <w:t>Stores medication identity and label metadata.</w:t>
            </w:r>
          </w:p>
        </w:tc>
        <w:tc>
          <w:tcPr>
            <w:tcW w:type="dxa" w:w="3120"/>
            <w:vAlign w:val="center"/>
          </w:tcPr>
          <w:p>
            <w:pPr>
              <w:jc w:val="left"/>
            </w:pPr>
            <w:r/>
            <w:r>
              <w:rPr>
                <w:rFonts w:ascii="Calibri" w:hAnsi="Calibri"/>
                <w:b w:val="0"/>
                <w:color w:val="1F2937"/>
                <w:sz w:val="18"/>
              </w:rPr>
              <w:t>brand_name, generic_name, manufacturer, purpose, drug_class, soundex_code, metaphone_code</w:t>
            </w:r>
          </w:p>
        </w:tc>
      </w:tr>
      <w:tr>
        <w:tc>
          <w:tcPr>
            <w:tcW w:type="dxa" w:w="3120"/>
            <w:vAlign w:val="center"/>
          </w:tcPr>
          <w:p>
            <w:pPr>
              <w:jc w:val="left"/>
            </w:pPr>
            <w:r/>
            <w:r>
              <w:rPr>
                <w:rFonts w:ascii="Calibri" w:hAnsi="Calibri"/>
                <w:b w:val="0"/>
                <w:color w:val="1F2937"/>
                <w:sz w:val="20"/>
              </w:rPr>
              <w:t>confusion_risks</w:t>
            </w:r>
          </w:p>
        </w:tc>
        <w:tc>
          <w:tcPr>
            <w:tcW w:type="dxa" w:w="3120"/>
            <w:vAlign w:val="center"/>
          </w:tcPr>
          <w:p>
            <w:pPr>
              <w:jc w:val="left"/>
            </w:pPr>
            <w:r/>
            <w:r>
              <w:rPr>
                <w:rFonts w:ascii="Calibri" w:hAnsi="Calibri"/>
                <w:b w:val="0"/>
                <w:color w:val="1F2937"/>
                <w:sz w:val="20"/>
              </w:rPr>
              <w:t>Stores pairwise drug confusion assessment.</w:t>
            </w:r>
          </w:p>
        </w:tc>
        <w:tc>
          <w:tcPr>
            <w:tcW w:type="dxa" w:w="3120"/>
            <w:vAlign w:val="center"/>
          </w:tcPr>
          <w:p>
            <w:pPr>
              <w:jc w:val="left"/>
            </w:pPr>
            <w:r/>
            <w:r>
              <w:rPr>
                <w:rFonts w:ascii="Calibri" w:hAnsi="Calibri"/>
                <w:b w:val="0"/>
                <w:color w:val="1F2937"/>
                <w:sz w:val="18"/>
              </w:rPr>
              <w:t>source_drug_id, target_drug_id, spelling_similarity, phonetic_similarity, combined_risk, risk_category</w:t>
            </w:r>
          </w:p>
        </w:tc>
      </w:tr>
      <w:tr>
        <w:tc>
          <w:tcPr>
            <w:tcW w:type="dxa" w:w="3120"/>
            <w:vAlign w:val="center"/>
          </w:tcPr>
          <w:p>
            <w:pPr>
              <w:jc w:val="left"/>
            </w:pPr>
            <w:r/>
            <w:r>
              <w:rPr>
                <w:rFonts w:ascii="Calibri" w:hAnsi="Calibri"/>
                <w:b w:val="0"/>
                <w:color w:val="1F2937"/>
                <w:sz w:val="20"/>
              </w:rPr>
              <w:t>analysis_logs</w:t>
            </w:r>
          </w:p>
        </w:tc>
        <w:tc>
          <w:tcPr>
            <w:tcW w:type="dxa" w:w="3120"/>
            <w:vAlign w:val="center"/>
          </w:tcPr>
          <w:p>
            <w:pPr>
              <w:jc w:val="left"/>
            </w:pPr>
            <w:r/>
            <w:r>
              <w:rPr>
                <w:rFonts w:ascii="Calibri" w:hAnsi="Calibri"/>
                <w:b w:val="0"/>
                <w:color w:val="1F2937"/>
                <w:sz w:val="20"/>
              </w:rPr>
              <w:t>Records each user search and analysis outcome.</w:t>
            </w:r>
          </w:p>
        </w:tc>
        <w:tc>
          <w:tcPr>
            <w:tcW w:type="dxa" w:w="3120"/>
            <w:vAlign w:val="center"/>
          </w:tcPr>
          <w:p>
            <w:pPr>
              <w:jc w:val="left"/>
            </w:pPr>
            <w:r/>
            <w:r>
              <w:rPr>
                <w:rFonts w:ascii="Calibri" w:hAnsi="Calibri"/>
                <w:b w:val="0"/>
                <w:color w:val="1F2937"/>
                <w:sz w:val="20"/>
              </w:rPr>
              <w:t>drug_name, similar_drugs_found, highest_risk_score, analysis_duration</w:t>
            </w:r>
          </w:p>
        </w:tc>
      </w:tr>
      <w:tr>
        <w:tc>
          <w:tcPr>
            <w:tcW w:type="dxa" w:w="3120"/>
            <w:vAlign w:val="center"/>
          </w:tcPr>
          <w:p>
            <w:pPr>
              <w:jc w:val="left"/>
            </w:pPr>
            <w:r/>
            <w:r>
              <w:rPr>
                <w:rFonts w:ascii="Calibri" w:hAnsi="Calibri"/>
                <w:b w:val="0"/>
                <w:color w:val="1F2937"/>
                <w:sz w:val="20"/>
              </w:rPr>
              <w:t>known_risky_pairs</w:t>
            </w:r>
          </w:p>
        </w:tc>
        <w:tc>
          <w:tcPr>
            <w:tcW w:type="dxa" w:w="3120"/>
            <w:vAlign w:val="center"/>
          </w:tcPr>
          <w:p>
            <w:pPr>
              <w:jc w:val="left"/>
            </w:pPr>
            <w:r/>
            <w:r>
              <w:rPr>
                <w:rFonts w:ascii="Calibri" w:hAnsi="Calibri"/>
                <w:b w:val="0"/>
                <w:color w:val="1F2937"/>
                <w:sz w:val="20"/>
              </w:rPr>
              <w:t>Seeds known LASA examples for demonstration and comparison.</w:t>
            </w:r>
          </w:p>
        </w:tc>
        <w:tc>
          <w:tcPr>
            <w:tcW w:type="dxa" w:w="3120"/>
            <w:vAlign w:val="center"/>
          </w:tcPr>
          <w:p>
            <w:pPr>
              <w:jc w:val="left"/>
            </w:pPr>
            <w:r/>
            <w:r>
              <w:rPr>
                <w:rFonts w:ascii="Calibri" w:hAnsi="Calibri"/>
                <w:b w:val="0"/>
                <w:color w:val="1F2937"/>
                <w:sz w:val="20"/>
              </w:rPr>
              <w:t>drug1_name, drug2_name, risk_level, reason, source</w:t>
            </w:r>
          </w:p>
        </w:tc>
      </w:tr>
      <w:tr>
        <w:tc>
          <w:tcPr>
            <w:tcW w:type="dxa" w:w="3120"/>
            <w:vAlign w:val="center"/>
          </w:tcPr>
          <w:p>
            <w:pPr>
              <w:jc w:val="left"/>
            </w:pPr>
            <w:r/>
            <w:r>
              <w:rPr>
                <w:rFonts w:ascii="Calibri" w:hAnsi="Calibri"/>
                <w:b w:val="0"/>
                <w:color w:val="1F2937"/>
                <w:sz w:val="20"/>
              </w:rPr>
              <w:t>system_metrics</w:t>
            </w:r>
          </w:p>
        </w:tc>
        <w:tc>
          <w:tcPr>
            <w:tcW w:type="dxa" w:w="3120"/>
            <w:vAlign w:val="center"/>
          </w:tcPr>
          <w:p>
            <w:pPr>
              <w:jc w:val="left"/>
            </w:pPr>
            <w:r/>
            <w:r>
              <w:rPr>
                <w:rFonts w:ascii="Calibri" w:hAnsi="Calibri"/>
                <w:b w:val="0"/>
                <w:color w:val="1F2937"/>
                <w:sz w:val="20"/>
              </w:rPr>
              <w:t>Tracks operational metrics for dashboard monitoring.</w:t>
            </w:r>
          </w:p>
        </w:tc>
        <w:tc>
          <w:tcPr>
            <w:tcW w:type="dxa" w:w="3120"/>
            <w:vAlign w:val="center"/>
          </w:tcPr>
          <w:p>
            <w:pPr>
              <w:jc w:val="left"/>
            </w:pPr>
            <w:r/>
            <w:r>
              <w:rPr>
                <w:rFonts w:ascii="Calibri" w:hAnsi="Calibri"/>
                <w:b w:val="0"/>
                <w:color w:val="1F2937"/>
                <w:sz w:val="20"/>
              </w:rPr>
              <w:t>metric_name, metric_value, timestamp</w:t>
            </w:r>
          </w:p>
        </w:tc>
      </w:tr>
    </w:tbl>
    <w:p/>
    <w:p>
      <w:pPr>
        <w:pStyle w:val="Heading1"/>
      </w:pPr>
      <w:r>
        <w:t>6. Application Workflow</w:t>
      </w:r>
    </w:p>
    <w:p>
      <w:pPr>
        <w:pStyle w:val="ListNumber"/>
        <w:spacing w:after="80"/>
      </w:pPr>
      <w:r>
        <w:t>User opens the Streamlit frontend and enters a medication name.</w:t>
      </w:r>
    </w:p>
    <w:p>
      <w:pPr>
        <w:pStyle w:val="ListNumber"/>
        <w:spacing w:after="80"/>
      </w:pPr>
      <w:r>
        <w:t>Frontend sends an HTTP request to the FastAPI backend search endpoint.</w:t>
      </w:r>
    </w:p>
    <w:p>
      <w:pPr>
        <w:pStyle w:val="ListNumber"/>
        <w:spacing w:after="80"/>
      </w:pPr>
      <w:r>
        <w:t>Backend checks the local database for exact, partial, generic, or phonetic matches.</w:t>
      </w:r>
    </w:p>
    <w:p>
      <w:pPr>
        <w:pStyle w:val="ListNumber"/>
        <w:spacing w:after="80"/>
      </w:pPr>
      <w:r>
        <w:t>If the drug is missing, backend attempts to fetch information from the OpenFDA Drug Label API.</w:t>
      </w:r>
    </w:p>
    <w:p>
      <w:pPr>
        <w:pStyle w:val="ListNumber"/>
        <w:spacing w:after="80"/>
      </w:pPr>
      <w:r>
        <w:t>The analyzer compares the selected drug against existing database drugs.</w:t>
      </w:r>
    </w:p>
    <w:p>
      <w:pPr>
        <w:pStyle w:val="ListNumber"/>
        <w:spacing w:after="80"/>
      </w:pPr>
      <w:r>
        <w:t>The system calculates spelling, phonetic, and therapeutic context scores.</w:t>
      </w:r>
    </w:p>
    <w:p>
      <w:pPr>
        <w:pStyle w:val="ListNumber"/>
        <w:spacing w:after="80"/>
      </w:pPr>
      <w:r>
        <w:t>A combined risk score and category are returned to the frontend.</w:t>
      </w:r>
    </w:p>
    <w:p>
      <w:pPr>
        <w:pStyle w:val="ListNumber"/>
        <w:spacing w:after="80"/>
      </w:pPr>
      <w:r>
        <w:t>Frontend displays similar drugs, risk badges, charts, heatmaps, and monitoring metrics.</w:t>
      </w:r>
    </w:p>
    <w:p>
      <w:pPr>
        <w:pStyle w:val="Heading1"/>
      </w:pPr>
      <w:r>
        <w:t>7. Important API Endpoints</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880"/>
            <w:vAlign w:val="center"/>
            <w:shd w:fill="E8EEF5"/>
          </w:tcPr>
          <w:p>
            <w:pPr>
              <w:jc w:val="left"/>
            </w:pPr>
            <w:r/>
            <w:r>
              <w:rPr>
                <w:rFonts w:ascii="Calibri" w:hAnsi="Calibri"/>
                <w:b/>
                <w:color w:val="1F4D78"/>
                <w:sz w:val="20"/>
              </w:rPr>
              <w:t>Endpoint</w:t>
            </w:r>
          </w:p>
        </w:tc>
        <w:tc>
          <w:tcPr>
            <w:tcW w:type="dxa" w:w="1152"/>
            <w:vAlign w:val="center"/>
            <w:shd w:fill="E8EEF5"/>
          </w:tcPr>
          <w:p>
            <w:pPr>
              <w:jc w:val="left"/>
            </w:pPr>
            <w:r/>
            <w:r>
              <w:rPr>
                <w:rFonts w:ascii="Calibri" w:hAnsi="Calibri"/>
                <w:b/>
                <w:color w:val="1F4D78"/>
                <w:sz w:val="20"/>
              </w:rPr>
              <w:t>Method</w:t>
            </w:r>
          </w:p>
        </w:tc>
        <w:tc>
          <w:tcPr>
            <w:tcW w:type="dxa" w:w="5328"/>
            <w:vAlign w:val="center"/>
            <w:shd w:fill="E8EEF5"/>
          </w:tcPr>
          <w:p>
            <w:pPr>
              <w:jc w:val="left"/>
            </w:pPr>
            <w:r/>
            <w:r>
              <w:rPr>
                <w:rFonts w:ascii="Calibri" w:hAnsi="Calibri"/>
                <w:b/>
                <w:color w:val="1F4D78"/>
                <w:sz w:val="20"/>
              </w:rPr>
              <w:t>Purpose</w:t>
            </w:r>
          </w:p>
        </w:tc>
      </w:tr>
      <w:tr>
        <w:tc>
          <w:tcPr>
            <w:tcW w:type="dxa" w:w="3120"/>
            <w:vAlign w:val="center"/>
          </w:tcPr>
          <w:p>
            <w:pPr>
              <w:jc w:val="left"/>
            </w:pPr>
            <w:r/>
            <w:r>
              <w:rPr>
                <w:rFonts w:ascii="Calibri" w:hAnsi="Calibri"/>
                <w:b w:val="0"/>
                <w:color w:val="1F2937"/>
                <w:sz w:val="20"/>
              </w:rPr>
              <w:t>/</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API status and endpoint list.</w:t>
            </w:r>
          </w:p>
        </w:tc>
      </w:tr>
      <w:tr>
        <w:tc>
          <w:tcPr>
            <w:tcW w:type="dxa" w:w="3120"/>
            <w:vAlign w:val="center"/>
          </w:tcPr>
          <w:p>
            <w:pPr>
              <w:jc w:val="left"/>
            </w:pPr>
            <w:r/>
            <w:r>
              <w:rPr>
                <w:rFonts w:ascii="Calibri" w:hAnsi="Calibri"/>
                <w:b w:val="0"/>
                <w:color w:val="1F2937"/>
                <w:sz w:val="20"/>
              </w:rPr>
              <w:t>/health</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Database connectivity and basic system health check.</w:t>
            </w:r>
          </w:p>
        </w:tc>
      </w:tr>
      <w:tr>
        <w:tc>
          <w:tcPr>
            <w:tcW w:type="dxa" w:w="3120"/>
            <w:vAlign w:val="center"/>
          </w:tcPr>
          <w:p>
            <w:pPr>
              <w:jc w:val="left"/>
            </w:pPr>
            <w:r/>
            <w:r>
              <w:rPr>
                <w:rFonts w:ascii="Calibri" w:hAnsi="Calibri"/>
                <w:b w:val="0"/>
                <w:color w:val="1F2937"/>
                <w:sz w:val="20"/>
              </w:rPr>
              <w:t>/api/search/{drug_name}</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Main drug search and LASA risk analysis endpoint.</w:t>
            </w:r>
          </w:p>
        </w:tc>
      </w:tr>
      <w:tr>
        <w:tc>
          <w:tcPr>
            <w:tcW w:type="dxa" w:w="3120"/>
            <w:vAlign w:val="center"/>
          </w:tcPr>
          <w:p>
            <w:pPr>
              <w:jc w:val="left"/>
            </w:pPr>
            <w:r/>
            <w:r>
              <w:rPr>
                <w:rFonts w:ascii="Calibri" w:hAnsi="Calibri"/>
                <w:b w:val="0"/>
                <w:color w:val="1F2937"/>
                <w:sz w:val="20"/>
              </w:rPr>
              <w:t>/api/metrics</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Dashboard metrics for total drugs, analyses, high-risk pairs, and recent searches.</w:t>
            </w:r>
          </w:p>
        </w:tc>
      </w:tr>
      <w:tr>
        <w:tc>
          <w:tcPr>
            <w:tcW w:type="dxa" w:w="3120"/>
            <w:vAlign w:val="center"/>
          </w:tcPr>
          <w:p>
            <w:pPr>
              <w:jc w:val="left"/>
            </w:pPr>
            <w:r/>
            <w:r>
              <w:rPr>
                <w:rFonts w:ascii="Calibri" w:hAnsi="Calibri"/>
                <w:b w:val="0"/>
                <w:color w:val="1F2937"/>
                <w:sz w:val="20"/>
              </w:rPr>
              <w:t>/api/top-risks</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Top risky drug pairs ordered by combined risk score.</w:t>
            </w:r>
          </w:p>
        </w:tc>
      </w:tr>
      <w:tr>
        <w:tc>
          <w:tcPr>
            <w:tcW w:type="dxa" w:w="3120"/>
            <w:vAlign w:val="center"/>
          </w:tcPr>
          <w:p>
            <w:pPr>
              <w:jc w:val="left"/>
            </w:pPr>
            <w:r/>
            <w:r>
              <w:rPr>
                <w:rFonts w:ascii="Calibri" w:hAnsi="Calibri"/>
                <w:b w:val="0"/>
                <w:color w:val="1F2937"/>
                <w:sz w:val="20"/>
              </w:rPr>
              <w:t>/api/risk-breakdown</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Risk category distribution.</w:t>
            </w:r>
          </w:p>
        </w:tc>
      </w:tr>
      <w:tr>
        <w:tc>
          <w:tcPr>
            <w:tcW w:type="dxa" w:w="3120"/>
            <w:vAlign w:val="center"/>
          </w:tcPr>
          <w:p>
            <w:pPr>
              <w:jc w:val="left"/>
            </w:pPr>
            <w:r/>
            <w:r>
              <w:rPr>
                <w:rFonts w:ascii="Calibri" w:hAnsi="Calibri"/>
                <w:b w:val="0"/>
                <w:color w:val="1F2937"/>
                <w:sz w:val="20"/>
              </w:rPr>
              <w:t>/api/heatmap</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Matrix data for drug confusion heatmap.</w:t>
            </w:r>
          </w:p>
        </w:tc>
      </w:tr>
      <w:tr>
        <w:tc>
          <w:tcPr>
            <w:tcW w:type="dxa" w:w="3120"/>
            <w:vAlign w:val="center"/>
          </w:tcPr>
          <w:p>
            <w:pPr>
              <w:jc w:val="left"/>
            </w:pPr>
            <w:r/>
            <w:r>
              <w:rPr>
                <w:rFonts w:ascii="Calibri" w:hAnsi="Calibri"/>
                <w:b w:val="0"/>
                <w:color w:val="1F2937"/>
                <w:sz w:val="20"/>
              </w:rPr>
              <w:t>/api/realtime-events</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Recent dashboard event feed without WebSocket dependency.</w:t>
            </w:r>
          </w:p>
        </w:tc>
      </w:tr>
      <w:tr>
        <w:tc>
          <w:tcPr>
            <w:tcW w:type="dxa" w:w="3120"/>
            <w:vAlign w:val="center"/>
          </w:tcPr>
          <w:p>
            <w:pPr>
              <w:jc w:val="left"/>
            </w:pPr>
            <w:r/>
            <w:r>
              <w:rPr>
                <w:rFonts w:ascii="Calibri" w:hAnsi="Calibri"/>
                <w:b w:val="0"/>
                <w:color w:val="1F2937"/>
                <w:sz w:val="20"/>
              </w:rPr>
              <w:t>/api/seed-database</w:t>
            </w:r>
          </w:p>
        </w:tc>
        <w:tc>
          <w:tcPr>
            <w:tcW w:type="dxa" w:w="3120"/>
            <w:vAlign w:val="center"/>
          </w:tcPr>
          <w:p>
            <w:pPr>
              <w:jc w:val="left"/>
            </w:pPr>
            <w:r/>
            <w:r>
              <w:rPr>
                <w:rFonts w:ascii="Calibri" w:hAnsi="Calibri"/>
                <w:b w:val="0"/>
                <w:color w:val="1F2937"/>
                <w:sz w:val="20"/>
              </w:rPr>
              <w:t>POST</w:t>
            </w:r>
          </w:p>
        </w:tc>
        <w:tc>
          <w:tcPr>
            <w:tcW w:type="dxa" w:w="3120"/>
            <w:vAlign w:val="center"/>
          </w:tcPr>
          <w:p>
            <w:pPr>
              <w:jc w:val="left"/>
            </w:pPr>
            <w:r/>
            <w:r>
              <w:rPr>
                <w:rFonts w:ascii="Calibri" w:hAnsi="Calibri"/>
                <w:b w:val="0"/>
                <w:color w:val="1F2937"/>
                <w:sz w:val="20"/>
              </w:rPr>
              <w:t>Seeds sample drugs and known risky pairs.</w:t>
            </w:r>
          </w:p>
        </w:tc>
      </w:tr>
      <w:tr>
        <w:tc>
          <w:tcPr>
            <w:tcW w:type="dxa" w:w="3120"/>
            <w:vAlign w:val="center"/>
          </w:tcPr>
          <w:p>
            <w:pPr>
              <w:jc w:val="left"/>
            </w:pPr>
            <w:r/>
            <w:r>
              <w:rPr>
                <w:rFonts w:ascii="Calibri" w:hAnsi="Calibri"/>
                <w:b w:val="0"/>
                <w:color w:val="1F2937"/>
                <w:sz w:val="20"/>
              </w:rPr>
              <w:t>/api/drugs</w:t>
            </w:r>
          </w:p>
        </w:tc>
        <w:tc>
          <w:tcPr>
            <w:tcW w:type="dxa" w:w="3120"/>
            <w:vAlign w:val="center"/>
          </w:tcPr>
          <w:p>
            <w:pPr>
              <w:jc w:val="left"/>
            </w:pPr>
            <w:r/>
            <w:r>
              <w:rPr>
                <w:rFonts w:ascii="Calibri" w:hAnsi="Calibri"/>
                <w:b w:val="0"/>
                <w:color w:val="1F2937"/>
                <w:sz w:val="20"/>
              </w:rPr>
              <w:t>GET</w:t>
            </w:r>
          </w:p>
        </w:tc>
        <w:tc>
          <w:tcPr>
            <w:tcW w:type="dxa" w:w="3120"/>
            <w:vAlign w:val="center"/>
          </w:tcPr>
          <w:p>
            <w:pPr>
              <w:jc w:val="left"/>
            </w:pPr>
            <w:r/>
            <w:r>
              <w:rPr>
                <w:rFonts w:ascii="Calibri" w:hAnsi="Calibri"/>
                <w:b w:val="0"/>
                <w:color w:val="1F2937"/>
                <w:sz w:val="20"/>
              </w:rPr>
              <w:t>Lists stored drugs with pagination.</w:t>
            </w:r>
          </w:p>
        </w:tc>
      </w:tr>
    </w:tbl>
    <w:p/>
    <w:p>
      <w:pPr>
        <w:pStyle w:val="Heading1"/>
      </w:pPr>
      <w:r>
        <w:t>8. Project Strengths</w:t>
      </w:r>
    </w:p>
    <w:p>
      <w:pPr>
        <w:pStyle w:val="ListBullet"/>
        <w:spacing w:after="80"/>
      </w:pPr>
      <w:r>
        <w:t>Clear mapping between a real healthcare problem and a technical solution.</w:t>
      </w:r>
    </w:p>
    <w:p>
      <w:pPr>
        <w:pStyle w:val="ListBullet"/>
        <w:spacing w:after="80"/>
      </w:pPr>
      <w:r>
        <w:t>Normalized relational database design suitable for an advanced database course project.</w:t>
      </w:r>
    </w:p>
    <w:p>
      <w:pPr>
        <w:pStyle w:val="ListBullet"/>
        <w:spacing w:after="80"/>
      </w:pPr>
      <w:r>
        <w:t>Multiple algorithmic signals instead of relying on only one string-matching method.</w:t>
      </w:r>
    </w:p>
    <w:p>
      <w:pPr>
        <w:pStyle w:val="ListBullet"/>
        <w:spacing w:after="80"/>
      </w:pPr>
      <w:r>
        <w:t>OpenFDA integration gives the system a practical external drug-data source.</w:t>
      </w:r>
    </w:p>
    <w:p>
      <w:pPr>
        <w:pStyle w:val="ListBullet"/>
        <w:spacing w:after="80"/>
      </w:pPr>
      <w:r>
        <w:t>Dashboard visualizations make risk patterns easier to understand for non-technical healthcare users.</w:t>
      </w:r>
    </w:p>
    <w:p>
      <w:pPr>
        <w:pStyle w:val="ListBullet"/>
        <w:spacing w:after="80"/>
      </w:pPr>
      <w:r>
        <w:t>Final version avoids WebSocket complexity and uses more reliable REST-based dashboard refresh.</w:t>
      </w:r>
    </w:p>
    <w:p>
      <w:pPr>
        <w:pStyle w:val="Heading1"/>
      </w:pPr>
      <w:r>
        <w:t>9. Recommended Improvements</w:t>
      </w:r>
    </w:p>
    <w:p>
      <w:pPr>
        <w:pStyle w:val="ListBullet"/>
        <w:spacing w:after="80"/>
      </w:pPr>
      <w:r>
        <w:t>Move hard-coded database credentials into environment variables.</w:t>
      </w:r>
    </w:p>
    <w:p>
      <w:pPr>
        <w:pStyle w:val="ListBullet"/>
        <w:spacing w:after="80"/>
      </w:pPr>
      <w:r>
        <w:t>Update requirements.txt to include the actual dependencies used by the backend and frontend.</w:t>
      </w:r>
    </w:p>
    <w:p>
      <w:pPr>
        <w:pStyle w:val="ListBullet"/>
        <w:spacing w:after="80"/>
      </w:pPr>
      <w:r>
        <w:t>Add authentication and role-based access before production deployment.</w:t>
      </w:r>
    </w:p>
    <w:p>
      <w:pPr>
        <w:pStyle w:val="ListBullet"/>
        <w:spacing w:after="80"/>
      </w:pPr>
      <w:r>
        <w:t>Add automated tests for the risk scoring algorithm and API endpoints.</w:t>
      </w:r>
    </w:p>
    <w:p>
      <w:pPr>
        <w:pStyle w:val="ListBullet"/>
        <w:spacing w:after="80"/>
      </w:pPr>
      <w:r>
        <w:t>Replace demo fallback metrics with clearly labeled sample mode in production.</w:t>
      </w:r>
    </w:p>
    <w:p>
      <w:pPr>
        <w:pStyle w:val="ListBullet"/>
        <w:spacing w:after="80"/>
      </w:pPr>
      <w:r>
        <w:t>Add audit logs and exportable reports for hospital medication-safety committees.</w:t>
      </w:r>
    </w:p>
    <w:p>
      <w:pPr>
        <w:pStyle w:val="Heading1"/>
      </w:pPr>
      <w:r>
        <w:t>10. Conclusion</w:t>
      </w:r>
    </w:p>
    <w:p>
      <w:r>
        <w:t>MediNomix is a strong semester project because it combines database design, API integration, algorithmic analysis, and healthcare-focused usability. The best final code path is the non-WebSocket version, with FastAPI backend services and a Streamlit frontend that communicates through REST endpoints.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MediNomix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