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CC86" w14:textId="77777777" w:rsidR="0001129D" w:rsidRDefault="00D5488E">
      <w:pPr>
        <w:pStyle w:val="Title"/>
      </w:pPr>
      <w:r>
        <w:t>Customer Churn Analysis Report</w:t>
      </w:r>
    </w:p>
    <w:p w14:paraId="47821396" w14:textId="7C374BDE" w:rsidR="0001129D" w:rsidRDefault="00D5488E">
      <w:r>
        <w:t>Prepared by: [Precious Orhue</w:t>
      </w:r>
      <w:r>
        <w:t>]</w:t>
      </w:r>
    </w:p>
    <w:p w14:paraId="64363257" w14:textId="41B57354" w:rsidR="0001129D" w:rsidRDefault="00D5488E">
      <w:r>
        <w:t>Date: [26/06/2025</w:t>
      </w:r>
      <w:r>
        <w:t>]</w:t>
      </w:r>
    </w:p>
    <w:p w14:paraId="0E360D13" w14:textId="77777777" w:rsidR="0001129D" w:rsidRDefault="00D5488E">
      <w:pPr>
        <w:pStyle w:val="Heading1"/>
      </w:pPr>
      <w:r>
        <w:t>1. Executive Summary</w:t>
      </w:r>
    </w:p>
    <w:p w14:paraId="4AA040BB" w14:textId="77777777" w:rsidR="0001129D" w:rsidRDefault="00D5488E">
      <w:r>
        <w:t xml:space="preserve">This report presents a detailed analysis of customer churn based on key factors such as region, age group, number of products used, account balance, and </w:t>
      </w:r>
      <w:r>
        <w:t>gender. The findings highlight significant churn risks among specific customer segments, particularly high-value and highly engaged customers.</w:t>
      </w:r>
    </w:p>
    <w:p w14:paraId="00E033EF" w14:textId="77777777" w:rsidR="0001129D" w:rsidRDefault="00D5488E">
      <w:pPr>
        <w:pStyle w:val="Heading1"/>
      </w:pPr>
      <w:r>
        <w:t>2. Key Findings</w:t>
      </w:r>
    </w:p>
    <w:p w14:paraId="3434FDD0" w14:textId="77777777" w:rsidR="0001129D" w:rsidRDefault="00D5488E">
      <w:pPr>
        <w:pStyle w:val="Heading2"/>
      </w:pPr>
      <w:r>
        <w:t>2.1 Churn by Region</w:t>
      </w:r>
    </w:p>
    <w:p w14:paraId="6FF9F1EC" w14:textId="77777777" w:rsidR="0001129D" w:rsidRDefault="00D5488E">
      <w:r>
        <w:t>Germany has the highest churn rate (32.6%), followed by France and Spain (~16</w:t>
      </w:r>
      <w:r>
        <w:t>%). Germany requires urgent attention.</w:t>
      </w:r>
    </w:p>
    <w:p w14:paraId="62C2DC83" w14:textId="77777777" w:rsidR="0001129D" w:rsidRDefault="00D5488E">
      <w:pPr>
        <w:pStyle w:val="Heading2"/>
      </w:pPr>
      <w:r>
        <w:t>2.2 Churn by Age Group</w:t>
      </w:r>
    </w:p>
    <w:p w14:paraId="689273DD" w14:textId="77777777" w:rsidR="0001129D" w:rsidRDefault="00D5488E">
      <w:r>
        <w:t>The 41–60 age group has the highest churn rate (38.7%), showing a need for targeted retention.</w:t>
      </w:r>
    </w:p>
    <w:p w14:paraId="5573E32A" w14:textId="77777777" w:rsidR="0001129D" w:rsidRDefault="00D5488E">
      <w:pPr>
        <w:pStyle w:val="Heading2"/>
      </w:pPr>
      <w:r>
        <w:t>2.3 Churn by Number of Products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1129D" w14:paraId="09C31BA2" w14:textId="77777777">
        <w:tc>
          <w:tcPr>
            <w:tcW w:w="2160" w:type="dxa"/>
          </w:tcPr>
          <w:p w14:paraId="59DEA217" w14:textId="77777777" w:rsidR="0001129D" w:rsidRDefault="00D5488E">
            <w:r>
              <w:t>Products Used</w:t>
            </w:r>
          </w:p>
        </w:tc>
        <w:tc>
          <w:tcPr>
            <w:tcW w:w="2160" w:type="dxa"/>
          </w:tcPr>
          <w:p w14:paraId="4CFD3268" w14:textId="77777777" w:rsidR="0001129D" w:rsidRDefault="00D5488E">
            <w:r>
              <w:t>Churned</w:t>
            </w:r>
          </w:p>
        </w:tc>
        <w:tc>
          <w:tcPr>
            <w:tcW w:w="2160" w:type="dxa"/>
          </w:tcPr>
          <w:p w14:paraId="2883A8C2" w14:textId="77777777" w:rsidR="0001129D" w:rsidRDefault="00D5488E">
            <w:r>
              <w:t>Stayed</w:t>
            </w:r>
          </w:p>
        </w:tc>
        <w:tc>
          <w:tcPr>
            <w:tcW w:w="2160" w:type="dxa"/>
          </w:tcPr>
          <w:p w14:paraId="5DEDE04F" w14:textId="77777777" w:rsidR="0001129D" w:rsidRDefault="00D5488E">
            <w:r>
              <w:t>Churn Rate</w:t>
            </w:r>
          </w:p>
        </w:tc>
      </w:tr>
      <w:tr w:rsidR="0001129D" w14:paraId="4A024AFE" w14:textId="77777777">
        <w:tc>
          <w:tcPr>
            <w:tcW w:w="2160" w:type="dxa"/>
          </w:tcPr>
          <w:p w14:paraId="1D07BCAB" w14:textId="77777777" w:rsidR="0001129D" w:rsidRDefault="00D5488E">
            <w:r>
              <w:t>4</w:t>
            </w:r>
          </w:p>
        </w:tc>
        <w:tc>
          <w:tcPr>
            <w:tcW w:w="2160" w:type="dxa"/>
          </w:tcPr>
          <w:p w14:paraId="4CDDA30B" w14:textId="77777777" w:rsidR="0001129D" w:rsidRDefault="00D5488E">
            <w:r>
              <w:t>60</w:t>
            </w:r>
          </w:p>
        </w:tc>
        <w:tc>
          <w:tcPr>
            <w:tcW w:w="2160" w:type="dxa"/>
          </w:tcPr>
          <w:p w14:paraId="6DC4BC4D" w14:textId="77777777" w:rsidR="0001129D" w:rsidRDefault="00D5488E">
            <w:r>
              <w:t>0</w:t>
            </w:r>
          </w:p>
        </w:tc>
        <w:tc>
          <w:tcPr>
            <w:tcW w:w="2160" w:type="dxa"/>
          </w:tcPr>
          <w:p w14:paraId="2F78D7F9" w14:textId="77777777" w:rsidR="0001129D" w:rsidRDefault="00D5488E">
            <w:r>
              <w:t>100%</w:t>
            </w:r>
          </w:p>
        </w:tc>
      </w:tr>
      <w:tr w:rsidR="0001129D" w14:paraId="705DC940" w14:textId="77777777">
        <w:tc>
          <w:tcPr>
            <w:tcW w:w="2160" w:type="dxa"/>
          </w:tcPr>
          <w:p w14:paraId="5503BC74" w14:textId="77777777" w:rsidR="0001129D" w:rsidRDefault="00D5488E">
            <w:r>
              <w:t>3</w:t>
            </w:r>
          </w:p>
        </w:tc>
        <w:tc>
          <w:tcPr>
            <w:tcW w:w="2160" w:type="dxa"/>
          </w:tcPr>
          <w:p w14:paraId="0B61813D" w14:textId="77777777" w:rsidR="0001129D" w:rsidRDefault="00D5488E">
            <w:r>
              <w:t>220</w:t>
            </w:r>
          </w:p>
        </w:tc>
        <w:tc>
          <w:tcPr>
            <w:tcW w:w="2160" w:type="dxa"/>
          </w:tcPr>
          <w:p w14:paraId="36A7C57F" w14:textId="77777777" w:rsidR="0001129D" w:rsidRDefault="00D5488E">
            <w:r>
              <w:t>46</w:t>
            </w:r>
          </w:p>
        </w:tc>
        <w:tc>
          <w:tcPr>
            <w:tcW w:w="2160" w:type="dxa"/>
          </w:tcPr>
          <w:p w14:paraId="5D5065C9" w14:textId="77777777" w:rsidR="0001129D" w:rsidRDefault="00D5488E">
            <w:r>
              <w:t>82.7%</w:t>
            </w:r>
          </w:p>
        </w:tc>
      </w:tr>
      <w:tr w:rsidR="0001129D" w14:paraId="7F0397C0" w14:textId="77777777">
        <w:tc>
          <w:tcPr>
            <w:tcW w:w="2160" w:type="dxa"/>
          </w:tcPr>
          <w:p w14:paraId="58FE9868" w14:textId="77777777" w:rsidR="0001129D" w:rsidRDefault="00D5488E">
            <w:r>
              <w:t>2</w:t>
            </w:r>
          </w:p>
        </w:tc>
        <w:tc>
          <w:tcPr>
            <w:tcW w:w="2160" w:type="dxa"/>
          </w:tcPr>
          <w:p w14:paraId="3A29A6DF" w14:textId="77777777" w:rsidR="0001129D" w:rsidRDefault="00D5488E">
            <w:r>
              <w:t>348</w:t>
            </w:r>
          </w:p>
        </w:tc>
        <w:tc>
          <w:tcPr>
            <w:tcW w:w="2160" w:type="dxa"/>
          </w:tcPr>
          <w:p w14:paraId="6AF391B9" w14:textId="77777777" w:rsidR="0001129D" w:rsidRDefault="00D5488E">
            <w:r>
              <w:t>4,200</w:t>
            </w:r>
          </w:p>
        </w:tc>
        <w:tc>
          <w:tcPr>
            <w:tcW w:w="2160" w:type="dxa"/>
          </w:tcPr>
          <w:p w14:paraId="1D2A68CF" w14:textId="77777777" w:rsidR="0001129D" w:rsidRDefault="00D5488E">
            <w:r>
              <w:t>7.6%</w:t>
            </w:r>
          </w:p>
        </w:tc>
      </w:tr>
      <w:tr w:rsidR="0001129D" w14:paraId="0A5040C2" w14:textId="77777777">
        <w:tc>
          <w:tcPr>
            <w:tcW w:w="2160" w:type="dxa"/>
          </w:tcPr>
          <w:p w14:paraId="47E196B0" w14:textId="77777777" w:rsidR="0001129D" w:rsidRDefault="00D5488E">
            <w:r>
              <w:t>1</w:t>
            </w:r>
          </w:p>
        </w:tc>
        <w:tc>
          <w:tcPr>
            <w:tcW w:w="2160" w:type="dxa"/>
          </w:tcPr>
          <w:p w14:paraId="345EB42E" w14:textId="77777777" w:rsidR="0001129D" w:rsidRDefault="00D5488E">
            <w:r>
              <w:t>1,400</w:t>
            </w:r>
          </w:p>
        </w:tc>
        <w:tc>
          <w:tcPr>
            <w:tcW w:w="2160" w:type="dxa"/>
          </w:tcPr>
          <w:p w14:paraId="3033252C" w14:textId="77777777" w:rsidR="0001129D" w:rsidRDefault="00D5488E">
            <w:r>
              <w:t>3,700</w:t>
            </w:r>
          </w:p>
        </w:tc>
        <w:tc>
          <w:tcPr>
            <w:tcW w:w="2160" w:type="dxa"/>
          </w:tcPr>
          <w:p w14:paraId="3525E85E" w14:textId="77777777" w:rsidR="0001129D" w:rsidRDefault="00D5488E">
            <w:r>
              <w:t>27.5%</w:t>
            </w:r>
          </w:p>
        </w:tc>
      </w:tr>
    </w:tbl>
    <w:p w14:paraId="43D10773" w14:textId="77777777" w:rsidR="0001129D" w:rsidRDefault="00D5488E">
      <w:pPr>
        <w:pStyle w:val="Heading2"/>
      </w:pPr>
      <w:r>
        <w:t>2.4 Churn by Gender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1129D" w14:paraId="4E12E206" w14:textId="77777777">
        <w:tc>
          <w:tcPr>
            <w:tcW w:w="2160" w:type="dxa"/>
          </w:tcPr>
          <w:p w14:paraId="4517B0BA" w14:textId="77777777" w:rsidR="0001129D" w:rsidRDefault="00D5488E">
            <w:r>
              <w:t>Gender</w:t>
            </w:r>
          </w:p>
        </w:tc>
        <w:tc>
          <w:tcPr>
            <w:tcW w:w="2160" w:type="dxa"/>
          </w:tcPr>
          <w:p w14:paraId="38E3A344" w14:textId="77777777" w:rsidR="0001129D" w:rsidRDefault="00D5488E">
            <w:r>
              <w:t>Churned</w:t>
            </w:r>
          </w:p>
        </w:tc>
        <w:tc>
          <w:tcPr>
            <w:tcW w:w="2160" w:type="dxa"/>
          </w:tcPr>
          <w:p w14:paraId="0FFB3D6D" w14:textId="77777777" w:rsidR="0001129D" w:rsidRDefault="00D5488E">
            <w:r>
              <w:t>Stayed</w:t>
            </w:r>
          </w:p>
        </w:tc>
        <w:tc>
          <w:tcPr>
            <w:tcW w:w="2160" w:type="dxa"/>
          </w:tcPr>
          <w:p w14:paraId="34702A48" w14:textId="77777777" w:rsidR="0001129D" w:rsidRDefault="00D5488E">
            <w:r>
              <w:t>Churn Rate</w:t>
            </w:r>
          </w:p>
        </w:tc>
      </w:tr>
      <w:tr w:rsidR="0059448F" w14:paraId="1AE84C31" w14:textId="77777777">
        <w:tc>
          <w:tcPr>
            <w:tcW w:w="2160" w:type="dxa"/>
          </w:tcPr>
          <w:p w14:paraId="4575E02A" w14:textId="77777777" w:rsidR="0059448F" w:rsidRDefault="0059448F" w:rsidP="0059448F">
            <w:r>
              <w:t>Female</w:t>
            </w:r>
          </w:p>
        </w:tc>
        <w:tc>
          <w:tcPr>
            <w:tcW w:w="2160" w:type="dxa"/>
          </w:tcPr>
          <w:p w14:paraId="562578E2" w14:textId="445C87DE" w:rsidR="0059448F" w:rsidRDefault="0059448F" w:rsidP="0059448F">
            <w:r>
              <w:t>1,100</w:t>
            </w:r>
          </w:p>
        </w:tc>
        <w:tc>
          <w:tcPr>
            <w:tcW w:w="2160" w:type="dxa"/>
          </w:tcPr>
          <w:p w14:paraId="769B56D5" w14:textId="75B06CE1" w:rsidR="0059448F" w:rsidRDefault="0059448F" w:rsidP="0059448F">
            <w:r>
              <w:t>3,400</w:t>
            </w:r>
          </w:p>
        </w:tc>
        <w:tc>
          <w:tcPr>
            <w:tcW w:w="2160" w:type="dxa"/>
          </w:tcPr>
          <w:p w14:paraId="405F1653" w14:textId="32CEDC27" w:rsidR="0059448F" w:rsidRDefault="0059448F" w:rsidP="0059448F">
            <w:r>
              <w:t>24.4%</w:t>
            </w:r>
          </w:p>
        </w:tc>
      </w:tr>
      <w:tr w:rsidR="0059448F" w14:paraId="1E47C5EB" w14:textId="77777777">
        <w:tc>
          <w:tcPr>
            <w:tcW w:w="2160" w:type="dxa"/>
          </w:tcPr>
          <w:p w14:paraId="5CBFA5B4" w14:textId="77777777" w:rsidR="0059448F" w:rsidRDefault="0059448F" w:rsidP="0059448F">
            <w:r>
              <w:t>Male</w:t>
            </w:r>
          </w:p>
        </w:tc>
        <w:tc>
          <w:tcPr>
            <w:tcW w:w="2160" w:type="dxa"/>
          </w:tcPr>
          <w:p w14:paraId="3F44C32E" w14:textId="06D0E72A" w:rsidR="0059448F" w:rsidRDefault="0059448F" w:rsidP="0059448F">
            <w:r>
              <w:t>898</w:t>
            </w:r>
          </w:p>
        </w:tc>
        <w:tc>
          <w:tcPr>
            <w:tcW w:w="2160" w:type="dxa"/>
          </w:tcPr>
          <w:p w14:paraId="4C009EEA" w14:textId="57153C59" w:rsidR="0059448F" w:rsidRDefault="0059448F" w:rsidP="0059448F">
            <w:r>
              <w:t>4,600</w:t>
            </w:r>
          </w:p>
        </w:tc>
        <w:tc>
          <w:tcPr>
            <w:tcW w:w="2160" w:type="dxa"/>
          </w:tcPr>
          <w:p w14:paraId="4EDD63BA" w14:textId="38C0EB3F" w:rsidR="0059448F" w:rsidRDefault="0059448F" w:rsidP="0059448F">
            <w:r>
              <w:t>16.3%</w:t>
            </w:r>
          </w:p>
        </w:tc>
      </w:tr>
    </w:tbl>
    <w:p w14:paraId="428078B3" w14:textId="77777777" w:rsidR="0001129D" w:rsidRDefault="00D5488E">
      <w:pPr>
        <w:pStyle w:val="Heading2"/>
      </w:pPr>
      <w:r>
        <w:lastRenderedPageBreak/>
        <w:t>2.5 Churn by Account Balance</w:t>
      </w:r>
    </w:p>
    <w:p w14:paraId="55A34AEF" w14:textId="77777777" w:rsidR="0001129D" w:rsidRDefault="00D5488E">
      <w:r>
        <w:t xml:space="preserve">Churned customers have higher average balances (€91,063.83) than </w:t>
      </w:r>
      <w:r>
        <w:t>retained ones (€72,752.50).</w:t>
      </w:r>
    </w:p>
    <w:p w14:paraId="747E9FD8" w14:textId="77777777" w:rsidR="0001129D" w:rsidRDefault="00D5488E">
      <w:pPr>
        <w:pStyle w:val="Heading1"/>
      </w:pPr>
      <w:r>
        <w:t>3. Recommendations</w:t>
      </w:r>
    </w:p>
    <w:p w14:paraId="38C70653" w14:textId="09562217" w:rsidR="0001129D" w:rsidRDefault="00D5488E">
      <w:r>
        <w:t>1. Launch targeted retention campaigns in Germany and among high-churn age groups.</w:t>
      </w:r>
      <w:r>
        <w:br/>
        <w:t>2. Improve experience for multi-product users</w:t>
      </w:r>
      <w:r w:rsidR="0059448F">
        <w:t xml:space="preserve"> to increase satisfaction</w:t>
      </w:r>
      <w:r>
        <w:t>.</w:t>
      </w:r>
      <w:r>
        <w:br/>
        <w:t>3. Develop churn risk prediction models</w:t>
      </w:r>
      <w:r>
        <w:t>.</w:t>
      </w:r>
      <w:r>
        <w:br/>
        <w:t>4. Customize retention messaging based on gender-specific behavior and engagement</w:t>
      </w:r>
      <w:r>
        <w:t>.</w:t>
      </w:r>
      <w:r>
        <w:br/>
        <w:t>5. Regularly monitor churn trends.</w:t>
      </w:r>
    </w:p>
    <w:p w14:paraId="464A6483" w14:textId="77777777" w:rsidR="0001129D" w:rsidRDefault="00D5488E">
      <w:pPr>
        <w:pStyle w:val="Heading1"/>
      </w:pPr>
      <w:r>
        <w:t>4. Conclusion</w:t>
      </w:r>
    </w:p>
    <w:p w14:paraId="2EFEBE92" w14:textId="77777777" w:rsidR="0001129D" w:rsidRDefault="00D5488E">
      <w:r>
        <w:t>High churn rates among valuable customer segments pose a financial risk. Immediate targeted actions are recommended to reduce churn and improve customer retention.</w:t>
      </w:r>
    </w:p>
    <w:sectPr w:rsidR="00011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29D"/>
    <w:rsid w:val="00034616"/>
    <w:rsid w:val="0006063C"/>
    <w:rsid w:val="0015074B"/>
    <w:rsid w:val="0029639D"/>
    <w:rsid w:val="00326F90"/>
    <w:rsid w:val="0059448F"/>
    <w:rsid w:val="00AA1D8D"/>
    <w:rsid w:val="00B47730"/>
    <w:rsid w:val="00CB0664"/>
    <w:rsid w:val="00D54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8ED7"/>
  <w14:defaultImageDpi w14:val="300"/>
  <w15:docId w15:val="{4F5F3FB7-DF12-4C93-AA1E-0AA51E8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Precious Orhue</cp:lastModifiedBy>
  <cp:revision>2</cp:revision>
  <dcterms:created xsi:type="dcterms:W3CDTF">2013-12-23T23:15:00Z</dcterms:created>
  <dcterms:modified xsi:type="dcterms:W3CDTF">2025-06-25T23:07:00Z</dcterms:modified>
  <cp:category/>
</cp:coreProperties>
</file>