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B1A7D" w14:textId="77777777" w:rsidR="004C78E8" w:rsidRDefault="004C78E8" w:rsidP="004C78E8">
      <w:r>
        <w:fldChar w:fldCharType="begin"/>
      </w:r>
      <w:r>
        <w:instrText xml:space="preserve"> HYPERLINK "https://www.ncbi.nlm.nih.gov/pubmed/26063326" </w:instrText>
      </w:r>
      <w:r>
        <w:fldChar w:fldCharType="separate"/>
      </w:r>
      <w:r w:rsidRPr="009D4476">
        <w:rPr>
          <w:rStyle w:val="Hyperlink"/>
        </w:rPr>
        <w:t>https://www.ncbi.nlm.nih.gov/pubmed/26063326</w:t>
      </w:r>
      <w:r>
        <w:rPr>
          <w:rStyle w:val="Hyperlink"/>
        </w:rPr>
        <w:fldChar w:fldCharType="end"/>
      </w:r>
    </w:p>
    <w:p w14:paraId="43941244" w14:textId="77777777" w:rsidR="004C78E8" w:rsidRDefault="004C78E8" w:rsidP="004C78E8">
      <w:pPr>
        <w:pStyle w:val="NormalWeb"/>
        <w:spacing w:before="0" w:beforeAutospacing="0" w:after="0" w:afterAutospacing="0"/>
        <w:rPr>
          <w:color w:val="000000"/>
        </w:rPr>
      </w:pPr>
      <w:r>
        <w:rPr>
          <w:color w:val="000000"/>
        </w:rPr>
        <w:t>Top 10 genetic markers associated with CFS based on weighted genetic variation (WGV) estimated by the Bayesian model</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037"/>
        <w:gridCol w:w="1131"/>
        <w:gridCol w:w="1363"/>
        <w:gridCol w:w="1608"/>
        <w:gridCol w:w="692"/>
        <w:gridCol w:w="1276"/>
      </w:tblGrid>
      <w:tr w:rsidR="004C78E8" w14:paraId="037B51D1" w14:textId="77777777" w:rsidTr="005C1C57">
        <w:trPr>
          <w:tblHeader/>
        </w:trPr>
        <w:tc>
          <w:tcPr>
            <w:tcW w:w="0" w:type="auto"/>
            <w:tcBorders>
              <w:top w:val="nil"/>
              <w:left w:val="nil"/>
              <w:bottom w:val="nil"/>
              <w:right w:val="nil"/>
            </w:tcBorders>
            <w:tcMar>
              <w:top w:w="48" w:type="dxa"/>
              <w:left w:w="96" w:type="dxa"/>
              <w:bottom w:w="48" w:type="dxa"/>
              <w:right w:w="96" w:type="dxa"/>
            </w:tcMar>
            <w:hideMark/>
          </w:tcPr>
          <w:p w14:paraId="228D8110" w14:textId="77777777" w:rsidR="004C78E8" w:rsidRDefault="004C78E8" w:rsidP="005C1C57">
            <w:pPr>
              <w:jc w:val="center"/>
              <w:rPr>
                <w:b/>
                <w:bCs/>
                <w:sz w:val="20"/>
                <w:szCs w:val="20"/>
              </w:rPr>
            </w:pPr>
            <w:r>
              <w:rPr>
                <w:b/>
                <w:bCs/>
                <w:sz w:val="20"/>
                <w:szCs w:val="20"/>
              </w:rPr>
              <w:t>SNP ID</w:t>
            </w:r>
          </w:p>
        </w:tc>
        <w:tc>
          <w:tcPr>
            <w:tcW w:w="0" w:type="auto"/>
            <w:tcBorders>
              <w:top w:val="nil"/>
              <w:left w:val="nil"/>
              <w:bottom w:val="nil"/>
              <w:right w:val="nil"/>
            </w:tcBorders>
            <w:tcMar>
              <w:top w:w="48" w:type="dxa"/>
              <w:left w:w="96" w:type="dxa"/>
              <w:bottom w:w="48" w:type="dxa"/>
              <w:right w:w="96" w:type="dxa"/>
            </w:tcMar>
            <w:hideMark/>
          </w:tcPr>
          <w:p w14:paraId="299D0BCB" w14:textId="77777777" w:rsidR="004C78E8" w:rsidRDefault="004C78E8" w:rsidP="005C1C57">
            <w:pPr>
              <w:jc w:val="center"/>
              <w:rPr>
                <w:b/>
                <w:bCs/>
                <w:sz w:val="20"/>
                <w:szCs w:val="20"/>
              </w:rPr>
            </w:pPr>
            <w:r>
              <w:rPr>
                <w:b/>
                <w:bCs/>
                <w:sz w:val="20"/>
                <w:szCs w:val="20"/>
              </w:rPr>
              <w:t>Proxy SNP</w:t>
            </w:r>
          </w:p>
        </w:tc>
        <w:tc>
          <w:tcPr>
            <w:tcW w:w="0" w:type="auto"/>
            <w:tcBorders>
              <w:top w:val="nil"/>
              <w:left w:val="nil"/>
              <w:bottom w:val="nil"/>
              <w:right w:val="nil"/>
            </w:tcBorders>
            <w:tcMar>
              <w:top w:w="48" w:type="dxa"/>
              <w:left w:w="96" w:type="dxa"/>
              <w:bottom w:w="48" w:type="dxa"/>
              <w:right w:w="96" w:type="dxa"/>
            </w:tcMar>
            <w:hideMark/>
          </w:tcPr>
          <w:p w14:paraId="08DA4171" w14:textId="77777777" w:rsidR="004C78E8" w:rsidRDefault="004C78E8" w:rsidP="005C1C57">
            <w:pPr>
              <w:jc w:val="center"/>
              <w:rPr>
                <w:b/>
                <w:bCs/>
                <w:sz w:val="20"/>
                <w:szCs w:val="20"/>
              </w:rPr>
            </w:pPr>
            <w:r>
              <w:rPr>
                <w:b/>
                <w:bCs/>
                <w:sz w:val="20"/>
                <w:szCs w:val="20"/>
              </w:rPr>
              <w:t xml:space="preserve">Gene </w:t>
            </w:r>
            <w:proofErr w:type="spellStart"/>
            <w:r>
              <w:rPr>
                <w:b/>
                <w:bCs/>
                <w:sz w:val="20"/>
                <w:szCs w:val="20"/>
              </w:rPr>
              <w:t>symbol</w:t>
            </w:r>
            <w:r>
              <w:rPr>
                <w:b/>
                <w:bCs/>
                <w:sz w:val="20"/>
                <w:szCs w:val="20"/>
                <w:vertAlign w:val="superscript"/>
              </w:rPr>
              <w:t>a</w:t>
            </w:r>
            <w:proofErr w:type="spellEnd"/>
          </w:p>
        </w:tc>
        <w:tc>
          <w:tcPr>
            <w:tcW w:w="0" w:type="auto"/>
            <w:tcBorders>
              <w:top w:val="nil"/>
              <w:left w:val="nil"/>
              <w:bottom w:val="nil"/>
              <w:right w:val="nil"/>
            </w:tcBorders>
            <w:tcMar>
              <w:top w:w="48" w:type="dxa"/>
              <w:left w:w="96" w:type="dxa"/>
              <w:bottom w:w="48" w:type="dxa"/>
              <w:right w:w="96" w:type="dxa"/>
            </w:tcMar>
            <w:hideMark/>
          </w:tcPr>
          <w:p w14:paraId="380D4599" w14:textId="77777777" w:rsidR="004C78E8" w:rsidRDefault="004C78E8" w:rsidP="005C1C57">
            <w:pPr>
              <w:jc w:val="center"/>
              <w:rPr>
                <w:b/>
                <w:bCs/>
                <w:sz w:val="20"/>
                <w:szCs w:val="20"/>
              </w:rPr>
            </w:pPr>
            <w:r>
              <w:rPr>
                <w:b/>
                <w:bCs/>
                <w:sz w:val="20"/>
                <w:szCs w:val="20"/>
              </w:rPr>
              <w:t xml:space="preserve">SNP </w:t>
            </w:r>
            <w:proofErr w:type="spellStart"/>
            <w:r>
              <w:rPr>
                <w:b/>
                <w:bCs/>
                <w:sz w:val="20"/>
                <w:szCs w:val="20"/>
              </w:rPr>
              <w:t>annotation</w:t>
            </w:r>
            <w:r>
              <w:rPr>
                <w:b/>
                <w:bCs/>
                <w:sz w:val="20"/>
                <w:szCs w:val="20"/>
                <w:vertAlign w:val="superscript"/>
              </w:rPr>
              <w:t>a</w:t>
            </w:r>
            <w:proofErr w:type="spellEnd"/>
          </w:p>
        </w:tc>
        <w:tc>
          <w:tcPr>
            <w:tcW w:w="0" w:type="auto"/>
            <w:tcBorders>
              <w:top w:val="nil"/>
              <w:left w:val="nil"/>
              <w:bottom w:val="nil"/>
              <w:right w:val="nil"/>
            </w:tcBorders>
            <w:tcMar>
              <w:top w:w="48" w:type="dxa"/>
              <w:left w:w="96" w:type="dxa"/>
              <w:bottom w:w="48" w:type="dxa"/>
              <w:right w:w="96" w:type="dxa"/>
            </w:tcMar>
            <w:hideMark/>
          </w:tcPr>
          <w:p w14:paraId="7033C53D" w14:textId="77777777" w:rsidR="004C78E8" w:rsidRDefault="004C78E8" w:rsidP="005C1C57">
            <w:pPr>
              <w:jc w:val="center"/>
              <w:rPr>
                <w:b/>
                <w:bCs/>
                <w:sz w:val="20"/>
                <w:szCs w:val="20"/>
              </w:rPr>
            </w:pPr>
            <w:r>
              <w:rPr>
                <w:b/>
                <w:bCs/>
                <w:sz w:val="20"/>
                <w:szCs w:val="20"/>
              </w:rPr>
              <w:t>WGV</w:t>
            </w:r>
          </w:p>
        </w:tc>
        <w:tc>
          <w:tcPr>
            <w:tcW w:w="0" w:type="auto"/>
            <w:tcBorders>
              <w:top w:val="nil"/>
              <w:left w:val="nil"/>
              <w:bottom w:val="nil"/>
              <w:right w:val="nil"/>
            </w:tcBorders>
            <w:tcMar>
              <w:top w:w="48" w:type="dxa"/>
              <w:left w:w="96" w:type="dxa"/>
              <w:bottom w:w="48" w:type="dxa"/>
              <w:right w:w="96" w:type="dxa"/>
            </w:tcMar>
            <w:hideMark/>
          </w:tcPr>
          <w:p w14:paraId="0D229A04" w14:textId="77777777" w:rsidR="004C78E8" w:rsidRDefault="004C78E8" w:rsidP="005C1C57">
            <w:pPr>
              <w:jc w:val="center"/>
              <w:rPr>
                <w:b/>
                <w:bCs/>
                <w:sz w:val="20"/>
                <w:szCs w:val="20"/>
              </w:rPr>
            </w:pPr>
            <w:r>
              <w:rPr>
                <w:b/>
                <w:bCs/>
                <w:sz w:val="20"/>
                <w:szCs w:val="20"/>
              </w:rPr>
              <w:t xml:space="preserve">SE of </w:t>
            </w:r>
            <w:proofErr w:type="spellStart"/>
            <w:r>
              <w:rPr>
                <w:b/>
                <w:bCs/>
                <w:sz w:val="20"/>
                <w:szCs w:val="20"/>
              </w:rPr>
              <w:t>WGV</w:t>
            </w:r>
            <w:r>
              <w:rPr>
                <w:b/>
                <w:bCs/>
                <w:sz w:val="20"/>
                <w:szCs w:val="20"/>
                <w:vertAlign w:val="superscript"/>
              </w:rPr>
              <w:t>b</w:t>
            </w:r>
            <w:proofErr w:type="spellEnd"/>
          </w:p>
        </w:tc>
      </w:tr>
      <w:tr w:rsidR="004C78E8" w14:paraId="122C6B72" w14:textId="77777777" w:rsidTr="005C1C57">
        <w:tc>
          <w:tcPr>
            <w:tcW w:w="0" w:type="auto"/>
            <w:tcBorders>
              <w:top w:val="nil"/>
              <w:left w:val="nil"/>
              <w:bottom w:val="nil"/>
              <w:right w:val="nil"/>
            </w:tcBorders>
            <w:tcMar>
              <w:top w:w="48" w:type="dxa"/>
              <w:left w:w="96" w:type="dxa"/>
              <w:bottom w:w="48" w:type="dxa"/>
              <w:right w:w="96" w:type="dxa"/>
            </w:tcMar>
            <w:hideMark/>
          </w:tcPr>
          <w:p w14:paraId="2CFE618B" w14:textId="77777777" w:rsidR="004C78E8" w:rsidRDefault="004C78E8" w:rsidP="005C1C57">
            <w:pPr>
              <w:rPr>
                <w:sz w:val="20"/>
                <w:szCs w:val="20"/>
              </w:rPr>
            </w:pPr>
            <w:r>
              <w:rPr>
                <w:sz w:val="20"/>
                <w:szCs w:val="20"/>
              </w:rPr>
              <w:t>rs2288831</w:t>
            </w:r>
          </w:p>
        </w:tc>
        <w:tc>
          <w:tcPr>
            <w:tcW w:w="0" w:type="auto"/>
            <w:tcBorders>
              <w:top w:val="nil"/>
              <w:left w:val="nil"/>
              <w:bottom w:val="nil"/>
              <w:right w:val="nil"/>
            </w:tcBorders>
            <w:tcMar>
              <w:top w:w="48" w:type="dxa"/>
              <w:left w:w="96" w:type="dxa"/>
              <w:bottom w:w="48" w:type="dxa"/>
              <w:right w:w="96" w:type="dxa"/>
            </w:tcMar>
            <w:hideMark/>
          </w:tcPr>
          <w:p w14:paraId="35F0E830" w14:textId="77777777" w:rsidR="004C78E8" w:rsidRDefault="004C78E8" w:rsidP="005C1C57">
            <w:pPr>
              <w:rPr>
                <w:sz w:val="20"/>
                <w:szCs w:val="20"/>
              </w:rPr>
            </w:pPr>
            <w:r>
              <w:rPr>
                <w:sz w:val="20"/>
                <w:szCs w:val="20"/>
              </w:rPr>
              <w:t>rs3212227</w:t>
            </w:r>
          </w:p>
        </w:tc>
        <w:tc>
          <w:tcPr>
            <w:tcW w:w="0" w:type="auto"/>
            <w:tcBorders>
              <w:top w:val="nil"/>
              <w:left w:val="nil"/>
              <w:bottom w:val="nil"/>
              <w:right w:val="nil"/>
            </w:tcBorders>
            <w:tcMar>
              <w:top w:w="48" w:type="dxa"/>
              <w:left w:w="96" w:type="dxa"/>
              <w:bottom w:w="48" w:type="dxa"/>
              <w:right w:w="96" w:type="dxa"/>
            </w:tcMar>
            <w:hideMark/>
          </w:tcPr>
          <w:p w14:paraId="76085958" w14:textId="77777777" w:rsidR="004C78E8" w:rsidRDefault="004C78E8" w:rsidP="005C1C57">
            <w:pPr>
              <w:rPr>
                <w:sz w:val="20"/>
                <w:szCs w:val="20"/>
              </w:rPr>
            </w:pPr>
            <w:r>
              <w:rPr>
                <w:rStyle w:val="Emphasis"/>
                <w:sz w:val="20"/>
                <w:szCs w:val="20"/>
              </w:rPr>
              <w:t>IL12B</w:t>
            </w:r>
          </w:p>
        </w:tc>
        <w:tc>
          <w:tcPr>
            <w:tcW w:w="0" w:type="auto"/>
            <w:tcBorders>
              <w:top w:val="nil"/>
              <w:left w:val="nil"/>
              <w:bottom w:val="nil"/>
              <w:right w:val="nil"/>
            </w:tcBorders>
            <w:tcMar>
              <w:top w:w="48" w:type="dxa"/>
              <w:left w:w="96" w:type="dxa"/>
              <w:bottom w:w="48" w:type="dxa"/>
              <w:right w:w="96" w:type="dxa"/>
            </w:tcMar>
            <w:hideMark/>
          </w:tcPr>
          <w:p w14:paraId="395871FD" w14:textId="77777777" w:rsidR="004C78E8" w:rsidRDefault="004C78E8" w:rsidP="005C1C57">
            <w:pPr>
              <w:rPr>
                <w:sz w:val="20"/>
                <w:szCs w:val="20"/>
              </w:rPr>
            </w:pPr>
            <w:r>
              <w:rPr>
                <w:sz w:val="20"/>
                <w:szCs w:val="20"/>
              </w:rPr>
              <w:t>Intron (UTR-3)</w:t>
            </w:r>
          </w:p>
        </w:tc>
        <w:tc>
          <w:tcPr>
            <w:tcW w:w="0" w:type="auto"/>
            <w:tcBorders>
              <w:top w:val="nil"/>
              <w:left w:val="nil"/>
              <w:bottom w:val="nil"/>
              <w:right w:val="nil"/>
            </w:tcBorders>
            <w:tcMar>
              <w:top w:w="48" w:type="dxa"/>
              <w:left w:w="96" w:type="dxa"/>
              <w:bottom w:w="48" w:type="dxa"/>
              <w:right w:w="96" w:type="dxa"/>
            </w:tcMar>
            <w:hideMark/>
          </w:tcPr>
          <w:p w14:paraId="1119DBD7" w14:textId="77777777" w:rsidR="004C78E8" w:rsidRDefault="004C78E8" w:rsidP="005C1C57">
            <w:pPr>
              <w:jc w:val="center"/>
              <w:rPr>
                <w:sz w:val="20"/>
                <w:szCs w:val="20"/>
              </w:rPr>
            </w:pPr>
            <w:r>
              <w:rPr>
                <w:sz w:val="20"/>
                <w:szCs w:val="20"/>
              </w:rPr>
              <w:t>3.95</w:t>
            </w:r>
          </w:p>
        </w:tc>
        <w:tc>
          <w:tcPr>
            <w:tcW w:w="0" w:type="auto"/>
            <w:tcBorders>
              <w:top w:val="nil"/>
              <w:left w:val="nil"/>
              <w:bottom w:val="nil"/>
              <w:right w:val="nil"/>
            </w:tcBorders>
            <w:tcMar>
              <w:top w:w="48" w:type="dxa"/>
              <w:left w:w="96" w:type="dxa"/>
              <w:bottom w:w="48" w:type="dxa"/>
              <w:right w:w="96" w:type="dxa"/>
            </w:tcMar>
            <w:hideMark/>
          </w:tcPr>
          <w:p w14:paraId="28139449" w14:textId="77777777" w:rsidR="004C78E8" w:rsidRDefault="004C78E8" w:rsidP="005C1C57">
            <w:pPr>
              <w:jc w:val="center"/>
              <w:rPr>
                <w:sz w:val="20"/>
                <w:szCs w:val="20"/>
              </w:rPr>
            </w:pPr>
            <w:r>
              <w:rPr>
                <w:sz w:val="20"/>
                <w:szCs w:val="20"/>
              </w:rPr>
              <w:t>0.0299</w:t>
            </w:r>
          </w:p>
        </w:tc>
      </w:tr>
    </w:tbl>
    <w:p w14:paraId="40707DFA" w14:textId="4D22AD5C" w:rsidR="00E37578" w:rsidRDefault="00E37578"/>
    <w:p w14:paraId="08E013C9" w14:textId="77777777" w:rsidR="004C78E8" w:rsidRDefault="004C78E8" w:rsidP="004C78E8">
      <w:hyperlink r:id="rId5" w:history="1">
        <w:r w:rsidRPr="009D4476">
          <w:rPr>
            <w:rStyle w:val="Hyperlink"/>
          </w:rPr>
          <w:t>https://www.ncbi.nlm.nih.gov/pubmed/26063326</w:t>
        </w:r>
      </w:hyperlink>
    </w:p>
    <w:tbl>
      <w:tblPr>
        <w:tblW w:w="9695" w:type="dxa"/>
        <w:tblInd w:w="9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76"/>
        <w:gridCol w:w="1271"/>
        <w:gridCol w:w="1237"/>
        <w:gridCol w:w="650"/>
        <w:gridCol w:w="1296"/>
        <w:gridCol w:w="1147"/>
        <w:gridCol w:w="1147"/>
        <w:gridCol w:w="949"/>
        <w:gridCol w:w="1422"/>
      </w:tblGrid>
      <w:tr w:rsidR="004C78E8" w14:paraId="4A45EC4B" w14:textId="77777777" w:rsidTr="004C78E8">
        <w:trPr>
          <w:trHeight w:val="255"/>
          <w:tblHeader/>
        </w:trPr>
        <w:tc>
          <w:tcPr>
            <w:tcW w:w="576" w:type="dxa"/>
            <w:tcBorders>
              <w:top w:val="single" w:sz="4" w:space="0" w:color="auto"/>
              <w:left w:val="single" w:sz="4" w:space="0" w:color="auto"/>
              <w:bottom w:val="single" w:sz="4" w:space="0" w:color="auto"/>
              <w:right w:val="single" w:sz="4" w:space="0" w:color="auto"/>
            </w:tcBorders>
            <w:noWrap/>
            <w:vAlign w:val="center"/>
            <w:hideMark/>
          </w:tcPr>
          <w:p w14:paraId="1763ACFC" w14:textId="77777777" w:rsidR="004C78E8" w:rsidRDefault="004C78E8" w:rsidP="005C1C57">
            <w:pPr>
              <w:jc w:val="center"/>
              <w:rPr>
                <w:sz w:val="22"/>
                <w:szCs w:val="22"/>
              </w:rPr>
            </w:pPr>
            <w:r>
              <w:t>Sr. no.</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65F00467" w14:textId="77777777" w:rsidR="004C78E8" w:rsidRDefault="004C78E8" w:rsidP="005C1C57">
            <w:pPr>
              <w:jc w:val="center"/>
            </w:pPr>
            <w:r>
              <w:t>Gene symbol</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43E5E0D9" w14:textId="77777777" w:rsidR="004C78E8" w:rsidRDefault="004C78E8" w:rsidP="005C1C57">
            <w:pPr>
              <w:jc w:val="center"/>
            </w:pPr>
            <w:r>
              <w:t xml:space="preserve">NCBI </w:t>
            </w:r>
            <w:proofErr w:type="spellStart"/>
            <w:r>
              <w:t>rsID</w:t>
            </w:r>
            <w:proofErr w:type="spellEnd"/>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64EFC137" w14:textId="77777777" w:rsidR="004C78E8" w:rsidRDefault="004C78E8" w:rsidP="005C1C57">
            <w:pPr>
              <w:jc w:val="center"/>
            </w:pPr>
            <w:r>
              <w:t>Chr.</w:t>
            </w:r>
          </w:p>
        </w:tc>
        <w:tc>
          <w:tcPr>
            <w:tcW w:w="1296" w:type="dxa"/>
            <w:tcBorders>
              <w:top w:val="single" w:sz="4" w:space="0" w:color="auto"/>
              <w:left w:val="single" w:sz="4" w:space="0" w:color="auto"/>
              <w:bottom w:val="single" w:sz="4" w:space="0" w:color="auto"/>
              <w:right w:val="single" w:sz="4" w:space="0" w:color="auto"/>
            </w:tcBorders>
            <w:noWrap/>
            <w:vAlign w:val="center"/>
            <w:hideMark/>
          </w:tcPr>
          <w:p w14:paraId="5CD459C2" w14:textId="77777777" w:rsidR="004C78E8" w:rsidRDefault="004C78E8" w:rsidP="005C1C57">
            <w:pPr>
              <w:jc w:val="center"/>
            </w:pPr>
            <w:r>
              <w:t>Position</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59844E34" w14:textId="77777777" w:rsidR="004C78E8" w:rsidRDefault="004C78E8" w:rsidP="005C1C57">
            <w:pPr>
              <w:jc w:val="center"/>
            </w:pPr>
            <w:r>
              <w:t>Homo-zygous-1</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43B8FBDB" w14:textId="77777777" w:rsidR="004C78E8" w:rsidRDefault="004C78E8" w:rsidP="005C1C57">
            <w:pPr>
              <w:jc w:val="center"/>
            </w:pPr>
            <w:r>
              <w:t>Homo-zygous-2</w:t>
            </w:r>
          </w:p>
        </w:tc>
        <w:tc>
          <w:tcPr>
            <w:tcW w:w="949" w:type="dxa"/>
            <w:tcBorders>
              <w:top w:val="single" w:sz="4" w:space="0" w:color="auto"/>
              <w:left w:val="single" w:sz="4" w:space="0" w:color="auto"/>
              <w:bottom w:val="single" w:sz="4" w:space="0" w:color="auto"/>
              <w:right w:val="single" w:sz="4" w:space="0" w:color="auto"/>
            </w:tcBorders>
            <w:noWrap/>
            <w:vAlign w:val="center"/>
            <w:hideMark/>
          </w:tcPr>
          <w:p w14:paraId="2AA2C7AB" w14:textId="77777777" w:rsidR="004C78E8" w:rsidRDefault="004C78E8" w:rsidP="005C1C57">
            <w:pPr>
              <w:jc w:val="center"/>
            </w:pPr>
            <w:r>
              <w:t>Hetero-</w:t>
            </w:r>
            <w:proofErr w:type="spellStart"/>
            <w:r>
              <w:t>zygous</w:t>
            </w:r>
            <w:proofErr w:type="spellEnd"/>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41D2AD0F" w14:textId="77777777" w:rsidR="004C78E8" w:rsidRDefault="004C78E8" w:rsidP="005C1C57">
            <w:pPr>
              <w:jc w:val="center"/>
            </w:pPr>
            <w:r>
              <w:t>Weighted genetic variation</w:t>
            </w:r>
          </w:p>
        </w:tc>
      </w:tr>
      <w:tr w:rsidR="004C78E8" w14:paraId="0543C5A0" w14:textId="77777777" w:rsidTr="004C78E8">
        <w:trPr>
          <w:trHeight w:val="255"/>
        </w:trPr>
        <w:tc>
          <w:tcPr>
            <w:tcW w:w="576" w:type="dxa"/>
            <w:tcBorders>
              <w:top w:val="single" w:sz="4" w:space="0" w:color="auto"/>
              <w:left w:val="single" w:sz="4" w:space="0" w:color="auto"/>
              <w:bottom w:val="single" w:sz="4" w:space="0" w:color="auto"/>
              <w:right w:val="single" w:sz="4" w:space="0" w:color="auto"/>
            </w:tcBorders>
            <w:noWrap/>
            <w:vAlign w:val="center"/>
            <w:hideMark/>
          </w:tcPr>
          <w:p w14:paraId="7786DCE6" w14:textId="77777777" w:rsidR="004C78E8" w:rsidRDefault="004C78E8" w:rsidP="005C1C57">
            <w:pPr>
              <w:jc w:val="right"/>
            </w:pPr>
            <w:r>
              <w:t>51</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0BD553BA" w14:textId="77777777" w:rsidR="004C78E8" w:rsidRDefault="004C78E8" w:rsidP="005C1C57">
            <w:pPr>
              <w:jc w:val="both"/>
              <w:rPr>
                <w:i/>
              </w:rPr>
            </w:pPr>
            <w:r>
              <w:rPr>
                <w:i/>
              </w:rPr>
              <w:t>IL12B</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11F9B6E7" w14:textId="77777777" w:rsidR="004C78E8" w:rsidRDefault="004C78E8" w:rsidP="005C1C57">
            <w:pPr>
              <w:jc w:val="both"/>
            </w:pPr>
            <w:r>
              <w:t>rs2288831</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33EA7577" w14:textId="77777777" w:rsidR="004C78E8" w:rsidRDefault="004C78E8" w:rsidP="005C1C57">
            <w:pPr>
              <w:jc w:val="center"/>
            </w:pPr>
            <w:r>
              <w:t>5</w:t>
            </w:r>
          </w:p>
        </w:tc>
        <w:tc>
          <w:tcPr>
            <w:tcW w:w="1296" w:type="dxa"/>
            <w:tcBorders>
              <w:top w:val="single" w:sz="4" w:space="0" w:color="auto"/>
              <w:left w:val="single" w:sz="4" w:space="0" w:color="auto"/>
              <w:bottom w:val="single" w:sz="4" w:space="0" w:color="auto"/>
              <w:right w:val="single" w:sz="4" w:space="0" w:color="auto"/>
            </w:tcBorders>
            <w:noWrap/>
            <w:vAlign w:val="center"/>
            <w:hideMark/>
          </w:tcPr>
          <w:p w14:paraId="44A91CE3" w14:textId="77777777" w:rsidR="004C78E8" w:rsidRDefault="004C78E8" w:rsidP="005C1C57">
            <w:pPr>
              <w:jc w:val="center"/>
            </w:pPr>
            <w:r>
              <w:t>158682591</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26C61552" w14:textId="77777777" w:rsidR="004C78E8" w:rsidRDefault="004C78E8" w:rsidP="005C1C57">
            <w:pPr>
              <w:jc w:val="center"/>
            </w:pPr>
            <w:r>
              <w:t>0.10</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182CB100" w14:textId="77777777" w:rsidR="004C78E8" w:rsidRDefault="004C78E8" w:rsidP="005C1C57">
            <w:pPr>
              <w:jc w:val="center"/>
            </w:pPr>
            <w:r>
              <w:t>0.65</w:t>
            </w:r>
          </w:p>
        </w:tc>
        <w:tc>
          <w:tcPr>
            <w:tcW w:w="949" w:type="dxa"/>
            <w:tcBorders>
              <w:top w:val="single" w:sz="4" w:space="0" w:color="auto"/>
              <w:left w:val="single" w:sz="4" w:space="0" w:color="auto"/>
              <w:bottom w:val="single" w:sz="4" w:space="0" w:color="auto"/>
              <w:right w:val="single" w:sz="4" w:space="0" w:color="auto"/>
            </w:tcBorders>
            <w:noWrap/>
            <w:vAlign w:val="center"/>
            <w:hideMark/>
          </w:tcPr>
          <w:p w14:paraId="058F080C" w14:textId="77777777" w:rsidR="004C78E8" w:rsidRDefault="004C78E8" w:rsidP="005C1C57">
            <w:pPr>
              <w:jc w:val="center"/>
            </w:pPr>
            <w:r>
              <w:t>0.25</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5B346CEE" w14:textId="77777777" w:rsidR="004C78E8" w:rsidRDefault="004C78E8" w:rsidP="005C1C57">
            <w:pPr>
              <w:jc w:val="center"/>
            </w:pPr>
            <w:r>
              <w:t>3.95</w:t>
            </w:r>
          </w:p>
        </w:tc>
      </w:tr>
      <w:tr w:rsidR="004C78E8" w14:paraId="30B0573D" w14:textId="77777777" w:rsidTr="004C78E8">
        <w:trPr>
          <w:trHeight w:val="255"/>
        </w:trPr>
        <w:tc>
          <w:tcPr>
            <w:tcW w:w="576" w:type="dxa"/>
            <w:tcBorders>
              <w:top w:val="single" w:sz="4" w:space="0" w:color="auto"/>
              <w:left w:val="single" w:sz="4" w:space="0" w:color="auto"/>
              <w:bottom w:val="single" w:sz="4" w:space="0" w:color="auto"/>
              <w:right w:val="single" w:sz="4" w:space="0" w:color="auto"/>
            </w:tcBorders>
            <w:noWrap/>
            <w:vAlign w:val="center"/>
            <w:hideMark/>
          </w:tcPr>
          <w:p w14:paraId="612FCDEA" w14:textId="77777777" w:rsidR="004C78E8" w:rsidRDefault="004C78E8" w:rsidP="005C1C57">
            <w:pPr>
              <w:jc w:val="right"/>
            </w:pPr>
            <w:r>
              <w:t>49</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01FB68A5" w14:textId="77777777" w:rsidR="004C78E8" w:rsidRDefault="004C78E8" w:rsidP="005C1C57">
            <w:pPr>
              <w:jc w:val="both"/>
              <w:rPr>
                <w:i/>
              </w:rPr>
            </w:pPr>
            <w:r>
              <w:rPr>
                <w:i/>
              </w:rPr>
              <w:t>IL12B</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24EA453B" w14:textId="77777777" w:rsidR="004C78E8" w:rsidRDefault="004C78E8" w:rsidP="005C1C57">
            <w:pPr>
              <w:jc w:val="both"/>
            </w:pPr>
            <w:r>
              <w:t>rs1368439</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4A6EA042" w14:textId="77777777" w:rsidR="004C78E8" w:rsidRDefault="004C78E8" w:rsidP="005C1C57">
            <w:pPr>
              <w:jc w:val="center"/>
            </w:pPr>
            <w:r>
              <w:t>5</w:t>
            </w:r>
          </w:p>
        </w:tc>
        <w:tc>
          <w:tcPr>
            <w:tcW w:w="1296" w:type="dxa"/>
            <w:tcBorders>
              <w:top w:val="single" w:sz="4" w:space="0" w:color="auto"/>
              <w:left w:val="single" w:sz="4" w:space="0" w:color="auto"/>
              <w:bottom w:val="single" w:sz="4" w:space="0" w:color="auto"/>
              <w:right w:val="single" w:sz="4" w:space="0" w:color="auto"/>
            </w:tcBorders>
            <w:noWrap/>
            <w:vAlign w:val="center"/>
            <w:hideMark/>
          </w:tcPr>
          <w:p w14:paraId="1106DAD2" w14:textId="77777777" w:rsidR="004C78E8" w:rsidRDefault="004C78E8" w:rsidP="005C1C57">
            <w:pPr>
              <w:jc w:val="center"/>
            </w:pPr>
            <w:r>
              <w:t>158674592</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4F0571C5" w14:textId="77777777" w:rsidR="004C78E8" w:rsidRDefault="004C78E8" w:rsidP="005C1C57">
            <w:pPr>
              <w:jc w:val="center"/>
            </w:pPr>
            <w:r>
              <w:t>0.03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1EEA7759" w14:textId="77777777" w:rsidR="004C78E8" w:rsidRDefault="004C78E8" w:rsidP="005C1C57">
            <w:pPr>
              <w:jc w:val="center"/>
            </w:pPr>
            <w:r>
              <w:t>0.65</w:t>
            </w:r>
          </w:p>
        </w:tc>
        <w:tc>
          <w:tcPr>
            <w:tcW w:w="949" w:type="dxa"/>
            <w:tcBorders>
              <w:top w:val="single" w:sz="4" w:space="0" w:color="auto"/>
              <w:left w:val="single" w:sz="4" w:space="0" w:color="auto"/>
              <w:bottom w:val="single" w:sz="4" w:space="0" w:color="auto"/>
              <w:right w:val="single" w:sz="4" w:space="0" w:color="auto"/>
            </w:tcBorders>
            <w:noWrap/>
            <w:vAlign w:val="center"/>
            <w:hideMark/>
          </w:tcPr>
          <w:p w14:paraId="23F15093" w14:textId="77777777" w:rsidR="004C78E8" w:rsidRDefault="004C78E8" w:rsidP="005C1C57">
            <w:pPr>
              <w:jc w:val="center"/>
            </w:pPr>
            <w:r>
              <w:t>0.32</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7BACD690" w14:textId="77777777" w:rsidR="004C78E8" w:rsidRDefault="004C78E8" w:rsidP="005C1C57">
            <w:pPr>
              <w:jc w:val="center"/>
            </w:pPr>
            <w:r>
              <w:t>1.39</w:t>
            </w:r>
          </w:p>
        </w:tc>
      </w:tr>
    </w:tbl>
    <w:p w14:paraId="46617E0F" w14:textId="46D684CE" w:rsidR="004C78E8" w:rsidRDefault="004C78E8"/>
    <w:p w14:paraId="2EB1B571" w14:textId="6A7981DD" w:rsidR="004C78E8" w:rsidRDefault="004C78E8">
      <w:pPr>
        <w:rPr>
          <w:color w:val="000000"/>
          <w:shd w:val="clear" w:color="auto" w:fill="FFFFFF"/>
        </w:rPr>
      </w:pPr>
      <w:proofErr w:type="spellStart"/>
      <w:r>
        <w:rPr>
          <w:color w:val="000000"/>
          <w:shd w:val="clear" w:color="auto" w:fill="FFFFFF"/>
        </w:rPr>
        <w:t>t</w:t>
      </w:r>
      <w:proofErr w:type="spellEnd"/>
      <w:r>
        <w:rPr>
          <w:color w:val="000000"/>
          <w:shd w:val="clear" w:color="auto" w:fill="FFFFFF"/>
        </w:rPr>
        <w:t xml:space="preserve"> is interesting to note that SNPs from 7 out of 9 immune function genes </w:t>
      </w:r>
      <w:proofErr w:type="gramStart"/>
      <w:r>
        <w:rPr>
          <w:color w:val="000000"/>
          <w:shd w:val="clear" w:color="auto" w:fill="FFFFFF"/>
        </w:rPr>
        <w:t>were represented</w:t>
      </w:r>
      <w:proofErr w:type="gramEnd"/>
      <w:r>
        <w:rPr>
          <w:color w:val="000000"/>
          <w:shd w:val="clear" w:color="auto" w:fill="FFFFFF"/>
        </w:rPr>
        <w:t xml:space="preserve"> in this group that showed greater prediction, and SNPs in three of them (</w:t>
      </w:r>
      <w:r>
        <w:rPr>
          <w:rStyle w:val="Emphasis"/>
          <w:color w:val="000000"/>
          <w:shd w:val="clear" w:color="auto" w:fill="FFFFFF"/>
        </w:rPr>
        <w:t>IL12B</w:t>
      </w:r>
      <w:r>
        <w:rPr>
          <w:color w:val="000000"/>
          <w:shd w:val="clear" w:color="auto" w:fill="FFFFFF"/>
        </w:rPr>
        <w:t> rs2288831, </w:t>
      </w:r>
      <w:r>
        <w:rPr>
          <w:rStyle w:val="Emphasis"/>
          <w:color w:val="000000"/>
          <w:shd w:val="clear" w:color="auto" w:fill="FFFFFF"/>
        </w:rPr>
        <w:t>IL1A</w:t>
      </w:r>
      <w:r>
        <w:rPr>
          <w:color w:val="000000"/>
          <w:shd w:val="clear" w:color="auto" w:fill="FFFFFF"/>
        </w:rPr>
        <w:t> rs2071376, and </w:t>
      </w:r>
      <w:r>
        <w:rPr>
          <w:rStyle w:val="Emphasis"/>
          <w:color w:val="000000"/>
          <w:shd w:val="clear" w:color="auto" w:fill="FFFFFF"/>
        </w:rPr>
        <w:t>IFNG</w:t>
      </w:r>
      <w:r>
        <w:rPr>
          <w:color w:val="000000"/>
          <w:shd w:val="clear" w:color="auto" w:fill="FFFFFF"/>
        </w:rPr>
        <w:t> rs2069718) showed the highest association with CFS in terms of WGV values. All three SNPs showed replicated or moderate association with other diseases as well. SNP rs2288831 is in complete LD with rs3212227 located in the 3′-untranslated region (3′UTR) of </w:t>
      </w:r>
      <w:r>
        <w:rPr>
          <w:rStyle w:val="Emphasis"/>
          <w:color w:val="000000"/>
          <w:shd w:val="clear" w:color="auto" w:fill="FFFFFF"/>
        </w:rPr>
        <w:t>IL12B</w:t>
      </w:r>
      <w:r>
        <w:rPr>
          <w:color w:val="000000"/>
          <w:shd w:val="clear" w:color="auto" w:fill="FFFFFF"/>
        </w:rPr>
        <w:t> (Table </w:t>
      </w:r>
      <w:hyperlink r:id="rId6" w:tgtFrame="true" w:history="1">
        <w:r>
          <w:rPr>
            <w:rStyle w:val="Hyperlink"/>
            <w:color w:val="642A8F"/>
            <w:shd w:val="clear" w:color="auto" w:fill="FFFFFF"/>
          </w:rPr>
          <w:t>2</w:t>
        </w:r>
      </w:hyperlink>
      <w:r>
        <w:rPr>
          <w:color w:val="000000"/>
          <w:shd w:val="clear" w:color="auto" w:fill="FFFFFF"/>
        </w:rPr>
        <w:t>), and this proxy SNP was reported to be associated with psoriasis in a large-scale association study, confirming the results of a previous study [</w:t>
      </w:r>
      <w:hyperlink r:id="rId7" w:anchor="CR55" w:history="1">
        <w:r>
          <w:rPr>
            <w:rStyle w:val="Hyperlink"/>
            <w:color w:val="642A8F"/>
            <w:shd w:val="clear" w:color="auto" w:fill="FFFFFF"/>
          </w:rPr>
          <w:t>55</w:t>
        </w:r>
      </w:hyperlink>
      <w:r>
        <w:rPr>
          <w:color w:val="000000"/>
          <w:shd w:val="clear" w:color="auto" w:fill="FFFFFF"/>
        </w:rPr>
        <w:t>].</w:t>
      </w:r>
    </w:p>
    <w:p w14:paraId="5277DFB0" w14:textId="77777777" w:rsidR="004C78E8" w:rsidRDefault="004C78E8"/>
    <w:p w14:paraId="0506995F" w14:textId="01F45F0F" w:rsidR="004C78E8" w:rsidRDefault="004C78E8">
      <w:hyperlink r:id="rId8" w:history="1">
        <w:r w:rsidRPr="005E3A55">
          <w:rPr>
            <w:rStyle w:val="Hyperlink"/>
          </w:rPr>
          <w:t>https://www.ncbi.nlm.nih.gov/pubmed/28596683</w:t>
        </w:r>
      </w:hyperlink>
    </w:p>
    <w:p w14:paraId="3D9554A7" w14:textId="77777777" w:rsidR="004C78E8" w:rsidRDefault="004C78E8"/>
    <w:p w14:paraId="6C2E28DB" w14:textId="16EF824A" w:rsidR="004C78E8" w:rsidRDefault="004C78E8">
      <w:pPr>
        <w:rPr>
          <w:color w:val="000000"/>
          <w:shd w:val="clear" w:color="auto" w:fill="FFFFFF"/>
        </w:rPr>
      </w:pPr>
      <w:r>
        <w:rPr>
          <w:color w:val="000000"/>
          <w:shd w:val="clear" w:color="auto" w:fill="FFFFFF"/>
        </w:rPr>
        <w:t>Chronic inﬂammation plays a crucial role in GC development, thus multiple genes in inﬂammatory pathways may be associated with GC risk[</w:t>
      </w:r>
      <w:hyperlink r:id="rId9" w:anchor="B29" w:history="1">
        <w:r>
          <w:rPr>
            <w:rStyle w:val="Hyperlink"/>
            <w:color w:val="642A8F"/>
            <w:shd w:val="clear" w:color="auto" w:fill="FFFFFF"/>
          </w:rPr>
          <w:t>29</w:t>
        </w:r>
      </w:hyperlink>
      <w:r>
        <w:rPr>
          <w:color w:val="000000"/>
          <w:shd w:val="clear" w:color="auto" w:fill="FFFFFF"/>
        </w:rPr>
        <w:t>]. To date, different gene polymorphism related to inflammatory pathways have been evaluated, with </w:t>
      </w:r>
      <w:r>
        <w:rPr>
          <w:rStyle w:val="Emphasis"/>
          <w:color w:val="000000"/>
          <w:shd w:val="clear" w:color="auto" w:fill="FFFFFF"/>
        </w:rPr>
        <w:t>IL-1B</w:t>
      </w:r>
      <w:r>
        <w:rPr>
          <w:color w:val="000000"/>
          <w:shd w:val="clear" w:color="auto" w:fill="FFFFFF"/>
        </w:rPr>
        <w:t> and </w:t>
      </w:r>
      <w:r>
        <w:rPr>
          <w:rStyle w:val="Emphasis"/>
          <w:color w:val="000000"/>
          <w:shd w:val="clear" w:color="auto" w:fill="FFFFFF"/>
        </w:rPr>
        <w:t>IL-1RN</w:t>
      </w:r>
      <w:r>
        <w:rPr>
          <w:color w:val="000000"/>
          <w:shd w:val="clear" w:color="auto" w:fill="FFFFFF"/>
        </w:rPr>
        <w:t> being the most widely studied ones[</w:t>
      </w:r>
      <w:hyperlink r:id="rId10" w:anchor="B18" w:history="1">
        <w:r>
          <w:rPr>
            <w:rStyle w:val="Hyperlink"/>
            <w:color w:val="642A8F"/>
            <w:shd w:val="clear" w:color="auto" w:fill="FFFFFF"/>
          </w:rPr>
          <w:t>18</w:t>
        </w:r>
      </w:hyperlink>
      <w:r>
        <w:rPr>
          <w:color w:val="000000"/>
          <w:shd w:val="clear" w:color="auto" w:fill="FFFFFF"/>
        </w:rPr>
        <w:t>,</w:t>
      </w:r>
      <w:hyperlink r:id="rId11" w:anchor="B30" w:history="1">
        <w:r>
          <w:rPr>
            <w:rStyle w:val="Hyperlink"/>
            <w:color w:val="642A8F"/>
            <w:shd w:val="clear" w:color="auto" w:fill="FFFFFF"/>
          </w:rPr>
          <w:t>30</w:t>
        </w:r>
      </w:hyperlink>
      <w:r>
        <w:rPr>
          <w:color w:val="000000"/>
          <w:shd w:val="clear" w:color="auto" w:fill="FFFFFF"/>
        </w:rPr>
        <w:t>-</w:t>
      </w:r>
      <w:hyperlink r:id="rId12" w:anchor="B34" w:history="1">
        <w:r>
          <w:rPr>
            <w:rStyle w:val="Hyperlink"/>
            <w:color w:val="642A8F"/>
            <w:shd w:val="clear" w:color="auto" w:fill="FFFFFF"/>
          </w:rPr>
          <w:t>34</w:t>
        </w:r>
      </w:hyperlink>
      <w:r>
        <w:rPr>
          <w:color w:val="000000"/>
          <w:shd w:val="clear" w:color="auto" w:fill="FFFFFF"/>
        </w:rPr>
        <w:t>]. Computational analysis tools that we used in our study suggested two genes polymorphisms - </w:t>
      </w:r>
      <w:r>
        <w:rPr>
          <w:rStyle w:val="Emphasis"/>
          <w:color w:val="000000"/>
          <w:shd w:val="clear" w:color="auto" w:fill="FFFFFF"/>
        </w:rPr>
        <w:t>IL12B</w:t>
      </w:r>
      <w:r>
        <w:rPr>
          <w:color w:val="000000"/>
          <w:shd w:val="clear" w:color="auto" w:fill="FFFFFF"/>
        </w:rPr>
        <w:t> (rs1368439) and </w:t>
      </w:r>
      <w:r>
        <w:rPr>
          <w:rStyle w:val="Emphasis"/>
          <w:color w:val="000000"/>
          <w:shd w:val="clear" w:color="auto" w:fill="FFFFFF"/>
        </w:rPr>
        <w:t>IL10</w:t>
      </w:r>
      <w:r>
        <w:rPr>
          <w:color w:val="000000"/>
          <w:shd w:val="clear" w:color="auto" w:fill="FFFFFF"/>
        </w:rPr>
        <w:t> (rs3024498) - situated in inflammatory pathways, that might be the involved in miRNA-target gene interaction[</w:t>
      </w:r>
      <w:hyperlink r:id="rId13" w:anchor="B16" w:history="1">
        <w:r>
          <w:rPr>
            <w:rStyle w:val="Hyperlink"/>
            <w:color w:val="642A8F"/>
            <w:shd w:val="clear" w:color="auto" w:fill="FFFFFF"/>
          </w:rPr>
          <w:t>16</w:t>
        </w:r>
      </w:hyperlink>
      <w:r>
        <w:rPr>
          <w:color w:val="000000"/>
          <w:shd w:val="clear" w:color="auto" w:fill="FFFFFF"/>
        </w:rPr>
        <w:t>]. The other studies evaluated some gene polymorphisms located in IL12 and IL10; however, they were different from the ones selected for our study. </w:t>
      </w:r>
      <w:r>
        <w:rPr>
          <w:rStyle w:val="Emphasis"/>
          <w:color w:val="000000"/>
          <w:shd w:val="clear" w:color="auto" w:fill="FFFFFF"/>
        </w:rPr>
        <w:t>IL12B</w:t>
      </w:r>
      <w:r>
        <w:rPr>
          <w:color w:val="000000"/>
          <w:shd w:val="clear" w:color="auto" w:fill="FFFFFF"/>
        </w:rPr>
        <w:t> encodes a subunit p40 of interleukin (IL) 12. Proinflammatory cytokine IL12 is expressed by activated macrophages and favors the differentiation of T helper 1 (Th1) cells[</w:t>
      </w:r>
      <w:hyperlink r:id="rId14" w:anchor="B35" w:history="1">
        <w:r>
          <w:rPr>
            <w:rStyle w:val="Hyperlink"/>
            <w:color w:val="642A8F"/>
            <w:shd w:val="clear" w:color="auto" w:fill="FFFFFF"/>
          </w:rPr>
          <w:t>35</w:t>
        </w:r>
      </w:hyperlink>
      <w:r>
        <w:rPr>
          <w:color w:val="000000"/>
          <w:shd w:val="clear" w:color="auto" w:fill="FFFFFF"/>
        </w:rPr>
        <w:t>]. Th1 lymphocytes prevail over Th2 in </w:t>
      </w:r>
      <w:r>
        <w:rPr>
          <w:rStyle w:val="Emphasis"/>
          <w:color w:val="000000"/>
          <w:shd w:val="clear" w:color="auto" w:fill="FFFFFF"/>
        </w:rPr>
        <w:t>H. pylori</w:t>
      </w:r>
      <w:r>
        <w:rPr>
          <w:color w:val="000000"/>
          <w:shd w:val="clear" w:color="auto" w:fill="FFFFFF"/>
        </w:rPr>
        <w:t> associated chronic gastritis[</w:t>
      </w:r>
      <w:hyperlink r:id="rId15" w:anchor="B36" w:history="1">
        <w:r>
          <w:rPr>
            <w:rStyle w:val="Hyperlink"/>
            <w:color w:val="642A8F"/>
            <w:shd w:val="clear" w:color="auto" w:fill="FFFFFF"/>
          </w:rPr>
          <w:t>36</w:t>
        </w:r>
      </w:hyperlink>
      <w:r>
        <w:rPr>
          <w:color w:val="000000"/>
          <w:shd w:val="clear" w:color="auto" w:fill="FFFFFF"/>
        </w:rPr>
        <w:t>]. </w:t>
      </w:r>
      <w:r>
        <w:rPr>
          <w:rStyle w:val="Emphasis"/>
          <w:color w:val="000000"/>
          <w:shd w:val="clear" w:color="auto" w:fill="FFFFFF"/>
        </w:rPr>
        <w:t>IL10</w:t>
      </w:r>
      <w:r>
        <w:rPr>
          <w:color w:val="000000"/>
          <w:shd w:val="clear" w:color="auto" w:fill="FFFFFF"/>
        </w:rPr>
        <w:t> down-regulates the expression of Th1 cytokines and enhances B cell survival, proliferation, and antibody production[</w:t>
      </w:r>
      <w:hyperlink r:id="rId16" w:anchor="B37" w:history="1">
        <w:r>
          <w:rPr>
            <w:rStyle w:val="Hyperlink"/>
            <w:color w:val="642A8F"/>
            <w:shd w:val="clear" w:color="auto" w:fill="FFFFFF"/>
          </w:rPr>
          <w:t>37</w:t>
        </w:r>
      </w:hyperlink>
      <w:r>
        <w:rPr>
          <w:color w:val="000000"/>
          <w:shd w:val="clear" w:color="auto" w:fill="FFFFFF"/>
        </w:rPr>
        <w:t>]. Our study did not find significant association between polymorphisms in </w:t>
      </w:r>
      <w:r>
        <w:rPr>
          <w:rStyle w:val="Emphasis"/>
          <w:color w:val="000000"/>
          <w:shd w:val="clear" w:color="auto" w:fill="FFFFFF"/>
        </w:rPr>
        <w:t>IL12B</w:t>
      </w:r>
      <w:r>
        <w:rPr>
          <w:color w:val="000000"/>
          <w:shd w:val="clear" w:color="auto" w:fill="FFFFFF"/>
        </w:rPr>
        <w:t>or </w:t>
      </w:r>
      <w:r>
        <w:rPr>
          <w:rStyle w:val="Emphasis"/>
          <w:color w:val="000000"/>
          <w:shd w:val="clear" w:color="auto" w:fill="FFFFFF"/>
        </w:rPr>
        <w:t>IL10</w:t>
      </w:r>
      <w:r>
        <w:rPr>
          <w:color w:val="000000"/>
          <w:shd w:val="clear" w:color="auto" w:fill="FFFFFF"/>
        </w:rPr>
        <w:t> genes with GC risk. Our results support the previous data to other populations, which analyzed associations between SNPs in genes regulating the inflammatory response and GC[</w:t>
      </w:r>
      <w:hyperlink r:id="rId17" w:anchor="B30" w:history="1">
        <w:r>
          <w:rPr>
            <w:rStyle w:val="Hyperlink"/>
            <w:color w:val="642A8F"/>
            <w:shd w:val="clear" w:color="auto" w:fill="FFFFFF"/>
          </w:rPr>
          <w:t>30</w:t>
        </w:r>
      </w:hyperlink>
      <w:r>
        <w:rPr>
          <w:color w:val="000000"/>
          <w:shd w:val="clear" w:color="auto" w:fill="FFFFFF"/>
        </w:rPr>
        <w:t>-</w:t>
      </w:r>
      <w:hyperlink r:id="rId18" w:anchor="B32" w:history="1">
        <w:r>
          <w:rPr>
            <w:rStyle w:val="Hyperlink"/>
            <w:color w:val="642A8F"/>
            <w:shd w:val="clear" w:color="auto" w:fill="FFFFFF"/>
          </w:rPr>
          <w:t>32</w:t>
        </w:r>
      </w:hyperlink>
      <w:r>
        <w:rPr>
          <w:color w:val="000000"/>
          <w:shd w:val="clear" w:color="auto" w:fill="FFFFFF"/>
        </w:rPr>
        <w:t>,</w:t>
      </w:r>
      <w:hyperlink r:id="rId19" w:anchor="B34" w:history="1">
        <w:r>
          <w:rPr>
            <w:rStyle w:val="Hyperlink"/>
            <w:color w:val="642A8F"/>
            <w:shd w:val="clear" w:color="auto" w:fill="FFFFFF"/>
          </w:rPr>
          <w:t>34</w:t>
        </w:r>
      </w:hyperlink>
      <w:r>
        <w:rPr>
          <w:color w:val="000000"/>
          <w:shd w:val="clear" w:color="auto" w:fill="FFFFFF"/>
        </w:rPr>
        <w:t>].</w:t>
      </w:r>
    </w:p>
    <w:p w14:paraId="7D66216E" w14:textId="521D73EB" w:rsidR="004C78E8" w:rsidRDefault="004C78E8"/>
    <w:p w14:paraId="5DB9B1A1" w14:textId="4BFB551C" w:rsidR="004C78E8" w:rsidRDefault="004C78E8">
      <w:pPr>
        <w:rPr>
          <w:color w:val="000000"/>
          <w:shd w:val="clear" w:color="auto" w:fill="FFFFFF"/>
        </w:rPr>
      </w:pPr>
      <w:hyperlink r:id="rId20" w:history="1">
        <w:r w:rsidRPr="005E3A55">
          <w:rPr>
            <w:rStyle w:val="Hyperlink"/>
            <w:shd w:val="clear" w:color="auto" w:fill="FFFFFF"/>
          </w:rPr>
          <w:t>https://www.ncbi.nlm.nih.gov/pubmed/21339808</w:t>
        </w:r>
      </w:hyperlink>
    </w:p>
    <w:p w14:paraId="686A936C" w14:textId="5BA680DB" w:rsidR="004C78E8" w:rsidRDefault="004C78E8">
      <w:pPr>
        <w:rPr>
          <w:color w:val="000000"/>
          <w:shd w:val="clear" w:color="auto" w:fill="FFFFFF"/>
        </w:rPr>
      </w:pPr>
      <w:r>
        <w:rPr>
          <w:color w:val="000000"/>
          <w:shd w:val="clear" w:color="auto" w:fill="FFFFFF"/>
        </w:rPr>
        <w:t>We examined whether polymorphisms in interleukin-12B (</w:t>
      </w:r>
      <w:r>
        <w:rPr>
          <w:rStyle w:val="Emphasis"/>
          <w:color w:val="000000"/>
          <w:shd w:val="clear" w:color="auto" w:fill="FFFFFF"/>
        </w:rPr>
        <w:t>IL12B</w:t>
      </w:r>
      <w:r>
        <w:rPr>
          <w:color w:val="000000"/>
          <w:shd w:val="clear" w:color="auto" w:fill="FFFFFF"/>
        </w:rPr>
        <w:t xml:space="preserve">) associate with susceptibility to pulmonary tuberculosis (PTB) in two West African populations (from The Gambia and Guinea-Bissau) and in two independent populations from North and South America. Nine polymorphisms (seven SNPs, one insertion/deletion, one microsatellite) </w:t>
      </w:r>
      <w:proofErr w:type="gramStart"/>
      <w:r>
        <w:rPr>
          <w:color w:val="000000"/>
          <w:shd w:val="clear" w:color="auto" w:fill="FFFFFF"/>
        </w:rPr>
        <w:t>were analyzed</w:t>
      </w:r>
      <w:proofErr w:type="gramEnd"/>
      <w:r>
        <w:rPr>
          <w:color w:val="000000"/>
          <w:shd w:val="clear" w:color="auto" w:fill="FFFFFF"/>
        </w:rPr>
        <w:t xml:space="preserve"> in 321 PTB cases and 346 controls from Guinea-Bissau and 280 PTB cases and 286 controls from The </w:t>
      </w:r>
      <w:r>
        <w:rPr>
          <w:color w:val="000000"/>
          <w:shd w:val="clear" w:color="auto" w:fill="FFFFFF"/>
        </w:rPr>
        <w:lastRenderedPageBreak/>
        <w:t>Gambia. For replication we studied 281 case and 179 control African-American samples and 221 cases and 144 controls of European ancestry from the US and Argentina. First-stage single locus analyses revealed signals of association at </w:t>
      </w:r>
      <w:r>
        <w:rPr>
          <w:rStyle w:val="Emphasis"/>
          <w:color w:val="000000"/>
          <w:shd w:val="clear" w:color="auto" w:fill="FFFFFF"/>
        </w:rPr>
        <w:t>IL12B</w:t>
      </w:r>
      <w:r>
        <w:rPr>
          <w:color w:val="000000"/>
          <w:shd w:val="clear" w:color="auto" w:fill="FFFFFF"/>
        </w:rPr>
        <w:t xml:space="preserve"> 3′ UTR SNP rs3212227 (unadjusted allelic p = 0.04; additive genotypic p = 0.05, OR = 0.78, 95% CI [0.61–0.99]) in Guinea-Bissau and rs11574790 (unadjusted allelic p = 0.05; additive genotypic p = 0.05, OR = 0.76, 95% CI [0.58–1.00]) in The Gambia. Association of rs3212227 </w:t>
      </w:r>
      <w:proofErr w:type="gramStart"/>
      <w:r>
        <w:rPr>
          <w:color w:val="000000"/>
          <w:shd w:val="clear" w:color="auto" w:fill="FFFFFF"/>
        </w:rPr>
        <w:t>was then replicated</w:t>
      </w:r>
      <w:proofErr w:type="gramEnd"/>
      <w:r>
        <w:rPr>
          <w:color w:val="000000"/>
          <w:shd w:val="clear" w:color="auto" w:fill="FFFFFF"/>
        </w:rPr>
        <w:t xml:space="preserve"> in African-Americans (rs3212227 allelic p = 0.002; additive genotypic p = 0.05, OR = 0.78, 95% CI [0.61–1.00]); most importantly, in the African-American cohort, multiple significant signals of association (seven of the nine polymorphisms tested) were detected throughout the gene. These data suggest that genetic variation in </w:t>
      </w:r>
      <w:r>
        <w:rPr>
          <w:rStyle w:val="Emphasis"/>
          <w:color w:val="000000"/>
          <w:shd w:val="clear" w:color="auto" w:fill="FFFFFF"/>
        </w:rPr>
        <w:t>IL12B</w:t>
      </w:r>
      <w:r>
        <w:rPr>
          <w:color w:val="000000"/>
          <w:shd w:val="clear" w:color="auto" w:fill="FFFFFF"/>
        </w:rPr>
        <w:t xml:space="preserve">, a highly relevant candidate gene, is a risk factor for PTB in populations of African ancestry, although further studies will </w:t>
      </w:r>
      <w:proofErr w:type="gramStart"/>
      <w:r>
        <w:rPr>
          <w:color w:val="000000"/>
          <w:shd w:val="clear" w:color="auto" w:fill="FFFFFF"/>
        </w:rPr>
        <w:t>be required</w:t>
      </w:r>
      <w:proofErr w:type="gramEnd"/>
      <w:r>
        <w:rPr>
          <w:color w:val="000000"/>
          <w:shd w:val="clear" w:color="auto" w:fill="FFFFFF"/>
        </w:rPr>
        <w:t xml:space="preserve"> to confirm this association and identify the precise mechanism underlying it.</w:t>
      </w:r>
    </w:p>
    <w:p w14:paraId="02B51D37" w14:textId="77777777" w:rsidR="004C78E8" w:rsidRDefault="004C78E8"/>
    <w:p w14:paraId="6DEBD594" w14:textId="1DAA3D9C" w:rsidR="004C78E8" w:rsidRDefault="004C78E8">
      <w:pPr>
        <w:rPr>
          <w:color w:val="000000"/>
          <w:shd w:val="clear" w:color="auto" w:fill="FFFFFF"/>
        </w:rPr>
      </w:pPr>
      <w:r>
        <w:rPr>
          <w:color w:val="000000"/>
          <w:shd w:val="clear" w:color="auto" w:fill="FFFFFF"/>
        </w:rPr>
        <w:t>. Single locus tests of association in the African-Americans identified seven significant allelic associations at </w:t>
      </w:r>
      <w:r>
        <w:rPr>
          <w:rStyle w:val="Emphasis"/>
          <w:color w:val="000000"/>
          <w:shd w:val="clear" w:color="auto" w:fill="FFFFFF"/>
        </w:rPr>
        <w:t>IL12B</w:t>
      </w:r>
      <w:r>
        <w:rPr>
          <w:color w:val="000000"/>
          <w:shd w:val="clear" w:color="auto" w:fill="FFFFFF"/>
        </w:rPr>
        <w:t> polymorphisms rs3212227 (p = 0.002), rs2421047 (p = 0.008), rs2288831 </w:t>
      </w:r>
    </w:p>
    <w:p w14:paraId="270A3A4D" w14:textId="4E6B7164" w:rsidR="004C78E8" w:rsidRDefault="004C78E8"/>
    <w:p w14:paraId="0AE9E5DE" w14:textId="7D698177" w:rsidR="004C78E8" w:rsidRDefault="004C78E8">
      <w:hyperlink r:id="rId21" w:history="1">
        <w:r w:rsidRPr="005E3A55">
          <w:rPr>
            <w:rStyle w:val="Hyperlink"/>
          </w:rPr>
          <w:t>https://www.ncbi.nlm.nih.gov/pubmed/20525402</w:t>
        </w:r>
      </w:hyperlink>
    </w:p>
    <w:p w14:paraId="3E436229" w14:textId="77777777" w:rsidR="004C78E8" w:rsidRDefault="004C78E8"/>
    <w:p w14:paraId="6A2A8CB2" w14:textId="3B7355BE" w:rsidR="004C78E8" w:rsidRDefault="004C78E8">
      <w:pPr>
        <w:rPr>
          <w:color w:val="000000"/>
          <w:shd w:val="clear" w:color="auto" w:fill="FFFFFF"/>
        </w:rPr>
      </w:pPr>
      <w:r>
        <w:rPr>
          <w:color w:val="000000"/>
          <w:shd w:val="clear" w:color="auto" w:fill="FFFFFF"/>
        </w:rPr>
        <w:t>Even though none of the other </w:t>
      </w:r>
      <w:r>
        <w:rPr>
          <w:rStyle w:val="Emphasis"/>
          <w:color w:val="000000"/>
          <w:shd w:val="clear" w:color="auto" w:fill="FFFFFF"/>
        </w:rPr>
        <w:t>IL12B </w:t>
      </w:r>
      <w:r>
        <w:rPr>
          <w:color w:val="000000"/>
          <w:shd w:val="clear" w:color="auto" w:fill="FFFFFF"/>
        </w:rPr>
        <w:t xml:space="preserve">polymorphisms investigated were associated with TB in the single-point analysis (similar to the results published by </w:t>
      </w:r>
      <w:proofErr w:type="spellStart"/>
      <w:r>
        <w:rPr>
          <w:color w:val="000000"/>
          <w:shd w:val="clear" w:color="auto" w:fill="FFFFFF"/>
        </w:rPr>
        <w:t>Kusuhara</w:t>
      </w:r>
      <w:proofErr w:type="spellEnd"/>
      <w:r>
        <w:rPr>
          <w:color w:val="000000"/>
          <w:shd w:val="clear" w:color="auto" w:fill="FFFFFF"/>
        </w:rPr>
        <w:t> </w:t>
      </w:r>
      <w:r>
        <w:rPr>
          <w:rStyle w:val="Emphasis"/>
          <w:color w:val="000000"/>
          <w:shd w:val="clear" w:color="auto" w:fill="FFFFFF"/>
        </w:rPr>
        <w:t>et al. </w:t>
      </w:r>
      <w:r>
        <w:rPr>
          <w:color w:val="000000"/>
          <w:shd w:val="clear" w:color="auto" w:fill="FFFFFF"/>
        </w:rPr>
        <w:t>[</w:t>
      </w:r>
      <w:hyperlink r:id="rId22" w:anchor="B77" w:history="1">
        <w:r>
          <w:rPr>
            <w:rStyle w:val="Hyperlink"/>
            <w:color w:val="642A8F"/>
            <w:shd w:val="clear" w:color="auto" w:fill="FFFFFF"/>
          </w:rPr>
          <w:t>77</w:t>
        </w:r>
      </w:hyperlink>
      <w:r>
        <w:rPr>
          <w:color w:val="000000"/>
          <w:shd w:val="clear" w:color="auto" w:fill="FFFFFF"/>
        </w:rPr>
        <w:t>] for rs11135058, rs2288831 and rs6870828), we found a nominally significant association between a haplotype in </w:t>
      </w:r>
      <w:r>
        <w:rPr>
          <w:rStyle w:val="Emphasis"/>
          <w:color w:val="000000"/>
          <w:shd w:val="clear" w:color="auto" w:fill="FFFFFF"/>
        </w:rPr>
        <w:t>IL12B </w:t>
      </w:r>
      <w:r>
        <w:rPr>
          <w:color w:val="000000"/>
          <w:shd w:val="clear" w:color="auto" w:fill="FFFFFF"/>
        </w:rPr>
        <w:t>and resistance to TB in the SAC population (Figure </w:t>
      </w:r>
      <w:hyperlink r:id="rId23" w:tgtFrame="figure" w:history="1">
        <w:r>
          <w:rPr>
            <w:rStyle w:val="Hyperlink"/>
            <w:color w:val="642A8F"/>
            <w:shd w:val="clear" w:color="auto" w:fill="FFFFFF"/>
          </w:rPr>
          <w:t>​</w:t>
        </w:r>
        <w:r>
          <w:rPr>
            <w:rStyle w:val="figpopup-sensitive-area"/>
            <w:color w:val="642A8F"/>
          </w:rPr>
          <w:t>(Figure1,</w:t>
        </w:r>
        <w:r>
          <w:rPr>
            <w:rStyle w:val="Hyperlink"/>
            <w:color w:val="642A8F"/>
            <w:shd w:val="clear" w:color="auto" w:fill="FFFFFF"/>
          </w:rPr>
          <w:t>1</w:t>
        </w:r>
      </w:hyperlink>
      <w:r>
        <w:rPr>
          <w:color w:val="000000"/>
          <w:shd w:val="clear" w:color="auto" w:fill="FFFFFF"/>
        </w:rPr>
        <w:t>, Table </w:t>
      </w:r>
      <w:hyperlink r:id="rId24" w:tgtFrame="true" w:history="1">
        <w:r>
          <w:rPr>
            <w:rStyle w:val="Hyperlink"/>
            <w:color w:val="642A8F"/>
            <w:shd w:val="clear" w:color="auto" w:fill="FFFFFF"/>
          </w:rPr>
          <w:t>​</w:t>
        </w:r>
        <w:r>
          <w:rPr>
            <w:rStyle w:val="figpopup-sensitive-area"/>
            <w:color w:val="642A8F"/>
          </w:rPr>
          <w:t>Table3).</w:t>
        </w:r>
        <w:r>
          <w:rPr>
            <w:rStyle w:val="Hyperlink"/>
            <w:color w:val="642A8F"/>
            <w:shd w:val="clear" w:color="auto" w:fill="FFFFFF"/>
          </w:rPr>
          <w:t>3</w:t>
        </w:r>
      </w:hyperlink>
      <w:r>
        <w:rPr>
          <w:color w:val="000000"/>
          <w:shd w:val="clear" w:color="auto" w:fill="FFFFFF"/>
        </w:rPr>
        <w:t>). </w:t>
      </w:r>
    </w:p>
    <w:p w14:paraId="52AD1E95" w14:textId="772999BC" w:rsidR="004C78E8" w:rsidRDefault="004C78E8"/>
    <w:p w14:paraId="11FBB344" w14:textId="169C30ED" w:rsidR="004C78E8" w:rsidRDefault="004C78E8">
      <w:hyperlink r:id="rId25" w:history="1">
        <w:r w:rsidRPr="005E3A55">
          <w:rPr>
            <w:rStyle w:val="Hyperlink"/>
          </w:rPr>
          <w:t>https://www.ncbi.nlm.nih.gov/pubmed/28415696</w:t>
        </w:r>
      </w:hyperlink>
    </w:p>
    <w:p w14:paraId="374E701D" w14:textId="77777777" w:rsidR="004C78E8" w:rsidRDefault="004C78E8"/>
    <w:p w14:paraId="4BE1F572" w14:textId="010DAD92" w:rsidR="004C78E8" w:rsidRDefault="004C78E8">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e</w:t>
      </w:r>
      <w:proofErr w:type="spellEnd"/>
      <w:r>
        <w:rPr>
          <w:rFonts w:ascii="Arial" w:hAnsi="Arial" w:cs="Arial"/>
          <w:color w:val="000000"/>
          <w:sz w:val="20"/>
          <w:szCs w:val="20"/>
          <w:shd w:val="clear" w:color="auto" w:fill="FFFFFF"/>
        </w:rPr>
        <w:t xml:space="preserve"> observed a significant association between IL-12B </w:t>
      </w:r>
      <w:r>
        <w:rPr>
          <w:rStyle w:val="highlight"/>
          <w:rFonts w:ascii="Arial" w:hAnsi="Arial" w:cs="Arial"/>
          <w:color w:val="000000"/>
          <w:sz w:val="20"/>
          <w:szCs w:val="20"/>
          <w:shd w:val="clear" w:color="auto" w:fill="FFFFFF"/>
        </w:rPr>
        <w:t>rs3212227</w:t>
      </w:r>
      <w:r>
        <w:rPr>
          <w:rFonts w:ascii="Arial" w:hAnsi="Arial" w:cs="Arial"/>
          <w:color w:val="000000"/>
          <w:sz w:val="20"/>
          <w:szCs w:val="20"/>
          <w:shd w:val="clear" w:color="auto" w:fill="FFFFFF"/>
        </w:rPr>
        <w:t> and overall cancer risk, especially in hepatocellular carcinoma, nasopharyngeal cancer, and among Asians.</w:t>
      </w:r>
    </w:p>
    <w:p w14:paraId="04C879BB" w14:textId="19F2BD8C" w:rsidR="004C78E8" w:rsidRDefault="004C78E8"/>
    <w:p w14:paraId="105E7531" w14:textId="151ACCD2" w:rsidR="004C78E8" w:rsidRDefault="004C78E8">
      <w:hyperlink r:id="rId26" w:history="1">
        <w:r w:rsidRPr="005E3A55">
          <w:rPr>
            <w:rStyle w:val="Hyperlink"/>
          </w:rPr>
          <w:t>https://www.ncbi.nlm.nih.gov/pubmed/27896842</w:t>
        </w:r>
      </w:hyperlink>
    </w:p>
    <w:p w14:paraId="69DEA0D5" w14:textId="77777777" w:rsidR="004C78E8" w:rsidRDefault="004C78E8"/>
    <w:p w14:paraId="4F433A33" w14:textId="403045AB" w:rsidR="004C78E8" w:rsidRDefault="004C78E8">
      <w:pPr>
        <w:rPr>
          <w:rFonts w:ascii="Arial" w:hAnsi="Arial" w:cs="Arial"/>
          <w:color w:val="000000"/>
          <w:sz w:val="20"/>
          <w:szCs w:val="20"/>
          <w:shd w:val="clear" w:color="auto" w:fill="FFFFFF"/>
        </w:rPr>
      </w:pPr>
      <w:r>
        <w:rPr>
          <w:rFonts w:ascii="Arial" w:hAnsi="Arial" w:cs="Arial"/>
          <w:color w:val="000000"/>
          <w:sz w:val="20"/>
          <w:szCs w:val="20"/>
          <w:shd w:val="clear" w:color="auto" w:fill="FFFFFF"/>
        </w:rPr>
        <w:t>Frequencies of the </w:t>
      </w:r>
      <w:r>
        <w:rPr>
          <w:rStyle w:val="highlight"/>
          <w:rFonts w:ascii="Arial" w:hAnsi="Arial" w:cs="Arial"/>
          <w:color w:val="000000"/>
          <w:sz w:val="20"/>
          <w:szCs w:val="20"/>
          <w:shd w:val="clear" w:color="auto" w:fill="FFFFFF"/>
        </w:rPr>
        <w:t>rs3212227</w:t>
      </w:r>
      <w:r>
        <w:rPr>
          <w:rFonts w:ascii="Arial" w:hAnsi="Arial" w:cs="Arial"/>
          <w:color w:val="000000"/>
          <w:sz w:val="20"/>
          <w:szCs w:val="20"/>
          <w:shd w:val="clear" w:color="auto" w:fill="FFFFFF"/>
        </w:rPr>
        <w:t>CC genotype were statistically higher in patients with RA compared with the healthy control group in both codominant and recessive models (P = 0.037; P = 0.04, respectively). The frequency of </w:t>
      </w:r>
      <w:r>
        <w:rPr>
          <w:rStyle w:val="highlight"/>
          <w:rFonts w:ascii="Arial" w:hAnsi="Arial" w:cs="Arial"/>
          <w:color w:val="000000"/>
          <w:sz w:val="20"/>
          <w:szCs w:val="20"/>
          <w:shd w:val="clear" w:color="auto" w:fill="FFFFFF"/>
        </w:rPr>
        <w:t>rs3212227</w:t>
      </w:r>
      <w:r>
        <w:rPr>
          <w:rFonts w:ascii="Arial" w:hAnsi="Arial" w:cs="Arial"/>
          <w:color w:val="000000"/>
          <w:sz w:val="20"/>
          <w:szCs w:val="20"/>
          <w:shd w:val="clear" w:color="auto" w:fill="FFFFFF"/>
        </w:rPr>
        <w:t xml:space="preserve">C allele also showed similar tendency (P = 0.07). IL-12 level in serum was significantly higher in RA group compared with control (P &lt; 0.0001). We observed that increased IL-12 serum level was correlated with higher number of tender and swollen joints, </w:t>
      </w:r>
      <w:proofErr w:type="spellStart"/>
      <w:r>
        <w:rPr>
          <w:rFonts w:ascii="Arial" w:hAnsi="Arial" w:cs="Arial"/>
          <w:color w:val="000000"/>
          <w:sz w:val="20"/>
          <w:szCs w:val="20"/>
          <w:shd w:val="clear" w:color="auto" w:fill="FFFFFF"/>
        </w:rPr>
        <w:t>ExRA</w:t>
      </w:r>
      <w:proofErr w:type="spellEnd"/>
      <w:r>
        <w:rPr>
          <w:rFonts w:ascii="Arial" w:hAnsi="Arial" w:cs="Arial"/>
          <w:color w:val="000000"/>
          <w:sz w:val="20"/>
          <w:szCs w:val="20"/>
          <w:shd w:val="clear" w:color="auto" w:fill="FFFFFF"/>
        </w:rPr>
        <w:t xml:space="preserve"> presence and higher levels of </w:t>
      </w:r>
      <w:proofErr w:type="spellStart"/>
      <w:r>
        <w:rPr>
          <w:rFonts w:ascii="Arial" w:hAnsi="Arial" w:cs="Arial"/>
          <w:color w:val="000000"/>
          <w:sz w:val="20"/>
          <w:szCs w:val="20"/>
          <w:shd w:val="clear" w:color="auto" w:fill="FFFFFF"/>
        </w:rPr>
        <w:t>haemoglobin</w:t>
      </w:r>
      <w:proofErr w:type="spellEnd"/>
      <w:r>
        <w:rPr>
          <w:rFonts w:ascii="Arial" w:hAnsi="Arial" w:cs="Arial"/>
          <w:color w:val="000000"/>
          <w:sz w:val="20"/>
          <w:szCs w:val="20"/>
          <w:shd w:val="clear" w:color="auto" w:fill="FFFFFF"/>
        </w:rPr>
        <w:t xml:space="preserve">, CRP and PLT. </w:t>
      </w:r>
      <w:proofErr w:type="gramStart"/>
      <w:r>
        <w:rPr>
          <w:rFonts w:ascii="Arial" w:hAnsi="Arial" w:cs="Arial"/>
          <w:color w:val="000000"/>
          <w:sz w:val="20"/>
          <w:szCs w:val="20"/>
          <w:shd w:val="clear" w:color="auto" w:fill="FFFFFF"/>
        </w:rPr>
        <w:t>Also</w:t>
      </w:r>
      <w:proofErr w:type="gramEnd"/>
      <w:r>
        <w:rPr>
          <w:rFonts w:ascii="Arial" w:hAnsi="Arial" w:cs="Arial"/>
          <w:color w:val="000000"/>
          <w:sz w:val="20"/>
          <w:szCs w:val="20"/>
          <w:shd w:val="clear" w:color="auto" w:fill="FFFFFF"/>
        </w:rPr>
        <w:t xml:space="preserve"> higher IL-12 level in serum was observed within RA patients with hypertension. Present findings indicated that IL-12p40 + 1188A/C polymorphism as well as IL-12p70 protein levels may be associated with RA in the Polish population.</w:t>
      </w:r>
    </w:p>
    <w:p w14:paraId="16ED7F80" w14:textId="304104D4" w:rsidR="004C78E8" w:rsidRDefault="004C78E8"/>
    <w:p w14:paraId="74CB7E5E" w14:textId="3A1D67CD" w:rsidR="004C78E8" w:rsidRDefault="004C78E8">
      <w:pPr>
        <w:rPr>
          <w:rFonts w:ascii="Arial" w:hAnsi="Arial" w:cs="Arial"/>
          <w:color w:val="000000"/>
          <w:sz w:val="20"/>
          <w:szCs w:val="20"/>
          <w:shd w:val="clear" w:color="auto" w:fill="FFFFFF"/>
        </w:rPr>
      </w:pPr>
      <w:hyperlink r:id="rId27" w:history="1">
        <w:r w:rsidRPr="005E3A55">
          <w:rPr>
            <w:rStyle w:val="Hyperlink"/>
            <w:rFonts w:ascii="Arial" w:hAnsi="Arial" w:cs="Arial"/>
            <w:sz w:val="20"/>
            <w:szCs w:val="20"/>
            <w:shd w:val="clear" w:color="auto" w:fill="FFFFFF"/>
          </w:rPr>
          <w:t>https://www.ncbi.nlm.nih.gov/pubmed/27876593</w:t>
        </w:r>
      </w:hyperlink>
    </w:p>
    <w:p w14:paraId="4962FCC0" w14:textId="1523E783" w:rsidR="004C78E8" w:rsidRDefault="004C78E8">
      <w:pPr>
        <w:rPr>
          <w:rFonts w:ascii="Arial" w:hAnsi="Arial" w:cs="Arial"/>
          <w:color w:val="000000"/>
          <w:sz w:val="20"/>
          <w:szCs w:val="20"/>
          <w:shd w:val="clear" w:color="auto" w:fill="FFFFFF"/>
        </w:rPr>
      </w:pPr>
      <w:r>
        <w:rPr>
          <w:rFonts w:ascii="Arial" w:hAnsi="Arial" w:cs="Arial"/>
          <w:color w:val="000000"/>
          <w:sz w:val="20"/>
          <w:szCs w:val="20"/>
          <w:shd w:val="clear" w:color="auto" w:fill="FFFFFF"/>
        </w:rPr>
        <w:t>IFN-γ production by C. </w:t>
      </w:r>
      <w:proofErr w:type="spellStart"/>
      <w:r>
        <w:rPr>
          <w:rFonts w:ascii="Arial" w:hAnsi="Arial" w:cs="Arial"/>
          <w:color w:val="000000"/>
          <w:sz w:val="20"/>
          <w:szCs w:val="20"/>
          <w:shd w:val="clear" w:color="auto" w:fill="FFFFFF"/>
        </w:rPr>
        <w:t>burnetii</w:t>
      </w:r>
      <w:proofErr w:type="spellEnd"/>
      <w:r>
        <w:rPr>
          <w:rFonts w:ascii="Arial" w:hAnsi="Arial" w:cs="Arial"/>
          <w:color w:val="000000"/>
          <w:sz w:val="20"/>
          <w:szCs w:val="20"/>
          <w:shd w:val="clear" w:color="auto" w:fill="FFFFFF"/>
        </w:rPr>
        <w:t>-stimulated PBMCs from chronic Q fever patients was significantly higher than in healthy controls. Many IFN-γ response genes were strongly upregulated in PBMCs of patients. Neopterin levels were significantly higher in PBMC supernatants and sera of patients. The IL12B polymorphisms </w:t>
      </w:r>
      <w:r>
        <w:rPr>
          <w:rStyle w:val="highlight"/>
          <w:rFonts w:ascii="Arial" w:hAnsi="Arial" w:cs="Arial"/>
          <w:color w:val="000000"/>
          <w:sz w:val="20"/>
          <w:szCs w:val="20"/>
          <w:shd w:val="clear" w:color="auto" w:fill="FFFFFF"/>
        </w:rPr>
        <w:t>rs3212227</w:t>
      </w:r>
      <w:r>
        <w:rPr>
          <w:rFonts w:ascii="Arial" w:hAnsi="Arial" w:cs="Arial"/>
          <w:color w:val="000000"/>
          <w:sz w:val="20"/>
          <w:szCs w:val="20"/>
          <w:shd w:val="clear" w:color="auto" w:fill="FFFFFF"/>
        </w:rPr>
        <w:t> and rs2853694 were associated with chronic Q fever.</w:t>
      </w:r>
    </w:p>
    <w:p w14:paraId="1D753D5F" w14:textId="35C02281" w:rsidR="004C78E8" w:rsidRDefault="004C78E8"/>
    <w:p w14:paraId="26F88329" w14:textId="4BEFFB75" w:rsidR="004C78E8" w:rsidRDefault="004C78E8">
      <w:hyperlink r:id="rId28" w:history="1">
        <w:r w:rsidRPr="005E3A55">
          <w:rPr>
            <w:rStyle w:val="Hyperlink"/>
          </w:rPr>
          <w:t>https://www.ncbi.nlm.nih.gov/pubmed/27312970</w:t>
        </w:r>
      </w:hyperlink>
    </w:p>
    <w:p w14:paraId="269F5CA5" w14:textId="76E97B3F" w:rsidR="004C78E8" w:rsidRDefault="004C78E8">
      <w:pPr>
        <w:rPr>
          <w:rFonts w:ascii="Arial" w:hAnsi="Arial" w:cs="Arial"/>
          <w:color w:val="000000"/>
          <w:sz w:val="20"/>
          <w:szCs w:val="20"/>
          <w:shd w:val="clear" w:color="auto" w:fill="FFFFFF"/>
        </w:rPr>
      </w:pPr>
      <w:r>
        <w:rPr>
          <w:rFonts w:ascii="Arial" w:hAnsi="Arial" w:cs="Arial"/>
          <w:color w:val="000000"/>
          <w:sz w:val="20"/>
          <w:szCs w:val="20"/>
          <w:shd w:val="clear" w:color="auto" w:fill="FFFFFF"/>
        </w:rPr>
        <w:t>The aim of this study was to investigate the association of two common interleukin 12B (IL-12B) polymorphisms (</w:t>
      </w:r>
      <w:r>
        <w:rPr>
          <w:rStyle w:val="highlight"/>
          <w:rFonts w:ascii="Arial" w:hAnsi="Arial" w:cs="Arial"/>
          <w:color w:val="000000"/>
          <w:sz w:val="20"/>
          <w:szCs w:val="20"/>
          <w:shd w:val="clear" w:color="auto" w:fill="FFFFFF"/>
        </w:rPr>
        <w:t>rs3212227</w:t>
      </w:r>
      <w:r>
        <w:rPr>
          <w:rFonts w:ascii="Arial" w:hAnsi="Arial" w:cs="Arial"/>
          <w:color w:val="000000"/>
          <w:sz w:val="20"/>
          <w:szCs w:val="20"/>
          <w:shd w:val="clear" w:color="auto" w:fill="FFFFFF"/>
        </w:rPr>
        <w:t xml:space="preserve"> and rs6887695) with rheumatoid arthritis (RA) susceptibility through meta-analyses. A systematic literature search of PubMed, Web of Science, Cochrane Library, and </w:t>
      </w:r>
      <w:proofErr w:type="spellStart"/>
      <w:r>
        <w:rPr>
          <w:rFonts w:ascii="Arial" w:hAnsi="Arial" w:cs="Arial"/>
          <w:color w:val="000000"/>
          <w:sz w:val="20"/>
          <w:szCs w:val="20"/>
          <w:shd w:val="clear" w:color="auto" w:fill="FFFFFF"/>
        </w:rPr>
        <w:t>Embase</w:t>
      </w:r>
      <w:proofErr w:type="spellEnd"/>
      <w:r>
        <w:rPr>
          <w:rFonts w:ascii="Arial" w:hAnsi="Arial" w:cs="Arial"/>
          <w:color w:val="000000"/>
          <w:sz w:val="20"/>
          <w:szCs w:val="20"/>
          <w:shd w:val="clear" w:color="auto" w:fill="FFFFFF"/>
        </w:rPr>
        <w:t xml:space="preserve"> databases </w:t>
      </w:r>
      <w:proofErr w:type="gramStart"/>
      <w:r>
        <w:rPr>
          <w:rFonts w:ascii="Arial" w:hAnsi="Arial" w:cs="Arial"/>
          <w:color w:val="000000"/>
          <w:sz w:val="20"/>
          <w:szCs w:val="20"/>
          <w:shd w:val="clear" w:color="auto" w:fill="FFFFFF"/>
        </w:rPr>
        <w:t>was conducted</w:t>
      </w:r>
      <w:proofErr w:type="gramEnd"/>
      <w:r>
        <w:rPr>
          <w:rFonts w:ascii="Arial" w:hAnsi="Arial" w:cs="Arial"/>
          <w:color w:val="000000"/>
          <w:sz w:val="20"/>
          <w:szCs w:val="20"/>
          <w:shd w:val="clear" w:color="auto" w:fill="FFFFFF"/>
        </w:rPr>
        <w:t xml:space="preserve"> on articles published before 28 February 2016. Then odds ratio (OR) with </w:t>
      </w:r>
      <w:r>
        <w:rPr>
          <w:rFonts w:ascii="Arial" w:hAnsi="Arial" w:cs="Arial"/>
          <w:color w:val="000000"/>
          <w:sz w:val="20"/>
          <w:szCs w:val="20"/>
          <w:shd w:val="clear" w:color="auto" w:fill="FFFFFF"/>
        </w:rPr>
        <w:lastRenderedPageBreak/>
        <w:t xml:space="preserve">95 % confidence interval (CI) </w:t>
      </w:r>
      <w:proofErr w:type="gramStart"/>
      <w:r>
        <w:rPr>
          <w:rFonts w:ascii="Arial" w:hAnsi="Arial" w:cs="Arial"/>
          <w:color w:val="000000"/>
          <w:sz w:val="20"/>
          <w:szCs w:val="20"/>
          <w:shd w:val="clear" w:color="auto" w:fill="FFFFFF"/>
        </w:rPr>
        <w:t>was used</w:t>
      </w:r>
      <w:proofErr w:type="gramEnd"/>
      <w:r>
        <w:rPr>
          <w:rFonts w:ascii="Arial" w:hAnsi="Arial" w:cs="Arial"/>
          <w:color w:val="000000"/>
          <w:sz w:val="20"/>
          <w:szCs w:val="20"/>
          <w:shd w:val="clear" w:color="auto" w:fill="FFFFFF"/>
        </w:rPr>
        <w:t xml:space="preserve"> to quantify the strength of association for homozygote, heterozygote, dominant, and recessive genetic models. Nine articles with a total of 17 case-control studies (12 for IL-12B </w:t>
      </w:r>
      <w:r>
        <w:rPr>
          <w:rStyle w:val="highlight"/>
          <w:rFonts w:ascii="Arial" w:hAnsi="Arial" w:cs="Arial"/>
          <w:color w:val="000000"/>
          <w:sz w:val="20"/>
          <w:szCs w:val="20"/>
          <w:shd w:val="clear" w:color="auto" w:fill="FFFFFF"/>
        </w:rPr>
        <w:t>rs3212227</w:t>
      </w:r>
      <w:r>
        <w:rPr>
          <w:rFonts w:ascii="Arial" w:hAnsi="Arial" w:cs="Arial"/>
          <w:color w:val="000000"/>
          <w:sz w:val="20"/>
          <w:szCs w:val="20"/>
          <w:shd w:val="clear" w:color="auto" w:fill="FFFFFF"/>
        </w:rPr>
        <w:t> polymorphism and 5 for IL-12B rs6887695 polymorphism) met our inclusion criteria. The pooled results demonstrated that IL-12B </w:t>
      </w:r>
      <w:r>
        <w:rPr>
          <w:rStyle w:val="highlight"/>
          <w:rFonts w:ascii="Arial" w:hAnsi="Arial" w:cs="Arial"/>
          <w:color w:val="000000"/>
          <w:sz w:val="20"/>
          <w:szCs w:val="20"/>
          <w:shd w:val="clear" w:color="auto" w:fill="FFFFFF"/>
        </w:rPr>
        <w:t>rs3212227</w:t>
      </w:r>
      <w:r>
        <w:rPr>
          <w:rFonts w:ascii="Arial" w:hAnsi="Arial" w:cs="Arial"/>
          <w:color w:val="000000"/>
          <w:sz w:val="20"/>
          <w:szCs w:val="20"/>
          <w:shd w:val="clear" w:color="auto" w:fill="FFFFFF"/>
        </w:rPr>
        <w:t> (homozygote model: OR = 0.96, 95 % CI = 0.81-1.15; heterozygote model: OR = 1.07, 95 % CI = 0.93-1.23; dominant model: OR = 1.05, 95 % CI = 0.91-1.20; recessive model: OR = 0.93, 95 % CI = 0.79-1.10) and rs6887695 (homozygote model: OR = 1.01, 95 % CI = 0.84-1.21; heterozygote model: OR = 1.14, 95 % CI = 0.86-1.51; dominant model: OR = 1.14, 95 % CI = 0.87-1.48; recessive model: OR = 1.01, 95 % CI = 0.85-1.21) polymorphisms may not be associated with RA risk. Our meta-analyses demonstrated that IL-12B </w:t>
      </w:r>
      <w:r>
        <w:rPr>
          <w:rStyle w:val="highlight"/>
          <w:rFonts w:ascii="Arial" w:hAnsi="Arial" w:cs="Arial"/>
          <w:color w:val="000000"/>
          <w:sz w:val="20"/>
          <w:szCs w:val="20"/>
          <w:shd w:val="clear" w:color="auto" w:fill="FFFFFF"/>
        </w:rPr>
        <w:t>rs3212227</w:t>
      </w:r>
      <w:r>
        <w:rPr>
          <w:rFonts w:ascii="Arial" w:hAnsi="Arial" w:cs="Arial"/>
          <w:color w:val="000000"/>
          <w:sz w:val="20"/>
          <w:szCs w:val="20"/>
          <w:shd w:val="clear" w:color="auto" w:fill="FFFFFF"/>
        </w:rPr>
        <w:t> and rs6887695 polymorphisms do not confer susceptibility to RA.</w:t>
      </w:r>
    </w:p>
    <w:p w14:paraId="762A2A0D" w14:textId="4A9C32D4" w:rsidR="004C78E8" w:rsidRDefault="004C78E8"/>
    <w:p w14:paraId="3436D87D" w14:textId="3AF5E369" w:rsidR="004C78E8" w:rsidRDefault="004C78E8">
      <w:pPr>
        <w:rPr>
          <w:rFonts w:ascii="Arial" w:hAnsi="Arial" w:cs="Arial"/>
          <w:color w:val="000000"/>
          <w:sz w:val="20"/>
          <w:szCs w:val="20"/>
          <w:shd w:val="clear" w:color="auto" w:fill="FFFFFF"/>
        </w:rPr>
      </w:pPr>
      <w:hyperlink r:id="rId29" w:history="1">
        <w:r w:rsidRPr="005E3A55">
          <w:rPr>
            <w:rStyle w:val="Hyperlink"/>
            <w:rFonts w:ascii="Arial" w:hAnsi="Arial" w:cs="Arial"/>
            <w:sz w:val="20"/>
            <w:szCs w:val="20"/>
            <w:shd w:val="clear" w:color="auto" w:fill="FFFFFF"/>
          </w:rPr>
          <w:t>https://www.ncbi.nlm.nih.gov/pubmed/27059274</w:t>
        </w:r>
      </w:hyperlink>
    </w:p>
    <w:p w14:paraId="6556BD77" w14:textId="37B9F90E" w:rsidR="004C78E8" w:rsidRDefault="004C78E8">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To investigate the potential association between IL-12B and IL-27 gene polymorphisms and systemic lupus erythematosus (SLE), we performed a case-control study based on the Polish population. Patients with SLE and healthy individuals </w:t>
      </w:r>
      <w:proofErr w:type="gramStart"/>
      <w:r>
        <w:rPr>
          <w:rFonts w:ascii="Arial" w:hAnsi="Arial" w:cs="Arial"/>
          <w:color w:val="000000"/>
          <w:sz w:val="20"/>
          <w:szCs w:val="20"/>
          <w:shd w:val="clear" w:color="auto" w:fill="FFFFFF"/>
        </w:rPr>
        <w:t>were examined</w:t>
      </w:r>
      <w:proofErr w:type="gramEnd"/>
      <w:r>
        <w:rPr>
          <w:rFonts w:ascii="Arial" w:hAnsi="Arial" w:cs="Arial"/>
          <w:color w:val="000000"/>
          <w:sz w:val="20"/>
          <w:szCs w:val="20"/>
          <w:shd w:val="clear" w:color="auto" w:fill="FFFFFF"/>
        </w:rPr>
        <w:t xml:space="preserve"> for -6415 CTCTAA/GC (rs17860508) and +1188A/C (</w:t>
      </w:r>
      <w:r>
        <w:rPr>
          <w:rStyle w:val="highlight"/>
          <w:rFonts w:ascii="Arial" w:hAnsi="Arial" w:cs="Arial"/>
          <w:color w:val="000000"/>
          <w:sz w:val="20"/>
          <w:szCs w:val="20"/>
          <w:shd w:val="clear" w:color="auto" w:fill="FFFFFF"/>
        </w:rPr>
        <w:t>rs3212227</w:t>
      </w:r>
      <w:r>
        <w:rPr>
          <w:rFonts w:ascii="Arial" w:hAnsi="Arial" w:cs="Arial"/>
          <w:color w:val="000000"/>
          <w:sz w:val="20"/>
          <w:szCs w:val="20"/>
          <w:shd w:val="clear" w:color="auto" w:fill="FFFFFF"/>
        </w:rPr>
        <w:t xml:space="preserve">) in IL-12B and -924A/G (rs153109) and 4730T/C (rs181206) in IL-27 gene polymorphisms using the high-resolution melting method, PCR-RFLP method and TaqMan SNP genotyping assay, respectively. An increased frequency of GC/GC genotype as well as GC allele of the IL-12B rs17860508 </w:t>
      </w:r>
      <w:proofErr w:type="gramStart"/>
      <w:r>
        <w:rPr>
          <w:rFonts w:ascii="Arial" w:hAnsi="Arial" w:cs="Arial"/>
          <w:color w:val="000000"/>
          <w:sz w:val="20"/>
          <w:szCs w:val="20"/>
          <w:shd w:val="clear" w:color="auto" w:fill="FFFFFF"/>
        </w:rPr>
        <w:t>was found</w:t>
      </w:r>
      <w:proofErr w:type="gramEnd"/>
      <w:r>
        <w:rPr>
          <w:rFonts w:ascii="Arial" w:hAnsi="Arial" w:cs="Arial"/>
          <w:color w:val="000000"/>
          <w:sz w:val="20"/>
          <w:szCs w:val="20"/>
          <w:shd w:val="clear" w:color="auto" w:fill="FFFFFF"/>
        </w:rPr>
        <w:t xml:space="preserve"> in patients with SLE, as compared with healthy subjects (P &lt; 0.001). We did not find differences in genotype and allele frequencies of the IL-12B </w:t>
      </w:r>
      <w:r>
        <w:rPr>
          <w:rStyle w:val="highlight"/>
          <w:rFonts w:ascii="Arial" w:hAnsi="Arial" w:cs="Arial"/>
          <w:color w:val="000000"/>
          <w:sz w:val="20"/>
          <w:szCs w:val="20"/>
          <w:shd w:val="clear" w:color="auto" w:fill="FFFFFF"/>
        </w:rPr>
        <w:t>rs3212227</w:t>
      </w:r>
      <w:r>
        <w:rPr>
          <w:rFonts w:ascii="Arial" w:hAnsi="Arial" w:cs="Arial"/>
          <w:color w:val="000000"/>
          <w:sz w:val="20"/>
          <w:szCs w:val="20"/>
          <w:shd w:val="clear" w:color="auto" w:fill="FFFFFF"/>
        </w:rPr>
        <w:t> and IL-27 rs153109 and rs181206 variants between patients with SLE and controls. IL-27 haplotype rs181206C/rs153109G indicated higher risk for SLE (P = 0.002), whereas haplotype rs181206T/rs153109G indicated reduced risk for SLE (P = 0.005). The IL-12B </w:t>
      </w:r>
      <w:r>
        <w:rPr>
          <w:rStyle w:val="highlight"/>
          <w:rFonts w:ascii="Arial" w:hAnsi="Arial" w:cs="Arial"/>
          <w:color w:val="000000"/>
          <w:sz w:val="20"/>
          <w:szCs w:val="20"/>
          <w:shd w:val="clear" w:color="auto" w:fill="FFFFFF"/>
        </w:rPr>
        <w:t>rs3212227</w:t>
      </w:r>
      <w:r>
        <w:rPr>
          <w:rFonts w:ascii="Arial" w:hAnsi="Arial" w:cs="Arial"/>
          <w:color w:val="000000"/>
          <w:sz w:val="20"/>
          <w:szCs w:val="20"/>
          <w:shd w:val="clear" w:color="auto" w:fill="FFFFFF"/>
        </w:rPr>
        <w:t xml:space="preserve"> A/C polymorphism was associated with the mean value of the platelets (PLT), urea and complement C3 level. Furthermore, IL-12B rs17860508 genetic variant showed correlation with PLT, prothrombin time, international normalized </w:t>
      </w:r>
      <w:proofErr w:type="gramStart"/>
      <w:r>
        <w:rPr>
          <w:rFonts w:ascii="Arial" w:hAnsi="Arial" w:cs="Arial"/>
          <w:color w:val="000000"/>
          <w:sz w:val="20"/>
          <w:szCs w:val="20"/>
          <w:shd w:val="clear" w:color="auto" w:fill="FFFFFF"/>
        </w:rPr>
        <w:t>ratio</w:t>
      </w:r>
      <w:proofErr w:type="gramEnd"/>
      <w:r>
        <w:rPr>
          <w:rFonts w:ascii="Arial" w:hAnsi="Arial" w:cs="Arial"/>
          <w:color w:val="000000"/>
          <w:sz w:val="20"/>
          <w:szCs w:val="20"/>
          <w:shd w:val="clear" w:color="auto" w:fill="FFFFFF"/>
        </w:rPr>
        <w:t xml:space="preserve"> and alkaline phosphatase. Our results revealed that IL-12B rs17860508 and IL-27 haplotype CG are genetic risk factors for SLE and that both IL-12B rs17860508 and </w:t>
      </w:r>
      <w:r>
        <w:rPr>
          <w:rStyle w:val="highlight"/>
          <w:rFonts w:ascii="Arial" w:hAnsi="Arial" w:cs="Arial"/>
          <w:color w:val="000000"/>
          <w:sz w:val="20"/>
          <w:szCs w:val="20"/>
          <w:shd w:val="clear" w:color="auto" w:fill="FFFFFF"/>
        </w:rPr>
        <w:t>rs3212227</w:t>
      </w:r>
      <w:r>
        <w:rPr>
          <w:rFonts w:ascii="Arial" w:hAnsi="Arial" w:cs="Arial"/>
          <w:color w:val="000000"/>
          <w:sz w:val="20"/>
          <w:szCs w:val="20"/>
          <w:shd w:val="clear" w:color="auto" w:fill="FFFFFF"/>
        </w:rPr>
        <w:t> predict disease phenotype.</w:t>
      </w:r>
    </w:p>
    <w:p w14:paraId="74946500" w14:textId="7BF3A5CF" w:rsidR="00C7476F" w:rsidRDefault="00C7476F"/>
    <w:p w14:paraId="19CC0E60" w14:textId="53058507" w:rsidR="00C7476F" w:rsidRDefault="00C7476F" w:rsidP="00C7476F">
      <w:pPr>
        <w:shd w:val="clear" w:color="auto" w:fill="FFFFFF"/>
        <w:ind w:right="60"/>
        <w:outlineLvl w:val="3"/>
        <w:rPr>
          <w:rFonts w:ascii="Arial" w:hAnsi="Arial" w:cs="Arial"/>
          <w:b/>
          <w:bCs/>
          <w:caps/>
          <w:color w:val="000000"/>
          <w:sz w:val="20"/>
          <w:szCs w:val="20"/>
        </w:rPr>
      </w:pPr>
      <w:hyperlink r:id="rId30" w:history="1">
        <w:r w:rsidRPr="005E3A55">
          <w:rPr>
            <w:rStyle w:val="Hyperlink"/>
            <w:rFonts w:ascii="Arial" w:hAnsi="Arial" w:cs="Arial"/>
            <w:b/>
            <w:bCs/>
            <w:caps/>
            <w:sz w:val="20"/>
            <w:szCs w:val="20"/>
          </w:rPr>
          <w:t>https://www.ncbi.nlm.nih.gov/pubmed/26915668</w:t>
        </w:r>
      </w:hyperlink>
    </w:p>
    <w:p w14:paraId="77D11AA3" w14:textId="234E9C39" w:rsidR="00C7476F" w:rsidRPr="00C7476F" w:rsidRDefault="00C7476F" w:rsidP="00C7476F">
      <w:pPr>
        <w:shd w:val="clear" w:color="auto" w:fill="FFFFFF"/>
        <w:ind w:right="60"/>
        <w:outlineLvl w:val="3"/>
        <w:rPr>
          <w:rFonts w:ascii="Arial" w:hAnsi="Arial" w:cs="Arial"/>
          <w:b/>
          <w:bCs/>
          <w:caps/>
          <w:color w:val="000000"/>
          <w:sz w:val="20"/>
          <w:szCs w:val="20"/>
        </w:rPr>
      </w:pPr>
      <w:r w:rsidRPr="00C7476F">
        <w:rPr>
          <w:rFonts w:ascii="Arial" w:hAnsi="Arial" w:cs="Arial"/>
          <w:b/>
          <w:bCs/>
          <w:caps/>
          <w:color w:val="000000"/>
          <w:sz w:val="20"/>
          <w:szCs w:val="20"/>
        </w:rPr>
        <w:t>OBJECTIVES:</w:t>
      </w:r>
    </w:p>
    <w:p w14:paraId="2BF7DBBF" w14:textId="77777777" w:rsidR="00C7476F" w:rsidRPr="00C7476F" w:rsidRDefault="00C7476F" w:rsidP="00C7476F">
      <w:pPr>
        <w:shd w:val="clear" w:color="auto" w:fill="FFFFFF"/>
        <w:spacing w:after="120"/>
        <w:rPr>
          <w:rFonts w:ascii="Arial" w:hAnsi="Arial" w:cs="Arial"/>
          <w:color w:val="000000"/>
          <w:sz w:val="25"/>
          <w:szCs w:val="25"/>
        </w:rPr>
      </w:pPr>
      <w:r w:rsidRPr="00C7476F">
        <w:rPr>
          <w:rFonts w:ascii="Arial" w:hAnsi="Arial" w:cs="Arial"/>
          <w:color w:val="000000"/>
          <w:sz w:val="25"/>
          <w:szCs w:val="25"/>
        </w:rPr>
        <w:t>The purpose of this study was to evaluate whether a single-nucleotide polymorphism (SNP) IL12B 3(</w:t>
      </w:r>
      <w:proofErr w:type="gramStart"/>
      <w:r w:rsidRPr="00C7476F">
        <w:rPr>
          <w:rFonts w:ascii="Arial" w:hAnsi="Arial" w:cs="Arial"/>
          <w:color w:val="000000"/>
          <w:sz w:val="25"/>
          <w:szCs w:val="25"/>
        </w:rPr>
        <w:t>')UTR</w:t>
      </w:r>
      <w:proofErr w:type="gramEnd"/>
      <w:r w:rsidRPr="00C7476F">
        <w:rPr>
          <w:rFonts w:ascii="Arial" w:hAnsi="Arial" w:cs="Arial"/>
          <w:color w:val="000000"/>
          <w:sz w:val="25"/>
          <w:szCs w:val="25"/>
        </w:rPr>
        <w:t xml:space="preserve"> +1188A/C (rs3212227) confers susceptibility to several autoimmune diseases.</w:t>
      </w:r>
    </w:p>
    <w:p w14:paraId="5EB60407" w14:textId="77777777" w:rsidR="00C7476F" w:rsidRPr="00C7476F" w:rsidRDefault="00C7476F" w:rsidP="00C7476F">
      <w:pPr>
        <w:shd w:val="clear" w:color="auto" w:fill="FFFFFF"/>
        <w:ind w:right="60"/>
        <w:outlineLvl w:val="3"/>
        <w:rPr>
          <w:rFonts w:ascii="Arial" w:hAnsi="Arial" w:cs="Arial"/>
          <w:b/>
          <w:bCs/>
          <w:caps/>
          <w:color w:val="000000"/>
          <w:sz w:val="20"/>
          <w:szCs w:val="20"/>
        </w:rPr>
      </w:pPr>
      <w:r w:rsidRPr="00C7476F">
        <w:rPr>
          <w:rFonts w:ascii="Arial" w:hAnsi="Arial" w:cs="Arial"/>
          <w:b/>
          <w:bCs/>
          <w:caps/>
          <w:color w:val="000000"/>
          <w:sz w:val="20"/>
          <w:szCs w:val="20"/>
        </w:rPr>
        <w:t>METHODS:</w:t>
      </w:r>
    </w:p>
    <w:p w14:paraId="07C571FD" w14:textId="77777777" w:rsidR="00C7476F" w:rsidRPr="00C7476F" w:rsidRDefault="00C7476F" w:rsidP="00C7476F">
      <w:pPr>
        <w:shd w:val="clear" w:color="auto" w:fill="FFFFFF"/>
        <w:spacing w:after="120"/>
        <w:rPr>
          <w:rFonts w:ascii="Arial" w:hAnsi="Arial" w:cs="Arial"/>
          <w:color w:val="000000"/>
          <w:sz w:val="25"/>
          <w:szCs w:val="25"/>
        </w:rPr>
      </w:pPr>
      <w:r w:rsidRPr="00C7476F">
        <w:rPr>
          <w:rFonts w:ascii="Arial" w:hAnsi="Arial" w:cs="Arial"/>
          <w:color w:val="000000"/>
          <w:sz w:val="25"/>
          <w:szCs w:val="25"/>
        </w:rPr>
        <w:t xml:space="preserve">A systematic literature search </w:t>
      </w:r>
      <w:proofErr w:type="gramStart"/>
      <w:r w:rsidRPr="00C7476F">
        <w:rPr>
          <w:rFonts w:ascii="Arial" w:hAnsi="Arial" w:cs="Arial"/>
          <w:color w:val="000000"/>
          <w:sz w:val="25"/>
          <w:szCs w:val="25"/>
        </w:rPr>
        <w:t>was conducted</w:t>
      </w:r>
      <w:proofErr w:type="gramEnd"/>
      <w:r w:rsidRPr="00C7476F">
        <w:rPr>
          <w:rFonts w:ascii="Arial" w:hAnsi="Arial" w:cs="Arial"/>
          <w:color w:val="000000"/>
          <w:sz w:val="25"/>
          <w:szCs w:val="25"/>
        </w:rPr>
        <w:t xml:space="preserve"> to identify relevant studies. Pooled odds ratio (OR) with 95% confidence interval (CI) </w:t>
      </w:r>
      <w:proofErr w:type="gramStart"/>
      <w:r w:rsidRPr="00C7476F">
        <w:rPr>
          <w:rFonts w:ascii="Arial" w:hAnsi="Arial" w:cs="Arial"/>
          <w:color w:val="000000"/>
          <w:sz w:val="25"/>
          <w:szCs w:val="25"/>
        </w:rPr>
        <w:t>was used</w:t>
      </w:r>
      <w:proofErr w:type="gramEnd"/>
      <w:r w:rsidRPr="00C7476F">
        <w:rPr>
          <w:rFonts w:ascii="Arial" w:hAnsi="Arial" w:cs="Arial"/>
          <w:color w:val="000000"/>
          <w:sz w:val="25"/>
          <w:szCs w:val="25"/>
        </w:rPr>
        <w:t xml:space="preserve"> to estimate the strength of association.</w:t>
      </w:r>
    </w:p>
    <w:p w14:paraId="3CB2AA89" w14:textId="77777777" w:rsidR="00C7476F" w:rsidRPr="00C7476F" w:rsidRDefault="00C7476F" w:rsidP="00C7476F">
      <w:pPr>
        <w:shd w:val="clear" w:color="auto" w:fill="FFFFFF"/>
        <w:ind w:right="60"/>
        <w:outlineLvl w:val="3"/>
        <w:rPr>
          <w:rFonts w:ascii="Arial" w:hAnsi="Arial" w:cs="Arial"/>
          <w:b/>
          <w:bCs/>
          <w:caps/>
          <w:color w:val="000000"/>
          <w:sz w:val="20"/>
          <w:szCs w:val="20"/>
        </w:rPr>
      </w:pPr>
      <w:r w:rsidRPr="00C7476F">
        <w:rPr>
          <w:rFonts w:ascii="Arial" w:hAnsi="Arial" w:cs="Arial"/>
          <w:b/>
          <w:bCs/>
          <w:caps/>
          <w:color w:val="000000"/>
          <w:sz w:val="20"/>
          <w:szCs w:val="20"/>
        </w:rPr>
        <w:t>RESULTS:</w:t>
      </w:r>
    </w:p>
    <w:p w14:paraId="2D452961" w14:textId="77777777" w:rsidR="00C7476F" w:rsidRPr="00C7476F" w:rsidRDefault="00C7476F" w:rsidP="00C7476F">
      <w:pPr>
        <w:shd w:val="clear" w:color="auto" w:fill="FFFFFF"/>
        <w:spacing w:after="120"/>
        <w:rPr>
          <w:rFonts w:ascii="Arial" w:hAnsi="Arial" w:cs="Arial"/>
          <w:color w:val="000000"/>
          <w:sz w:val="25"/>
          <w:szCs w:val="25"/>
        </w:rPr>
      </w:pPr>
      <w:r w:rsidRPr="00C7476F">
        <w:rPr>
          <w:rFonts w:ascii="Arial" w:hAnsi="Arial" w:cs="Arial"/>
          <w:color w:val="000000"/>
          <w:sz w:val="25"/>
          <w:szCs w:val="25"/>
        </w:rPr>
        <w:t xml:space="preserve">Twenty-five studies </w:t>
      </w:r>
      <w:proofErr w:type="gramStart"/>
      <w:r w:rsidRPr="00C7476F">
        <w:rPr>
          <w:rFonts w:ascii="Arial" w:hAnsi="Arial" w:cs="Arial"/>
          <w:color w:val="000000"/>
          <w:sz w:val="25"/>
          <w:szCs w:val="25"/>
        </w:rPr>
        <w:t>were included</w:t>
      </w:r>
      <w:proofErr w:type="gramEnd"/>
      <w:r w:rsidRPr="00C7476F">
        <w:rPr>
          <w:rFonts w:ascii="Arial" w:hAnsi="Arial" w:cs="Arial"/>
          <w:color w:val="000000"/>
          <w:sz w:val="25"/>
          <w:szCs w:val="25"/>
        </w:rPr>
        <w:t xml:space="preserve"> in the meta-analysis, which contained 9794 cases and 11,330 controls. Our result indicated that IL12B +1188A/C (rs3212227) polymorphism was associated with type-1 diabetes (T1D) in the dominant model (p = 0.008), and an increased risk </w:t>
      </w:r>
      <w:proofErr w:type="gramStart"/>
      <w:r w:rsidRPr="00C7476F">
        <w:rPr>
          <w:rFonts w:ascii="Arial" w:hAnsi="Arial" w:cs="Arial"/>
          <w:color w:val="000000"/>
          <w:sz w:val="25"/>
          <w:szCs w:val="25"/>
        </w:rPr>
        <w:t>was found</w:t>
      </w:r>
      <w:proofErr w:type="gramEnd"/>
      <w:r w:rsidRPr="00C7476F">
        <w:rPr>
          <w:rFonts w:ascii="Arial" w:hAnsi="Arial" w:cs="Arial"/>
          <w:color w:val="000000"/>
          <w:sz w:val="25"/>
          <w:szCs w:val="25"/>
        </w:rPr>
        <w:t xml:space="preserve"> in East Asians in the dominant model (p &lt; 0.001). East Asians rheumatoid arthritis (RA) patients seemed to be at risk of allelic model (p = 0.011). As to </w:t>
      </w:r>
      <w:proofErr w:type="spellStart"/>
      <w:r w:rsidRPr="00C7476F">
        <w:rPr>
          <w:rFonts w:ascii="Arial" w:hAnsi="Arial" w:cs="Arial"/>
          <w:color w:val="000000"/>
          <w:sz w:val="25"/>
          <w:szCs w:val="25"/>
        </w:rPr>
        <w:t>Behcet's</w:t>
      </w:r>
      <w:proofErr w:type="spellEnd"/>
      <w:r w:rsidRPr="00C7476F">
        <w:rPr>
          <w:rFonts w:ascii="Arial" w:hAnsi="Arial" w:cs="Arial"/>
          <w:color w:val="000000"/>
          <w:sz w:val="25"/>
          <w:szCs w:val="25"/>
        </w:rPr>
        <w:t xml:space="preserve"> disease (BD), there was a risk in dominant model (p = 0.020) and positive associations of dominant model, allelic model in East Asians (p = 0.009; p &lt; 0.001, respectively). But we failed to find any association between IL12B +1188A/C (rs3212227) polymorphism with Graves' disease (GD) and ankylosing spondylitis (AS).</w:t>
      </w:r>
    </w:p>
    <w:p w14:paraId="51513F63" w14:textId="77777777" w:rsidR="00C7476F" w:rsidRPr="00C7476F" w:rsidRDefault="00C7476F" w:rsidP="00C7476F">
      <w:pPr>
        <w:shd w:val="clear" w:color="auto" w:fill="FFFFFF"/>
        <w:ind w:right="60"/>
        <w:outlineLvl w:val="3"/>
        <w:rPr>
          <w:rFonts w:ascii="Arial" w:hAnsi="Arial" w:cs="Arial"/>
          <w:b/>
          <w:bCs/>
          <w:caps/>
          <w:color w:val="000000"/>
          <w:sz w:val="20"/>
          <w:szCs w:val="20"/>
        </w:rPr>
      </w:pPr>
      <w:r w:rsidRPr="00C7476F">
        <w:rPr>
          <w:rFonts w:ascii="Arial" w:hAnsi="Arial" w:cs="Arial"/>
          <w:b/>
          <w:bCs/>
          <w:caps/>
          <w:color w:val="000000"/>
          <w:sz w:val="20"/>
          <w:szCs w:val="20"/>
        </w:rPr>
        <w:t>CONCLUSIONS:</w:t>
      </w:r>
    </w:p>
    <w:p w14:paraId="34F987F1" w14:textId="15CD4971" w:rsidR="00C7476F" w:rsidRDefault="00C7476F" w:rsidP="00C7476F">
      <w:pPr>
        <w:shd w:val="clear" w:color="auto" w:fill="FFFFFF"/>
        <w:spacing w:after="120"/>
        <w:rPr>
          <w:rFonts w:ascii="Arial" w:hAnsi="Arial" w:cs="Arial"/>
          <w:color w:val="000000"/>
          <w:sz w:val="25"/>
          <w:szCs w:val="25"/>
        </w:rPr>
      </w:pPr>
      <w:r w:rsidRPr="00C7476F">
        <w:rPr>
          <w:rFonts w:ascii="Arial" w:hAnsi="Arial" w:cs="Arial"/>
          <w:color w:val="000000"/>
          <w:sz w:val="25"/>
          <w:szCs w:val="25"/>
        </w:rPr>
        <w:lastRenderedPageBreak/>
        <w:t>The present study suggests that the IL12B +1188A/C (rs3212227) polymorphism might be associated with genetic susceptibility to autoimmune diseases, such as T1D, RA, BD, but not GD and AS.</w:t>
      </w:r>
    </w:p>
    <w:p w14:paraId="7F873D1A" w14:textId="02401279" w:rsidR="00C7476F" w:rsidRDefault="00C7476F" w:rsidP="00C7476F">
      <w:pPr>
        <w:shd w:val="clear" w:color="auto" w:fill="FFFFFF"/>
        <w:spacing w:after="120"/>
        <w:rPr>
          <w:rFonts w:ascii="Arial" w:hAnsi="Arial" w:cs="Arial"/>
          <w:color w:val="000000"/>
          <w:sz w:val="25"/>
          <w:szCs w:val="25"/>
        </w:rPr>
      </w:pPr>
    </w:p>
    <w:p w14:paraId="7B29AA58" w14:textId="565D2CAD" w:rsidR="00C7476F" w:rsidRDefault="00C7476F" w:rsidP="00C7476F">
      <w:pPr>
        <w:shd w:val="clear" w:color="auto" w:fill="FFFFFF"/>
        <w:spacing w:after="120"/>
        <w:rPr>
          <w:rFonts w:ascii="Arial" w:hAnsi="Arial" w:cs="Arial"/>
          <w:color w:val="000000"/>
          <w:sz w:val="20"/>
          <w:szCs w:val="20"/>
          <w:shd w:val="clear" w:color="auto" w:fill="FFFFFF"/>
        </w:rPr>
      </w:pPr>
      <w:hyperlink r:id="rId31" w:history="1">
        <w:r w:rsidRPr="005E3A55">
          <w:rPr>
            <w:rStyle w:val="Hyperlink"/>
            <w:rFonts w:ascii="Arial" w:hAnsi="Arial" w:cs="Arial"/>
            <w:sz w:val="20"/>
            <w:szCs w:val="20"/>
            <w:shd w:val="clear" w:color="auto" w:fill="FFFFFF"/>
          </w:rPr>
          <w:t>https://www.ncbi.nlm.nih.gov/pubmed/26850223</w:t>
        </w:r>
      </w:hyperlink>
    </w:p>
    <w:p w14:paraId="6F116187" w14:textId="185B21BA" w:rsidR="00C7476F" w:rsidRPr="00C7476F" w:rsidRDefault="00C7476F" w:rsidP="00C7476F">
      <w:pPr>
        <w:shd w:val="clear" w:color="auto" w:fill="FFFFFF"/>
        <w:spacing w:after="120"/>
        <w:rPr>
          <w:rFonts w:ascii="Arial" w:hAnsi="Arial" w:cs="Arial"/>
          <w:color w:val="000000"/>
          <w:sz w:val="25"/>
          <w:szCs w:val="25"/>
        </w:rPr>
      </w:pPr>
      <w:r>
        <w:rPr>
          <w:rFonts w:ascii="Arial" w:hAnsi="Arial" w:cs="Arial"/>
          <w:color w:val="000000"/>
          <w:sz w:val="20"/>
          <w:szCs w:val="20"/>
          <w:shd w:val="clear" w:color="auto" w:fill="FFFFFF"/>
        </w:rPr>
        <w:t xml:space="preserve">In early onset autoimmune thyroid disease (AITD) showing a strong genetic tendency, cytokines have </w:t>
      </w:r>
      <w:proofErr w:type="gramStart"/>
      <w:r>
        <w:rPr>
          <w:rFonts w:ascii="Arial" w:hAnsi="Arial" w:cs="Arial"/>
          <w:color w:val="000000"/>
          <w:sz w:val="20"/>
          <w:szCs w:val="20"/>
          <w:shd w:val="clear" w:color="auto" w:fill="FFFFFF"/>
        </w:rPr>
        <w:t>been suggested</w:t>
      </w:r>
      <w:proofErr w:type="gramEnd"/>
      <w:r>
        <w:rPr>
          <w:rFonts w:ascii="Arial" w:hAnsi="Arial" w:cs="Arial"/>
          <w:color w:val="000000"/>
          <w:sz w:val="20"/>
          <w:szCs w:val="20"/>
          <w:shd w:val="clear" w:color="auto" w:fill="FFFFFF"/>
        </w:rPr>
        <w:t xml:space="preserve"> to play a critical role in the development of AITD. To directly compare the influences of several cytokine gene polymorphisms, 25 single nucleotide polymorphisms (SNPs) in 17 cytokine genes </w:t>
      </w:r>
      <w:proofErr w:type="gramStart"/>
      <w:r>
        <w:rPr>
          <w:rFonts w:ascii="Arial" w:hAnsi="Arial" w:cs="Arial"/>
          <w:color w:val="000000"/>
          <w:sz w:val="20"/>
          <w:szCs w:val="20"/>
          <w:shd w:val="clear" w:color="auto" w:fill="FFFFFF"/>
        </w:rPr>
        <w:t>were analyzed</w:t>
      </w:r>
      <w:proofErr w:type="gramEnd"/>
      <w:r>
        <w:rPr>
          <w:rFonts w:ascii="Arial" w:hAnsi="Arial" w:cs="Arial"/>
          <w:color w:val="000000"/>
          <w:sz w:val="20"/>
          <w:szCs w:val="20"/>
          <w:shd w:val="clear" w:color="auto" w:fill="FFFFFF"/>
        </w:rPr>
        <w:t xml:space="preserve"> on 104 Korean children with AITD [Hashimoto's disease (HD) = 44, Graves' disease (GD) = 60 (thyroid-associated ophthalmopathy (TAO) = 29, non-TAO = 31)] and 192 controls. Compared with healthy controls, any significant association with polymorphisms of cytokine genes </w:t>
      </w:r>
      <w:proofErr w:type="gramStart"/>
      <w:r>
        <w:rPr>
          <w:rFonts w:ascii="Arial" w:hAnsi="Arial" w:cs="Arial"/>
          <w:color w:val="000000"/>
          <w:sz w:val="20"/>
          <w:szCs w:val="20"/>
          <w:shd w:val="clear" w:color="auto" w:fill="FFFFFF"/>
        </w:rPr>
        <w:t>was not found</w:t>
      </w:r>
      <w:proofErr w:type="gramEnd"/>
      <w:r>
        <w:rPr>
          <w:rFonts w:ascii="Arial" w:hAnsi="Arial" w:cs="Arial"/>
          <w:color w:val="000000"/>
          <w:sz w:val="20"/>
          <w:szCs w:val="20"/>
          <w:shd w:val="clear" w:color="auto" w:fill="FFFFFF"/>
        </w:rPr>
        <w:t xml:space="preserve"> in HD and GD. Among GD patients, non-TAO group only showed significant associations with IL-12 C allele (</w:t>
      </w:r>
      <w:r>
        <w:rPr>
          <w:rStyle w:val="highlight"/>
          <w:rFonts w:ascii="Arial" w:hAnsi="Arial" w:cs="Arial"/>
          <w:color w:val="000000"/>
          <w:sz w:val="20"/>
          <w:szCs w:val="20"/>
          <w:shd w:val="clear" w:color="auto" w:fill="FFFFFF"/>
        </w:rPr>
        <w:t>rs3212227</w:t>
      </w:r>
      <w:r>
        <w:rPr>
          <w:rFonts w:ascii="Arial" w:hAnsi="Arial" w:cs="Arial"/>
          <w:color w:val="000000"/>
          <w:sz w:val="20"/>
          <w:szCs w:val="20"/>
          <w:shd w:val="clear" w:color="auto" w:fill="FFFFFF"/>
        </w:rPr>
        <w:t>: A &gt; C) (76.6% vs. 51.6%, OR = 0.3 [0.15-0.71], Pc = 0.007). Particularly, the frequency of IL-12C allele was significantly lower in the non-TAO group than in the TAO group (82.8% vs. 51.6%, Pc = 0.018). Our comprehensive analysis of cytokine gene polymorphisms suggests that IL-12 gene may play impact on specific pathogenesis of ophthalmopathy in Korean children with AITD.</w:t>
      </w:r>
    </w:p>
    <w:p w14:paraId="4D2CFD4B" w14:textId="4F87DA10" w:rsidR="00C7476F" w:rsidRDefault="00C7476F"/>
    <w:p w14:paraId="29C58343" w14:textId="194966F3" w:rsidR="00C7476F" w:rsidRDefault="00C7476F"/>
    <w:p w14:paraId="35A05D9A" w14:textId="7A11D3B2" w:rsidR="00C7476F" w:rsidRDefault="00C7476F" w:rsidP="00C7476F">
      <w:pPr>
        <w:pStyle w:val="Heading4"/>
        <w:shd w:val="clear" w:color="auto" w:fill="FFFFFF"/>
        <w:spacing w:before="0" w:beforeAutospacing="0" w:after="0" w:afterAutospacing="0"/>
        <w:ind w:right="60"/>
        <w:rPr>
          <w:rFonts w:ascii="Arial" w:hAnsi="Arial" w:cs="Arial"/>
          <w:caps/>
          <w:color w:val="000000"/>
          <w:sz w:val="20"/>
          <w:szCs w:val="20"/>
        </w:rPr>
      </w:pPr>
      <w:hyperlink r:id="rId32" w:history="1">
        <w:r w:rsidRPr="005E3A55">
          <w:rPr>
            <w:rStyle w:val="Hyperlink"/>
            <w:rFonts w:ascii="Arial" w:hAnsi="Arial" w:cs="Arial"/>
            <w:caps/>
            <w:sz w:val="20"/>
            <w:szCs w:val="20"/>
          </w:rPr>
          <w:t>https://www.ncbi.nlm.nih.gov/pubmed/26800664</w:t>
        </w:r>
      </w:hyperlink>
    </w:p>
    <w:p w14:paraId="47491D31" w14:textId="22627146" w:rsidR="00C7476F" w:rsidRDefault="00C7476F" w:rsidP="00C7476F">
      <w:pPr>
        <w:pStyle w:val="Heading4"/>
        <w:shd w:val="clear" w:color="auto" w:fill="FFFFFF"/>
        <w:spacing w:before="0" w:beforeAutospacing="0" w:after="0" w:afterAutospacing="0"/>
        <w:ind w:right="60"/>
        <w:rPr>
          <w:rFonts w:ascii="Arial" w:hAnsi="Arial" w:cs="Arial"/>
          <w:caps/>
          <w:color w:val="000000"/>
          <w:sz w:val="20"/>
          <w:szCs w:val="20"/>
        </w:rPr>
      </w:pPr>
      <w:r>
        <w:rPr>
          <w:rFonts w:ascii="Arial" w:hAnsi="Arial" w:cs="Arial"/>
          <w:caps/>
          <w:color w:val="000000"/>
          <w:sz w:val="20"/>
          <w:szCs w:val="20"/>
        </w:rPr>
        <w:t>RESULTS:</w:t>
      </w:r>
    </w:p>
    <w:p w14:paraId="5AF1C7E7" w14:textId="77777777" w:rsidR="00C7476F" w:rsidRDefault="00C7476F" w:rsidP="00C7476F">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Meta-analysis indicated associations between IL</w:t>
      </w:r>
      <w:r>
        <w:rPr>
          <w:rFonts w:ascii="Arial" w:hAnsi="Arial" w:cs="Arial"/>
          <w:color w:val="000000"/>
          <w:sz w:val="25"/>
          <w:szCs w:val="25"/>
        </w:rPr>
        <w:noBreakHyphen/>
        <w:t>6 rs1800795, IL</w:t>
      </w:r>
      <w:r>
        <w:rPr>
          <w:rFonts w:ascii="Arial" w:hAnsi="Arial" w:cs="Arial"/>
          <w:color w:val="000000"/>
          <w:sz w:val="25"/>
          <w:szCs w:val="25"/>
        </w:rPr>
        <w:noBreakHyphen/>
        <w:t>12B </w:t>
      </w:r>
      <w:r>
        <w:rPr>
          <w:rStyle w:val="highlight"/>
          <w:rFonts w:ascii="Arial" w:hAnsi="Arial" w:cs="Arial"/>
          <w:color w:val="000000"/>
          <w:sz w:val="25"/>
          <w:szCs w:val="25"/>
        </w:rPr>
        <w:t>rs3212227</w:t>
      </w:r>
      <w:r>
        <w:rPr>
          <w:rFonts w:ascii="Arial" w:hAnsi="Arial" w:cs="Arial"/>
          <w:color w:val="000000"/>
          <w:sz w:val="25"/>
          <w:szCs w:val="25"/>
        </w:rPr>
        <w:t>, and IL</w:t>
      </w:r>
      <w:r>
        <w:rPr>
          <w:rFonts w:ascii="Arial" w:hAnsi="Arial" w:cs="Arial"/>
          <w:color w:val="000000"/>
          <w:sz w:val="25"/>
          <w:szCs w:val="25"/>
        </w:rPr>
        <w:noBreakHyphen/>
        <w:t>18 rs1946518 in all study subjects: IL</w:t>
      </w:r>
      <w:r>
        <w:rPr>
          <w:rFonts w:ascii="Arial" w:hAnsi="Arial" w:cs="Arial"/>
          <w:color w:val="000000"/>
          <w:sz w:val="25"/>
          <w:szCs w:val="25"/>
        </w:rPr>
        <w:noBreakHyphen/>
        <w:t>18 rs1946518 in the dominant model (IL</w:t>
      </w:r>
      <w:r>
        <w:rPr>
          <w:rFonts w:ascii="Arial" w:hAnsi="Arial" w:cs="Arial"/>
          <w:color w:val="000000"/>
          <w:sz w:val="25"/>
          <w:szCs w:val="25"/>
        </w:rPr>
        <w:noBreakHyphen/>
        <w:t>18 rs1946518: OR = 0.48, 95 % CI: 0.34-0.70, P = 0.000) and the homozygote model (IL</w:t>
      </w:r>
      <w:r>
        <w:rPr>
          <w:rFonts w:ascii="Arial" w:hAnsi="Arial" w:cs="Arial"/>
          <w:color w:val="000000"/>
          <w:sz w:val="25"/>
          <w:szCs w:val="25"/>
        </w:rPr>
        <w:noBreakHyphen/>
        <w:t>18 rs1946518: OR = 0.40, 95 % CI: 0.25-0.65, P = 0.000); and IL</w:t>
      </w:r>
      <w:r>
        <w:rPr>
          <w:rFonts w:ascii="Arial" w:hAnsi="Arial" w:cs="Arial"/>
          <w:color w:val="000000"/>
          <w:sz w:val="25"/>
          <w:szCs w:val="25"/>
        </w:rPr>
        <w:noBreakHyphen/>
        <w:t>6 rs1800795 and IL</w:t>
      </w:r>
      <w:r>
        <w:rPr>
          <w:rFonts w:ascii="Arial" w:hAnsi="Arial" w:cs="Arial"/>
          <w:color w:val="000000"/>
          <w:sz w:val="25"/>
          <w:szCs w:val="25"/>
        </w:rPr>
        <w:noBreakHyphen/>
        <w:t>12B </w:t>
      </w:r>
      <w:r>
        <w:rPr>
          <w:rStyle w:val="highlight"/>
          <w:rFonts w:ascii="Arial" w:hAnsi="Arial" w:cs="Arial"/>
          <w:color w:val="000000"/>
          <w:sz w:val="25"/>
          <w:szCs w:val="25"/>
        </w:rPr>
        <w:t>rs3212227</w:t>
      </w:r>
      <w:r>
        <w:rPr>
          <w:rFonts w:ascii="Arial" w:hAnsi="Arial" w:cs="Arial"/>
          <w:color w:val="000000"/>
          <w:sz w:val="25"/>
          <w:szCs w:val="25"/>
        </w:rPr>
        <w:t> in the dominant model (IL</w:t>
      </w:r>
      <w:r>
        <w:rPr>
          <w:rFonts w:ascii="Arial" w:hAnsi="Arial" w:cs="Arial"/>
          <w:color w:val="000000"/>
          <w:sz w:val="25"/>
          <w:szCs w:val="25"/>
        </w:rPr>
        <w:noBreakHyphen/>
        <w:t>6 rs1800795: OR = 0.53, 95 % CI: 0.39-0.72, P = 0.000; IL</w:t>
      </w:r>
      <w:r>
        <w:rPr>
          <w:rFonts w:ascii="Arial" w:hAnsi="Arial" w:cs="Arial"/>
          <w:color w:val="000000"/>
          <w:sz w:val="25"/>
          <w:szCs w:val="25"/>
        </w:rPr>
        <w:noBreakHyphen/>
        <w:t>12B </w:t>
      </w:r>
      <w:r>
        <w:rPr>
          <w:rStyle w:val="highlight"/>
          <w:rFonts w:ascii="Arial" w:hAnsi="Arial" w:cs="Arial"/>
          <w:color w:val="000000"/>
          <w:sz w:val="25"/>
          <w:szCs w:val="25"/>
        </w:rPr>
        <w:t>rs3212227</w:t>
      </w:r>
      <w:r>
        <w:rPr>
          <w:rFonts w:ascii="Arial" w:hAnsi="Arial" w:cs="Arial"/>
          <w:color w:val="000000"/>
          <w:sz w:val="25"/>
          <w:szCs w:val="25"/>
        </w:rPr>
        <w:t>: OR = 1.26, 95 % CI: 1.06-1.48, P = 0.007; IL</w:t>
      </w:r>
      <w:r>
        <w:rPr>
          <w:rFonts w:ascii="Arial" w:hAnsi="Arial" w:cs="Arial"/>
          <w:color w:val="000000"/>
          <w:sz w:val="25"/>
          <w:szCs w:val="25"/>
        </w:rPr>
        <w:noBreakHyphen/>
        <w:t xml:space="preserve">18 rs1946518: OR = 0.46, 95 % CI: 0.33-0.65, P = 0.000). No </w:t>
      </w:r>
      <w:proofErr w:type="gramStart"/>
      <w:r>
        <w:rPr>
          <w:rFonts w:ascii="Arial" w:hAnsi="Arial" w:cs="Arial"/>
          <w:color w:val="000000"/>
          <w:sz w:val="25"/>
          <w:szCs w:val="25"/>
        </w:rPr>
        <w:t>significant evidence</w:t>
      </w:r>
      <w:proofErr w:type="gramEnd"/>
      <w:r>
        <w:rPr>
          <w:rFonts w:ascii="Arial" w:hAnsi="Arial" w:cs="Arial"/>
          <w:color w:val="000000"/>
          <w:sz w:val="25"/>
          <w:szCs w:val="25"/>
        </w:rPr>
        <w:t xml:space="preserve"> for associations of IL</w:t>
      </w:r>
      <w:r>
        <w:rPr>
          <w:rFonts w:ascii="Arial" w:hAnsi="Arial" w:cs="Arial"/>
          <w:color w:val="000000"/>
          <w:sz w:val="25"/>
          <w:szCs w:val="25"/>
        </w:rPr>
        <w:noBreakHyphen/>
        <w:t>18 rs187238 polymorphisms with BD susceptibility was detected.</w:t>
      </w:r>
    </w:p>
    <w:p w14:paraId="088EC05D" w14:textId="77777777" w:rsidR="00C7476F" w:rsidRDefault="00C7476F" w:rsidP="00C7476F">
      <w:pPr>
        <w:pStyle w:val="Heading4"/>
        <w:shd w:val="clear" w:color="auto" w:fill="FFFFFF"/>
        <w:spacing w:before="0" w:beforeAutospacing="0" w:after="0" w:afterAutospacing="0"/>
        <w:ind w:right="60"/>
        <w:rPr>
          <w:rFonts w:ascii="Arial" w:hAnsi="Arial" w:cs="Arial"/>
          <w:caps/>
          <w:color w:val="000000"/>
          <w:sz w:val="20"/>
          <w:szCs w:val="20"/>
        </w:rPr>
      </w:pPr>
      <w:r>
        <w:rPr>
          <w:rFonts w:ascii="Arial" w:hAnsi="Arial" w:cs="Arial"/>
          <w:caps/>
          <w:color w:val="000000"/>
          <w:sz w:val="20"/>
          <w:szCs w:val="20"/>
        </w:rPr>
        <w:t>CONCLUSION:</w:t>
      </w:r>
    </w:p>
    <w:p w14:paraId="67766249" w14:textId="77777777" w:rsidR="00C7476F" w:rsidRDefault="00C7476F" w:rsidP="00C7476F">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In summary, this meta-analysis finds that IL</w:t>
      </w:r>
      <w:r>
        <w:rPr>
          <w:rFonts w:ascii="Arial" w:hAnsi="Arial" w:cs="Arial"/>
          <w:color w:val="000000"/>
          <w:sz w:val="25"/>
          <w:szCs w:val="25"/>
        </w:rPr>
        <w:noBreakHyphen/>
        <w:t>6 rs1800795 and IL</w:t>
      </w:r>
      <w:r>
        <w:rPr>
          <w:rFonts w:ascii="Arial" w:hAnsi="Arial" w:cs="Arial"/>
          <w:color w:val="000000"/>
          <w:sz w:val="25"/>
          <w:szCs w:val="25"/>
        </w:rPr>
        <w:noBreakHyphen/>
        <w:t>18 rs1946518 polymorphisms decrease the risk of BD. However, IL</w:t>
      </w:r>
      <w:r>
        <w:rPr>
          <w:rFonts w:ascii="Arial" w:hAnsi="Arial" w:cs="Arial"/>
          <w:color w:val="000000"/>
          <w:sz w:val="25"/>
          <w:szCs w:val="25"/>
        </w:rPr>
        <w:noBreakHyphen/>
        <w:t>12B </w:t>
      </w:r>
      <w:r>
        <w:rPr>
          <w:rStyle w:val="highlight"/>
          <w:rFonts w:ascii="Arial" w:hAnsi="Arial" w:cs="Arial"/>
          <w:color w:val="000000"/>
          <w:sz w:val="25"/>
          <w:szCs w:val="25"/>
        </w:rPr>
        <w:t>rs3212227</w:t>
      </w:r>
      <w:r>
        <w:rPr>
          <w:rFonts w:ascii="Arial" w:hAnsi="Arial" w:cs="Arial"/>
          <w:color w:val="000000"/>
          <w:sz w:val="25"/>
          <w:szCs w:val="25"/>
        </w:rPr>
        <w:t> increases BD susceptibility. Further large-scale investigation of this association is necessary.</w:t>
      </w:r>
    </w:p>
    <w:p w14:paraId="2FFF484D" w14:textId="18F343FC" w:rsidR="00C7476F" w:rsidRDefault="00C7476F"/>
    <w:p w14:paraId="3F3FF904" w14:textId="04181644" w:rsidR="004D5110" w:rsidRDefault="004D5110" w:rsidP="004D5110">
      <w:pPr>
        <w:pStyle w:val="NormalWeb"/>
        <w:shd w:val="clear" w:color="auto" w:fill="FFFFFF"/>
        <w:spacing w:before="0" w:beforeAutospacing="0" w:after="120" w:afterAutospacing="0"/>
        <w:rPr>
          <w:rFonts w:ascii="Arial" w:hAnsi="Arial" w:cs="Arial"/>
          <w:color w:val="000000"/>
          <w:sz w:val="25"/>
          <w:szCs w:val="25"/>
        </w:rPr>
      </w:pPr>
      <w:hyperlink r:id="rId33" w:history="1">
        <w:r w:rsidRPr="005E3A55">
          <w:rPr>
            <w:rStyle w:val="Hyperlink"/>
            <w:rFonts w:ascii="Arial" w:hAnsi="Arial" w:cs="Arial"/>
            <w:sz w:val="25"/>
            <w:szCs w:val="25"/>
          </w:rPr>
          <w:t>https://www.ncbi.nlm.nih.gov/pubmed/26375522</w:t>
        </w:r>
      </w:hyperlink>
    </w:p>
    <w:p w14:paraId="11245425" w14:textId="4E26BD7B" w:rsidR="004D5110" w:rsidRDefault="004D5110" w:rsidP="004D5110">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A significantly increased risk for RA associated with the IL-12A rs2243115 GG (GG versus TT: OR=4.81, 95% CI 1.33-17.36, P=0.017; and GG versus TG+TT: OR=4.55, 95% CI 1.27-16.36, P=0.020) genotype was evident among rheumatoid factor (RF) negative patients, and with the IL-12B </w:t>
      </w:r>
      <w:r>
        <w:rPr>
          <w:rStyle w:val="highlight"/>
          <w:rFonts w:ascii="Arial" w:hAnsi="Arial" w:cs="Arial"/>
          <w:color w:val="000000"/>
          <w:sz w:val="25"/>
          <w:szCs w:val="25"/>
        </w:rPr>
        <w:t>rs3212227</w:t>
      </w:r>
      <w:r>
        <w:rPr>
          <w:rFonts w:ascii="Arial" w:hAnsi="Arial" w:cs="Arial"/>
          <w:color w:val="000000"/>
          <w:sz w:val="25"/>
          <w:szCs w:val="25"/>
        </w:rPr>
        <w:t> AC (AC versus AA) and AC+CC (AC+CC versus AA) genotypes were evident among older patients (OR=1.48, 95% CI 1.06-2.06, P=0.020), RF positive patients (OR=1.35, 95% CI 1.04-1.75, P=0.026) and anti-cyclic citrullinated peptide antibodies (ACPA) negative patients (OR=1.53, 95% CI 1.11-2.10, P=0.009). The plasma level of IL-12 was significantly higher in RA patients (P&lt;0.001). IL-12 plasma level of IL-12A rs2243115 TT (P&lt;0.001) and IL-12B </w:t>
      </w:r>
      <w:r>
        <w:rPr>
          <w:rStyle w:val="highlight"/>
          <w:rFonts w:ascii="Arial" w:hAnsi="Arial" w:cs="Arial"/>
          <w:color w:val="000000"/>
          <w:sz w:val="25"/>
          <w:szCs w:val="25"/>
        </w:rPr>
        <w:t>rs3212227</w:t>
      </w:r>
      <w:r>
        <w:rPr>
          <w:rFonts w:ascii="Arial" w:hAnsi="Arial" w:cs="Arial"/>
          <w:color w:val="000000"/>
          <w:sz w:val="25"/>
          <w:szCs w:val="25"/>
        </w:rPr>
        <w:t xml:space="preserve"> C allele (P&lt;0.001) were significantly higher in </w:t>
      </w:r>
      <w:r>
        <w:rPr>
          <w:rFonts w:ascii="Arial" w:hAnsi="Arial" w:cs="Arial"/>
          <w:color w:val="000000"/>
          <w:sz w:val="25"/>
          <w:szCs w:val="25"/>
        </w:rPr>
        <w:lastRenderedPageBreak/>
        <w:t>RA patients than controls respectively. The plasma level of IL-12 of RF positive RA patients was significantly higher than RF negative patients (P=0.008), especially in </w:t>
      </w:r>
      <w:r>
        <w:rPr>
          <w:rStyle w:val="highlight"/>
          <w:rFonts w:ascii="Arial" w:hAnsi="Arial" w:cs="Arial"/>
          <w:color w:val="000000"/>
          <w:sz w:val="25"/>
          <w:szCs w:val="25"/>
        </w:rPr>
        <w:t>rs3212227</w:t>
      </w:r>
      <w:r>
        <w:rPr>
          <w:rFonts w:ascii="Arial" w:hAnsi="Arial" w:cs="Arial"/>
          <w:color w:val="000000"/>
          <w:sz w:val="25"/>
          <w:szCs w:val="25"/>
        </w:rPr>
        <w:t> AC patients (P=0.01).</w:t>
      </w:r>
    </w:p>
    <w:p w14:paraId="39BCD4FA" w14:textId="77777777" w:rsidR="004D5110" w:rsidRDefault="004D5110" w:rsidP="004D5110">
      <w:pPr>
        <w:pStyle w:val="Heading4"/>
        <w:shd w:val="clear" w:color="auto" w:fill="FFFFFF"/>
        <w:spacing w:before="0" w:beforeAutospacing="0" w:after="0" w:afterAutospacing="0"/>
        <w:ind w:right="60"/>
        <w:rPr>
          <w:rFonts w:ascii="Arial" w:hAnsi="Arial" w:cs="Arial"/>
          <w:caps/>
          <w:color w:val="000000"/>
          <w:sz w:val="20"/>
          <w:szCs w:val="20"/>
        </w:rPr>
      </w:pPr>
      <w:r>
        <w:rPr>
          <w:rFonts w:ascii="Arial" w:hAnsi="Arial" w:cs="Arial"/>
          <w:caps/>
          <w:color w:val="000000"/>
          <w:sz w:val="20"/>
          <w:szCs w:val="20"/>
        </w:rPr>
        <w:t>CONCLUSIONS:</w:t>
      </w:r>
    </w:p>
    <w:p w14:paraId="1C4343E1" w14:textId="2B1ADCA3" w:rsidR="004D5110" w:rsidRDefault="004D5110" w:rsidP="004D5110">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These findings suggested that the functional single nucleotide polymorphism (SNP) IL-12A rs2243115 GG genotype may increase the risk of RA in RF negative patients, and the IL-12B </w:t>
      </w:r>
      <w:r>
        <w:rPr>
          <w:rStyle w:val="highlight"/>
          <w:rFonts w:ascii="Arial" w:hAnsi="Arial" w:cs="Arial"/>
          <w:color w:val="000000"/>
          <w:sz w:val="25"/>
          <w:szCs w:val="25"/>
        </w:rPr>
        <w:t>rs3212227</w:t>
      </w:r>
      <w:r>
        <w:rPr>
          <w:rFonts w:ascii="Arial" w:hAnsi="Arial" w:cs="Arial"/>
          <w:color w:val="000000"/>
          <w:sz w:val="25"/>
          <w:szCs w:val="25"/>
        </w:rPr>
        <w:t> AC and AC+CC genotypes are associated with RA risk in older patients, RF positive patients and ACPA negative patients. The IL-12A rs2243115 T/G and IL-12B </w:t>
      </w:r>
      <w:r>
        <w:rPr>
          <w:rStyle w:val="highlight"/>
          <w:rFonts w:ascii="Arial" w:hAnsi="Arial" w:cs="Arial"/>
          <w:color w:val="000000"/>
          <w:sz w:val="25"/>
          <w:szCs w:val="25"/>
        </w:rPr>
        <w:t>rs3212227</w:t>
      </w:r>
      <w:r>
        <w:rPr>
          <w:rFonts w:ascii="Arial" w:hAnsi="Arial" w:cs="Arial"/>
          <w:color w:val="000000"/>
          <w:sz w:val="25"/>
          <w:szCs w:val="25"/>
        </w:rPr>
        <w:t> A/C allele might also impact the inflammatory reaction of IL-12 in patients with RA.</w:t>
      </w:r>
    </w:p>
    <w:p w14:paraId="408F19F4" w14:textId="4CE37D15" w:rsidR="004D5110" w:rsidRDefault="004D5110" w:rsidP="004D5110">
      <w:pPr>
        <w:pStyle w:val="NormalWeb"/>
        <w:shd w:val="clear" w:color="auto" w:fill="FFFFFF"/>
        <w:spacing w:before="0" w:beforeAutospacing="0" w:after="120" w:afterAutospacing="0"/>
        <w:rPr>
          <w:rFonts w:ascii="Arial" w:hAnsi="Arial" w:cs="Arial"/>
          <w:color w:val="000000"/>
          <w:sz w:val="25"/>
          <w:szCs w:val="25"/>
        </w:rPr>
      </w:pPr>
    </w:p>
    <w:p w14:paraId="4E42677E" w14:textId="3DE59A23" w:rsidR="004D5110" w:rsidRDefault="004D5110" w:rsidP="004D5110">
      <w:pPr>
        <w:pStyle w:val="NormalWeb"/>
        <w:shd w:val="clear" w:color="auto" w:fill="FFFFFF"/>
        <w:spacing w:before="0" w:beforeAutospacing="0" w:after="120" w:afterAutospacing="0"/>
        <w:rPr>
          <w:rFonts w:ascii="Arial" w:hAnsi="Arial" w:cs="Arial"/>
          <w:color w:val="000000"/>
          <w:sz w:val="25"/>
          <w:szCs w:val="25"/>
        </w:rPr>
      </w:pPr>
      <w:hyperlink r:id="rId34" w:history="1">
        <w:r w:rsidRPr="005E3A55">
          <w:rPr>
            <w:rStyle w:val="Hyperlink"/>
            <w:rFonts w:ascii="Arial" w:hAnsi="Arial" w:cs="Arial"/>
            <w:sz w:val="25"/>
            <w:szCs w:val="25"/>
          </w:rPr>
          <w:t>http://www.uniprot.org/uniprot/P29460</w:t>
        </w:r>
      </w:hyperlink>
    </w:p>
    <w:p w14:paraId="61F0462F" w14:textId="698B7A18" w:rsidR="004D5110" w:rsidRDefault="004D5110" w:rsidP="004D5110">
      <w:pPr>
        <w:pStyle w:val="NormalWeb"/>
        <w:shd w:val="clear" w:color="auto" w:fill="FFFFFF"/>
        <w:spacing w:before="0" w:beforeAutospacing="0" w:after="120" w:afterAutospacing="0"/>
        <w:rPr>
          <w:rFonts w:ascii="Verdana" w:hAnsi="Verdana"/>
          <w:b/>
          <w:bCs/>
          <w:color w:val="000000"/>
          <w:sz w:val="21"/>
          <w:szCs w:val="21"/>
        </w:rPr>
      </w:pPr>
      <w:r>
        <w:rPr>
          <w:rFonts w:ascii="Verdana" w:hAnsi="Verdana"/>
          <w:b/>
          <w:bCs/>
          <w:color w:val="000000"/>
          <w:sz w:val="21"/>
          <w:szCs w:val="21"/>
        </w:rPr>
        <w:t>Interleukin-12 subunit beta</w:t>
      </w:r>
    </w:p>
    <w:p w14:paraId="26D7E6BA" w14:textId="43BB38A6" w:rsidR="004D5110" w:rsidRDefault="004D5110" w:rsidP="004D5110">
      <w:pPr>
        <w:pStyle w:val="NormalWeb"/>
        <w:shd w:val="clear" w:color="auto" w:fill="FFFFFF"/>
        <w:spacing w:before="0" w:beforeAutospacing="0" w:after="120" w:afterAutospacing="0"/>
        <w:rPr>
          <w:rFonts w:ascii="Arial" w:hAnsi="Arial" w:cs="Arial"/>
          <w:color w:val="000000"/>
          <w:sz w:val="25"/>
          <w:szCs w:val="25"/>
        </w:rPr>
      </w:pPr>
    </w:p>
    <w:p w14:paraId="21332E0D" w14:textId="77777777" w:rsidR="004D5110" w:rsidRDefault="004D5110" w:rsidP="004D5110">
      <w:pPr>
        <w:rPr>
          <w:rFonts w:ascii="Verdana" w:hAnsi="Verdana"/>
          <w:color w:val="222222"/>
          <w:sz w:val="20"/>
          <w:szCs w:val="20"/>
        </w:rPr>
      </w:pPr>
      <w:r>
        <w:rPr>
          <w:rFonts w:ascii="Verdana" w:hAnsi="Verdana"/>
          <w:color w:val="222222"/>
          <w:sz w:val="20"/>
          <w:szCs w:val="20"/>
        </w:rPr>
        <w:t>Cytokine that can act as a growth factor for activated T and NK cells, enhance the lytic activity of NK/lymphokine-activated killer cells, and stimulate the production of IFN-gamma by resting PBMC.</w:t>
      </w:r>
      <w:r>
        <w:rPr>
          <w:rStyle w:val="attributionheader"/>
          <w:rFonts w:ascii="Verdana" w:hAnsi="Verdana"/>
          <w:color w:val="222222"/>
          <w:sz w:val="18"/>
          <w:szCs w:val="18"/>
          <w:bdr w:val="none" w:sz="0" w:space="0" w:color="auto" w:frame="1"/>
          <w:shd w:val="clear" w:color="auto" w:fill="FBEFB6"/>
        </w:rPr>
        <w:t>1 Publication</w:t>
      </w:r>
    </w:p>
    <w:p w14:paraId="437A7932" w14:textId="77777777" w:rsidR="004D5110" w:rsidRDefault="004D5110" w:rsidP="004D5110">
      <w:pPr>
        <w:rPr>
          <w:rFonts w:ascii="Verdana" w:hAnsi="Verdana"/>
          <w:color w:val="222222"/>
          <w:sz w:val="20"/>
          <w:szCs w:val="20"/>
        </w:rPr>
      </w:pPr>
      <w:r>
        <w:rPr>
          <w:rFonts w:ascii="Verdana" w:hAnsi="Verdana"/>
          <w:color w:val="222222"/>
          <w:sz w:val="20"/>
          <w:szCs w:val="20"/>
        </w:rPr>
        <w:t xml:space="preserve">Associates with IL23A to form the IL-23 interleukin, a heterodimeric cytokine which functions in innate and adaptive immunity. IL-23 may constitute with IL-17 an acute response to infection in peripheral tissues. IL-23 binds to a heterodimeric receptor complex composed of IL12RB1 and IL23R, activates the </w:t>
      </w:r>
      <w:proofErr w:type="spellStart"/>
      <w:r>
        <w:rPr>
          <w:rFonts w:ascii="Verdana" w:hAnsi="Verdana"/>
          <w:color w:val="222222"/>
          <w:sz w:val="20"/>
          <w:szCs w:val="20"/>
        </w:rPr>
        <w:t>Jak</w:t>
      </w:r>
      <w:proofErr w:type="spellEnd"/>
      <w:r>
        <w:rPr>
          <w:rFonts w:ascii="Verdana" w:hAnsi="Verdana"/>
          <w:color w:val="222222"/>
          <w:sz w:val="20"/>
          <w:szCs w:val="20"/>
        </w:rPr>
        <w:t>-Stat signaling cascade, stimulates memory rather than naive T-cells and promotes production of proinflammatory cytokines. IL-23 induces autoimmune inflammation and thus may be responsible for autoimmune inflammatory diseases and may be important for tumorigenesis.</w:t>
      </w:r>
    </w:p>
    <w:p w14:paraId="0079124C" w14:textId="4C885026" w:rsidR="004D5110" w:rsidRDefault="004D5110" w:rsidP="004D5110">
      <w:pPr>
        <w:pStyle w:val="NormalWeb"/>
        <w:shd w:val="clear" w:color="auto" w:fill="FFFFFF"/>
        <w:spacing w:before="0" w:beforeAutospacing="0" w:after="120" w:afterAutospacing="0"/>
        <w:rPr>
          <w:rFonts w:ascii="Arial" w:hAnsi="Arial" w:cs="Arial"/>
          <w:color w:val="000000"/>
          <w:sz w:val="25"/>
          <w:szCs w:val="25"/>
        </w:rPr>
      </w:pPr>
    </w:p>
    <w:p w14:paraId="7F012FFA" w14:textId="77777777" w:rsidR="004D5110" w:rsidRDefault="004D5110" w:rsidP="004D5110">
      <w:pPr>
        <w:numPr>
          <w:ilvl w:val="0"/>
          <w:numId w:val="1"/>
        </w:numPr>
        <w:spacing w:before="100" w:beforeAutospacing="1" w:afterAutospacing="1"/>
        <w:ind w:left="480" w:firstLine="0"/>
        <w:rPr>
          <w:rFonts w:ascii="Verdana" w:hAnsi="Verdana"/>
          <w:color w:val="222222"/>
          <w:sz w:val="20"/>
          <w:szCs w:val="20"/>
        </w:rPr>
      </w:pPr>
      <w:hyperlink r:id="rId35" w:history="1">
        <w:r>
          <w:rPr>
            <w:rStyle w:val="Hyperlink"/>
            <w:rFonts w:ascii="Verdana" w:hAnsi="Verdana"/>
            <w:color w:val="00709B"/>
            <w:sz w:val="20"/>
            <w:szCs w:val="20"/>
          </w:rPr>
          <w:t>cytokine activity</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UniProtKB</w:t>
      </w:r>
      <w:proofErr w:type="spellEnd"/>
      <w:r>
        <w:rPr>
          <w:rStyle w:val="attributionheader"/>
          <w:rFonts w:ascii="Verdana" w:hAnsi="Verdana"/>
          <w:color w:val="222222"/>
          <w:sz w:val="18"/>
          <w:szCs w:val="18"/>
          <w:bdr w:val="none" w:sz="0" w:space="0" w:color="auto" w:frame="1"/>
          <w:shd w:val="clear" w:color="auto" w:fill="D3E8FE"/>
        </w:rPr>
        <w:t>-KW</w:t>
      </w:r>
    </w:p>
    <w:p w14:paraId="6B9A860D" w14:textId="77777777" w:rsidR="004D5110" w:rsidRDefault="004D5110" w:rsidP="004D5110">
      <w:pPr>
        <w:numPr>
          <w:ilvl w:val="0"/>
          <w:numId w:val="1"/>
        </w:numPr>
        <w:spacing w:before="100" w:beforeAutospacing="1" w:afterAutospacing="1"/>
        <w:ind w:left="480" w:firstLine="0"/>
        <w:rPr>
          <w:rFonts w:ascii="Verdana" w:hAnsi="Verdana"/>
          <w:color w:val="222222"/>
          <w:sz w:val="20"/>
          <w:szCs w:val="20"/>
        </w:rPr>
      </w:pPr>
      <w:hyperlink r:id="rId36" w:history="1">
        <w:r>
          <w:rPr>
            <w:rStyle w:val="Hyperlink"/>
            <w:rFonts w:ascii="Verdana" w:hAnsi="Verdana"/>
            <w:color w:val="00709B"/>
            <w:sz w:val="20"/>
            <w:szCs w:val="20"/>
          </w:rPr>
          <w:t>cytokine receptor activity</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InterPro</w:t>
      </w:r>
      <w:proofErr w:type="spellEnd"/>
    </w:p>
    <w:p w14:paraId="221580DC" w14:textId="77777777" w:rsidR="004D5110" w:rsidRDefault="004D5110" w:rsidP="004D5110">
      <w:pPr>
        <w:numPr>
          <w:ilvl w:val="0"/>
          <w:numId w:val="1"/>
        </w:numPr>
        <w:spacing w:before="100" w:beforeAutospacing="1" w:afterAutospacing="1"/>
        <w:ind w:left="480" w:firstLine="0"/>
        <w:rPr>
          <w:rFonts w:ascii="Verdana" w:hAnsi="Verdana"/>
          <w:color w:val="222222"/>
          <w:sz w:val="20"/>
          <w:szCs w:val="20"/>
        </w:rPr>
      </w:pPr>
      <w:hyperlink r:id="rId37" w:history="1">
        <w:r>
          <w:rPr>
            <w:rStyle w:val="Hyperlink"/>
            <w:rFonts w:ascii="Verdana" w:hAnsi="Verdana"/>
            <w:color w:val="00709B"/>
            <w:sz w:val="20"/>
            <w:szCs w:val="20"/>
          </w:rPr>
          <w:t>identical protein binding</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IntAct</w:t>
      </w:r>
      <w:proofErr w:type="spellEnd"/>
    </w:p>
    <w:p w14:paraId="2DFD2D33" w14:textId="77777777" w:rsidR="004D5110" w:rsidRDefault="004D5110" w:rsidP="004D5110">
      <w:pPr>
        <w:numPr>
          <w:ilvl w:val="0"/>
          <w:numId w:val="1"/>
        </w:numPr>
        <w:spacing w:before="100" w:beforeAutospacing="1" w:afterAutospacing="1"/>
        <w:ind w:left="480" w:firstLine="0"/>
        <w:rPr>
          <w:rFonts w:ascii="Verdana" w:hAnsi="Verdana"/>
          <w:color w:val="222222"/>
          <w:sz w:val="20"/>
          <w:szCs w:val="20"/>
        </w:rPr>
      </w:pPr>
      <w:hyperlink r:id="rId38" w:history="1">
        <w:r>
          <w:rPr>
            <w:rStyle w:val="Hyperlink"/>
            <w:rFonts w:ascii="Verdana" w:hAnsi="Verdana"/>
            <w:color w:val="00709B"/>
            <w:sz w:val="20"/>
            <w:szCs w:val="20"/>
          </w:rPr>
          <w:t>interleukin-12 alpha subunit binding</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AgBase</w:t>
      </w:r>
      <w:proofErr w:type="spellEnd"/>
    </w:p>
    <w:p w14:paraId="64BBB69F" w14:textId="77777777" w:rsidR="004D5110" w:rsidRDefault="004D5110" w:rsidP="004D5110">
      <w:pPr>
        <w:numPr>
          <w:ilvl w:val="0"/>
          <w:numId w:val="1"/>
        </w:numPr>
        <w:spacing w:before="100" w:beforeAutospacing="1" w:afterAutospacing="1"/>
        <w:ind w:left="480" w:firstLine="0"/>
        <w:rPr>
          <w:rFonts w:ascii="Verdana" w:hAnsi="Verdana"/>
          <w:color w:val="222222"/>
          <w:sz w:val="20"/>
          <w:szCs w:val="20"/>
        </w:rPr>
      </w:pPr>
      <w:hyperlink r:id="rId39" w:history="1">
        <w:r>
          <w:rPr>
            <w:rStyle w:val="Hyperlink"/>
            <w:rFonts w:ascii="Verdana" w:hAnsi="Verdana"/>
            <w:color w:val="00709B"/>
            <w:sz w:val="20"/>
            <w:szCs w:val="20"/>
          </w:rPr>
          <w:t>interleukin-12 receptor binding</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1059DB57" w14:textId="77777777" w:rsidR="004D5110" w:rsidRDefault="004D5110" w:rsidP="004D5110">
      <w:pPr>
        <w:numPr>
          <w:ilvl w:val="0"/>
          <w:numId w:val="1"/>
        </w:numPr>
        <w:spacing w:before="100" w:beforeAutospacing="1" w:afterAutospacing="1"/>
        <w:ind w:left="480" w:firstLine="0"/>
        <w:rPr>
          <w:rFonts w:ascii="Verdana" w:hAnsi="Verdana"/>
          <w:color w:val="222222"/>
          <w:sz w:val="20"/>
          <w:szCs w:val="20"/>
        </w:rPr>
      </w:pPr>
      <w:hyperlink r:id="rId40" w:history="1">
        <w:r>
          <w:rPr>
            <w:rStyle w:val="Hyperlink"/>
            <w:rFonts w:ascii="Verdana" w:hAnsi="Verdana"/>
            <w:color w:val="00709B"/>
            <w:sz w:val="20"/>
            <w:szCs w:val="20"/>
          </w:rPr>
          <w:t>protein heterodimerization activity</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62404975" w14:textId="77777777" w:rsidR="004D5110" w:rsidRDefault="004D5110" w:rsidP="004D5110">
      <w:pPr>
        <w:numPr>
          <w:ilvl w:val="0"/>
          <w:numId w:val="1"/>
        </w:numPr>
        <w:spacing w:before="100" w:beforeAutospacing="1" w:afterAutospacing="1"/>
        <w:ind w:left="480" w:firstLine="0"/>
        <w:rPr>
          <w:rFonts w:ascii="Verdana" w:hAnsi="Verdana"/>
          <w:color w:val="222222"/>
          <w:sz w:val="20"/>
          <w:szCs w:val="20"/>
        </w:rPr>
      </w:pPr>
      <w:hyperlink r:id="rId41" w:history="1">
        <w:r>
          <w:rPr>
            <w:rStyle w:val="Hyperlink"/>
            <w:rFonts w:ascii="Verdana" w:hAnsi="Verdana"/>
            <w:color w:val="00709B"/>
            <w:sz w:val="20"/>
            <w:szCs w:val="20"/>
          </w:rPr>
          <w:t>protein homodimerization activity</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Ensembl</w:t>
      </w:r>
      <w:proofErr w:type="spellEnd"/>
    </w:p>
    <w:p w14:paraId="574EF7D3" w14:textId="77777777" w:rsidR="004D5110" w:rsidRDefault="004D5110" w:rsidP="004D5110">
      <w:pPr>
        <w:rPr>
          <w:rFonts w:ascii="Verdana" w:hAnsi="Verdana"/>
          <w:color w:val="222222"/>
          <w:sz w:val="20"/>
          <w:szCs w:val="20"/>
        </w:rPr>
      </w:pPr>
      <w:hyperlink r:id="rId42" w:history="1">
        <w:r>
          <w:rPr>
            <w:rStyle w:val="Hyperlink"/>
            <w:rFonts w:ascii="Verdana" w:hAnsi="Verdana"/>
            <w:color w:val="00709B"/>
            <w:sz w:val="20"/>
            <w:szCs w:val="20"/>
          </w:rPr>
          <w:t xml:space="preserve">View the complete GO annotation on </w:t>
        </w:r>
        <w:proofErr w:type="spellStart"/>
        <w:r>
          <w:rPr>
            <w:rStyle w:val="Hyperlink"/>
            <w:rFonts w:ascii="Verdana" w:hAnsi="Verdana"/>
            <w:color w:val="00709B"/>
            <w:sz w:val="20"/>
            <w:szCs w:val="20"/>
          </w:rPr>
          <w:t>QuickGO</w:t>
        </w:r>
        <w:proofErr w:type="spellEnd"/>
        <w:r>
          <w:rPr>
            <w:rStyle w:val="Hyperlink"/>
            <w:rFonts w:ascii="Verdana" w:hAnsi="Verdana"/>
            <w:color w:val="00709B"/>
            <w:sz w:val="20"/>
            <w:szCs w:val="20"/>
          </w:rPr>
          <w:t xml:space="preserve"> ...</w:t>
        </w:r>
      </w:hyperlink>
    </w:p>
    <w:p w14:paraId="0B865031" w14:textId="77777777" w:rsidR="004D5110" w:rsidRDefault="004D5110" w:rsidP="004D5110">
      <w:pPr>
        <w:pStyle w:val="Heading4"/>
        <w:spacing w:before="0" w:beforeAutospacing="0" w:after="0" w:afterAutospacing="0"/>
        <w:rPr>
          <w:rFonts w:ascii="Helvetica" w:hAnsi="Helvetica" w:cs="Helvetica"/>
          <w:color w:val="4D4D4D"/>
          <w:sz w:val="23"/>
          <w:szCs w:val="23"/>
        </w:rPr>
      </w:pPr>
      <w:r>
        <w:rPr>
          <w:rStyle w:val="context-help"/>
          <w:rFonts w:ascii="Helvetica" w:hAnsi="Helvetica" w:cs="Helvetica"/>
          <w:color w:val="4D4D4D"/>
          <w:sz w:val="23"/>
          <w:szCs w:val="23"/>
        </w:rPr>
        <w:t xml:space="preserve">GO - Biological </w:t>
      </w:r>
      <w:proofErr w:type="spellStart"/>
      <w:r>
        <w:rPr>
          <w:rStyle w:val="context-help"/>
          <w:rFonts w:ascii="Helvetica" w:hAnsi="Helvetica" w:cs="Helvetica"/>
          <w:color w:val="4D4D4D"/>
          <w:sz w:val="23"/>
          <w:szCs w:val="23"/>
        </w:rPr>
        <w:t>process</w:t>
      </w:r>
      <w:r>
        <w:rPr>
          <w:rStyle w:val="context-help"/>
          <w:rFonts w:ascii="Garamond" w:hAnsi="Garamond" w:cs="Helvetica"/>
          <w:b w:val="0"/>
          <w:bCs w:val="0"/>
          <w:color w:val="4D4D4D"/>
          <w:sz w:val="18"/>
          <w:szCs w:val="18"/>
          <w:vertAlign w:val="superscript"/>
        </w:rPr>
        <w:t>i</w:t>
      </w:r>
      <w:proofErr w:type="spellEnd"/>
    </w:p>
    <w:p w14:paraId="3ABF28EA" w14:textId="77777777" w:rsidR="004D5110" w:rsidRDefault="004D5110" w:rsidP="004D5110">
      <w:pPr>
        <w:numPr>
          <w:ilvl w:val="0"/>
          <w:numId w:val="2"/>
        </w:numPr>
        <w:spacing w:before="100" w:beforeAutospacing="1" w:afterAutospacing="1"/>
        <w:ind w:left="480" w:firstLine="0"/>
        <w:rPr>
          <w:rFonts w:ascii="Verdana" w:hAnsi="Verdana"/>
          <w:color w:val="222222"/>
          <w:sz w:val="20"/>
          <w:szCs w:val="20"/>
        </w:rPr>
      </w:pPr>
      <w:hyperlink r:id="rId43" w:history="1">
        <w:r>
          <w:rPr>
            <w:rStyle w:val="Hyperlink"/>
            <w:rFonts w:ascii="Verdana" w:hAnsi="Verdana"/>
            <w:color w:val="00709B"/>
            <w:sz w:val="20"/>
            <w:szCs w:val="20"/>
          </w:rPr>
          <w:t>cell cycle arrest</w:t>
        </w:r>
      </w:hyperlink>
      <w:r>
        <w:rPr>
          <w:rStyle w:val="attributionheader"/>
          <w:rFonts w:ascii="Verdana" w:hAnsi="Verdana"/>
          <w:color w:val="222222"/>
          <w:sz w:val="18"/>
          <w:szCs w:val="18"/>
          <w:bdr w:val="none" w:sz="0" w:space="0" w:color="auto" w:frame="1"/>
          <w:shd w:val="clear" w:color="auto" w:fill="FBEFB6"/>
        </w:rPr>
        <w:t> Source: BHF-UCL</w:t>
      </w:r>
    </w:p>
    <w:p w14:paraId="52916CED" w14:textId="77777777" w:rsidR="004D5110" w:rsidRDefault="004D5110" w:rsidP="004D5110">
      <w:pPr>
        <w:numPr>
          <w:ilvl w:val="0"/>
          <w:numId w:val="2"/>
        </w:numPr>
        <w:spacing w:before="100" w:beforeAutospacing="1" w:afterAutospacing="1"/>
        <w:ind w:left="480" w:firstLine="0"/>
        <w:rPr>
          <w:rFonts w:ascii="Verdana" w:hAnsi="Verdana"/>
          <w:color w:val="222222"/>
          <w:sz w:val="20"/>
          <w:szCs w:val="20"/>
        </w:rPr>
      </w:pPr>
      <w:hyperlink r:id="rId44" w:history="1">
        <w:r>
          <w:rPr>
            <w:rStyle w:val="Hyperlink"/>
            <w:rFonts w:ascii="Verdana" w:hAnsi="Verdana"/>
            <w:color w:val="00709B"/>
            <w:sz w:val="20"/>
            <w:szCs w:val="20"/>
          </w:rPr>
          <w:t>cell migration</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300CAAB9" w14:textId="77777777" w:rsidR="004D5110" w:rsidRDefault="004D5110" w:rsidP="004D5110">
      <w:pPr>
        <w:numPr>
          <w:ilvl w:val="0"/>
          <w:numId w:val="2"/>
        </w:numPr>
        <w:spacing w:before="100" w:beforeAutospacing="1" w:afterAutospacing="1"/>
        <w:ind w:left="480" w:firstLine="0"/>
        <w:rPr>
          <w:rFonts w:ascii="Verdana" w:hAnsi="Verdana"/>
          <w:color w:val="222222"/>
          <w:sz w:val="20"/>
          <w:szCs w:val="20"/>
        </w:rPr>
      </w:pPr>
      <w:hyperlink r:id="rId45" w:history="1">
        <w:r>
          <w:rPr>
            <w:rStyle w:val="Hyperlink"/>
            <w:rFonts w:ascii="Verdana" w:hAnsi="Verdana"/>
            <w:color w:val="00709B"/>
            <w:sz w:val="20"/>
            <w:szCs w:val="20"/>
          </w:rPr>
          <w:t>cell proliferation</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Ensembl</w:t>
      </w:r>
      <w:proofErr w:type="spellEnd"/>
    </w:p>
    <w:p w14:paraId="70FE40E3" w14:textId="77777777" w:rsidR="004D5110" w:rsidRDefault="004D5110" w:rsidP="004D5110">
      <w:pPr>
        <w:numPr>
          <w:ilvl w:val="0"/>
          <w:numId w:val="2"/>
        </w:numPr>
        <w:spacing w:before="100" w:beforeAutospacing="1" w:afterAutospacing="1"/>
        <w:ind w:left="480" w:firstLine="0"/>
        <w:rPr>
          <w:rFonts w:ascii="Verdana" w:hAnsi="Verdana"/>
          <w:color w:val="222222"/>
          <w:sz w:val="20"/>
          <w:szCs w:val="20"/>
        </w:rPr>
      </w:pPr>
      <w:hyperlink r:id="rId46" w:history="1">
        <w:r>
          <w:rPr>
            <w:rStyle w:val="Hyperlink"/>
            <w:rFonts w:ascii="Verdana" w:hAnsi="Verdana"/>
            <w:color w:val="00709B"/>
            <w:sz w:val="20"/>
            <w:szCs w:val="20"/>
          </w:rPr>
          <w:t>cellular response to interferon-gamma</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Ensembl</w:t>
      </w:r>
      <w:proofErr w:type="spellEnd"/>
    </w:p>
    <w:p w14:paraId="650C41D1" w14:textId="77777777" w:rsidR="004D5110" w:rsidRDefault="004D5110" w:rsidP="004D5110">
      <w:pPr>
        <w:numPr>
          <w:ilvl w:val="0"/>
          <w:numId w:val="2"/>
        </w:numPr>
        <w:spacing w:before="100" w:beforeAutospacing="1" w:afterAutospacing="1"/>
        <w:ind w:left="480" w:firstLine="0"/>
        <w:rPr>
          <w:rFonts w:ascii="Verdana" w:hAnsi="Verdana"/>
          <w:color w:val="222222"/>
          <w:sz w:val="20"/>
          <w:szCs w:val="20"/>
        </w:rPr>
      </w:pPr>
      <w:hyperlink r:id="rId47" w:history="1">
        <w:r>
          <w:rPr>
            <w:rStyle w:val="Hyperlink"/>
            <w:rFonts w:ascii="Verdana" w:hAnsi="Verdana"/>
            <w:color w:val="00709B"/>
            <w:sz w:val="20"/>
            <w:szCs w:val="20"/>
          </w:rPr>
          <w:t>cellular response to lipopolysaccharide</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Ensembl</w:t>
      </w:r>
      <w:proofErr w:type="spellEnd"/>
    </w:p>
    <w:p w14:paraId="2245EAC9" w14:textId="77777777" w:rsidR="004D5110" w:rsidRDefault="004D5110" w:rsidP="004D5110">
      <w:pPr>
        <w:numPr>
          <w:ilvl w:val="0"/>
          <w:numId w:val="2"/>
        </w:numPr>
        <w:spacing w:before="100" w:beforeAutospacing="1" w:afterAutospacing="1"/>
        <w:ind w:left="480" w:firstLine="0"/>
        <w:rPr>
          <w:rFonts w:ascii="Verdana" w:hAnsi="Verdana"/>
          <w:color w:val="222222"/>
          <w:sz w:val="20"/>
          <w:szCs w:val="20"/>
        </w:rPr>
      </w:pPr>
      <w:hyperlink r:id="rId48" w:history="1">
        <w:r>
          <w:rPr>
            <w:rStyle w:val="Hyperlink"/>
            <w:rFonts w:ascii="Verdana" w:hAnsi="Verdana"/>
            <w:color w:val="00709B"/>
            <w:sz w:val="20"/>
            <w:szCs w:val="20"/>
          </w:rPr>
          <w:t>cytokine-mediated signaling pathway</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Reactome</w:t>
      </w:r>
      <w:proofErr w:type="spellEnd"/>
    </w:p>
    <w:p w14:paraId="6F4CDE29" w14:textId="77777777" w:rsidR="004D5110" w:rsidRDefault="004D5110" w:rsidP="004D5110">
      <w:pPr>
        <w:numPr>
          <w:ilvl w:val="0"/>
          <w:numId w:val="2"/>
        </w:numPr>
        <w:spacing w:before="100" w:beforeAutospacing="1" w:afterAutospacing="1"/>
        <w:ind w:left="480" w:firstLine="0"/>
        <w:rPr>
          <w:rFonts w:ascii="Verdana" w:hAnsi="Verdana"/>
          <w:color w:val="222222"/>
          <w:sz w:val="20"/>
          <w:szCs w:val="20"/>
        </w:rPr>
      </w:pPr>
      <w:hyperlink r:id="rId49" w:history="1">
        <w:r>
          <w:rPr>
            <w:rStyle w:val="Hyperlink"/>
            <w:rFonts w:ascii="Verdana" w:hAnsi="Verdana"/>
            <w:color w:val="00709B"/>
            <w:sz w:val="20"/>
            <w:szCs w:val="20"/>
          </w:rPr>
          <w:t>defense response to Gram-negative bacterium</w:t>
        </w:r>
      </w:hyperlink>
      <w:r>
        <w:rPr>
          <w:rStyle w:val="attributionheader"/>
          <w:rFonts w:ascii="Verdana" w:hAnsi="Verdana"/>
          <w:color w:val="222222"/>
          <w:sz w:val="18"/>
          <w:szCs w:val="18"/>
          <w:bdr w:val="none" w:sz="0" w:space="0" w:color="auto" w:frame="1"/>
          <w:shd w:val="clear" w:color="auto" w:fill="FBEFB6"/>
        </w:rPr>
        <w:t> Source: BHF-UCL</w:t>
      </w:r>
    </w:p>
    <w:p w14:paraId="72F3AD1F" w14:textId="77777777" w:rsidR="004D5110" w:rsidRDefault="004D5110" w:rsidP="004D5110">
      <w:pPr>
        <w:numPr>
          <w:ilvl w:val="0"/>
          <w:numId w:val="2"/>
        </w:numPr>
        <w:spacing w:before="100" w:beforeAutospacing="1" w:afterAutospacing="1"/>
        <w:ind w:left="480" w:firstLine="0"/>
        <w:rPr>
          <w:rFonts w:ascii="Verdana" w:hAnsi="Verdana"/>
          <w:color w:val="222222"/>
          <w:sz w:val="20"/>
          <w:szCs w:val="20"/>
        </w:rPr>
      </w:pPr>
      <w:hyperlink r:id="rId50" w:history="1">
        <w:r>
          <w:rPr>
            <w:rStyle w:val="Hyperlink"/>
            <w:rFonts w:ascii="Verdana" w:hAnsi="Verdana"/>
            <w:color w:val="00709B"/>
            <w:sz w:val="20"/>
            <w:szCs w:val="20"/>
          </w:rPr>
          <w:t>defense response to protozoan</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Ensembl</w:t>
      </w:r>
      <w:proofErr w:type="spellEnd"/>
    </w:p>
    <w:p w14:paraId="09458390" w14:textId="77777777" w:rsidR="004D5110" w:rsidRDefault="004D5110" w:rsidP="004D5110">
      <w:pPr>
        <w:numPr>
          <w:ilvl w:val="0"/>
          <w:numId w:val="2"/>
        </w:numPr>
        <w:spacing w:before="100" w:beforeAutospacing="1" w:afterAutospacing="1"/>
        <w:ind w:left="480" w:firstLine="0"/>
        <w:rPr>
          <w:rFonts w:ascii="Verdana" w:hAnsi="Verdana"/>
          <w:color w:val="222222"/>
          <w:sz w:val="20"/>
          <w:szCs w:val="20"/>
        </w:rPr>
      </w:pPr>
      <w:hyperlink r:id="rId51" w:history="1">
        <w:r>
          <w:rPr>
            <w:rStyle w:val="Hyperlink"/>
            <w:rFonts w:ascii="Verdana" w:hAnsi="Verdana"/>
            <w:color w:val="00709B"/>
            <w:sz w:val="20"/>
            <w:szCs w:val="20"/>
          </w:rPr>
          <w:t>defense response to virus</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Ensembl</w:t>
      </w:r>
      <w:proofErr w:type="spellEnd"/>
    </w:p>
    <w:p w14:paraId="4AD4E42F" w14:textId="77777777" w:rsidR="004D5110" w:rsidRDefault="004D5110" w:rsidP="004D5110">
      <w:pPr>
        <w:numPr>
          <w:ilvl w:val="0"/>
          <w:numId w:val="2"/>
        </w:numPr>
        <w:spacing w:before="100" w:beforeAutospacing="1" w:afterAutospacing="1"/>
        <w:ind w:left="480" w:firstLine="0"/>
        <w:rPr>
          <w:rFonts w:ascii="Verdana" w:hAnsi="Verdana"/>
          <w:color w:val="222222"/>
          <w:sz w:val="20"/>
          <w:szCs w:val="20"/>
        </w:rPr>
      </w:pPr>
      <w:hyperlink r:id="rId52" w:history="1">
        <w:r>
          <w:rPr>
            <w:rStyle w:val="Hyperlink"/>
            <w:rFonts w:ascii="Verdana" w:hAnsi="Verdana"/>
            <w:color w:val="00709B"/>
            <w:sz w:val="20"/>
            <w:szCs w:val="20"/>
          </w:rPr>
          <w:t>interferon-gamma biosynthetic process</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6442B3BE" w14:textId="77777777" w:rsidR="004D5110" w:rsidRDefault="004D5110" w:rsidP="004D5110">
      <w:pPr>
        <w:numPr>
          <w:ilvl w:val="0"/>
          <w:numId w:val="2"/>
        </w:numPr>
        <w:spacing w:before="100" w:beforeAutospacing="1" w:afterAutospacing="1"/>
        <w:ind w:left="480" w:firstLine="0"/>
        <w:rPr>
          <w:rFonts w:ascii="Verdana" w:hAnsi="Verdana"/>
          <w:color w:val="222222"/>
          <w:sz w:val="20"/>
          <w:szCs w:val="20"/>
        </w:rPr>
      </w:pPr>
      <w:hyperlink r:id="rId53" w:history="1">
        <w:r>
          <w:rPr>
            <w:rStyle w:val="Hyperlink"/>
            <w:rFonts w:ascii="Verdana" w:hAnsi="Verdana"/>
            <w:color w:val="00709B"/>
            <w:sz w:val="20"/>
            <w:szCs w:val="20"/>
          </w:rPr>
          <w:t>interleukin-12-mediated signaling pathway</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Reactome</w:t>
      </w:r>
      <w:proofErr w:type="spellEnd"/>
    </w:p>
    <w:p w14:paraId="6DF6639A" w14:textId="77777777" w:rsidR="004D5110" w:rsidRDefault="004D5110" w:rsidP="004D5110">
      <w:pPr>
        <w:numPr>
          <w:ilvl w:val="0"/>
          <w:numId w:val="2"/>
        </w:numPr>
        <w:spacing w:before="100" w:beforeAutospacing="1" w:afterAutospacing="1"/>
        <w:ind w:left="480" w:firstLine="0"/>
        <w:rPr>
          <w:rFonts w:ascii="Verdana" w:hAnsi="Verdana"/>
          <w:color w:val="222222"/>
          <w:sz w:val="20"/>
          <w:szCs w:val="20"/>
        </w:rPr>
      </w:pPr>
      <w:hyperlink r:id="rId54" w:history="1">
        <w:r>
          <w:rPr>
            <w:rStyle w:val="Hyperlink"/>
            <w:rFonts w:ascii="Verdana" w:hAnsi="Verdana"/>
            <w:color w:val="00709B"/>
            <w:sz w:val="20"/>
            <w:szCs w:val="20"/>
          </w:rPr>
          <w:t>interleukin-23-mediated signaling pathway</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Reactome</w:t>
      </w:r>
      <w:proofErr w:type="spellEnd"/>
    </w:p>
    <w:p w14:paraId="2057F426" w14:textId="77777777" w:rsidR="004D5110" w:rsidRDefault="004D5110" w:rsidP="004D5110">
      <w:pPr>
        <w:numPr>
          <w:ilvl w:val="0"/>
          <w:numId w:val="2"/>
        </w:numPr>
        <w:spacing w:before="100" w:beforeAutospacing="1" w:afterAutospacing="1"/>
        <w:ind w:left="480" w:firstLine="0"/>
        <w:rPr>
          <w:rFonts w:ascii="Verdana" w:hAnsi="Verdana"/>
          <w:color w:val="222222"/>
          <w:sz w:val="20"/>
          <w:szCs w:val="20"/>
        </w:rPr>
      </w:pPr>
      <w:hyperlink r:id="rId55" w:history="1">
        <w:r>
          <w:rPr>
            <w:rStyle w:val="Hyperlink"/>
            <w:rFonts w:ascii="Verdana" w:hAnsi="Verdana"/>
            <w:color w:val="00709B"/>
            <w:sz w:val="20"/>
            <w:szCs w:val="20"/>
          </w:rPr>
          <w:t>natural killer cell activation</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693E0A2D" w14:textId="77777777" w:rsidR="004D5110" w:rsidRDefault="004D5110" w:rsidP="004D5110">
      <w:pPr>
        <w:numPr>
          <w:ilvl w:val="0"/>
          <w:numId w:val="2"/>
        </w:numPr>
        <w:spacing w:before="100" w:beforeAutospacing="1" w:afterAutospacing="1"/>
        <w:ind w:left="480" w:firstLine="0"/>
        <w:rPr>
          <w:rFonts w:ascii="Verdana" w:hAnsi="Verdana"/>
          <w:color w:val="222222"/>
          <w:sz w:val="20"/>
          <w:szCs w:val="20"/>
        </w:rPr>
      </w:pPr>
      <w:hyperlink r:id="rId56" w:history="1">
        <w:r>
          <w:rPr>
            <w:rStyle w:val="Hyperlink"/>
            <w:rFonts w:ascii="Verdana" w:hAnsi="Verdana"/>
            <w:color w:val="00709B"/>
            <w:sz w:val="20"/>
            <w:szCs w:val="20"/>
          </w:rPr>
          <w:t>natural killer cell activation involved in immune response</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Ensembl</w:t>
      </w:r>
      <w:proofErr w:type="spellEnd"/>
    </w:p>
    <w:p w14:paraId="0C195F48" w14:textId="77777777" w:rsidR="004D5110" w:rsidRDefault="004D5110" w:rsidP="004D5110">
      <w:pPr>
        <w:numPr>
          <w:ilvl w:val="0"/>
          <w:numId w:val="2"/>
        </w:numPr>
        <w:spacing w:before="100" w:beforeAutospacing="1" w:afterAutospacing="1"/>
        <w:ind w:left="480" w:firstLine="0"/>
        <w:rPr>
          <w:rFonts w:ascii="Verdana" w:hAnsi="Verdana"/>
          <w:color w:val="222222"/>
          <w:sz w:val="20"/>
          <w:szCs w:val="20"/>
        </w:rPr>
      </w:pPr>
      <w:hyperlink r:id="rId57" w:history="1">
        <w:r>
          <w:rPr>
            <w:rStyle w:val="Hyperlink"/>
            <w:rFonts w:ascii="Verdana" w:hAnsi="Verdana"/>
            <w:color w:val="00709B"/>
            <w:sz w:val="20"/>
            <w:szCs w:val="20"/>
          </w:rPr>
          <w:t>negative regulation of growth of symbiont in host</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Ensembl</w:t>
      </w:r>
      <w:proofErr w:type="spellEnd"/>
    </w:p>
    <w:p w14:paraId="4468F518" w14:textId="77777777" w:rsidR="004D5110" w:rsidRDefault="004D5110" w:rsidP="004D5110">
      <w:pPr>
        <w:numPr>
          <w:ilvl w:val="0"/>
          <w:numId w:val="2"/>
        </w:numPr>
        <w:spacing w:before="100" w:beforeAutospacing="1" w:afterAutospacing="1"/>
        <w:ind w:left="480" w:firstLine="0"/>
        <w:rPr>
          <w:rFonts w:ascii="Verdana" w:hAnsi="Verdana"/>
          <w:color w:val="222222"/>
          <w:sz w:val="20"/>
          <w:szCs w:val="20"/>
        </w:rPr>
      </w:pPr>
      <w:hyperlink r:id="rId58" w:history="1">
        <w:r>
          <w:rPr>
            <w:rStyle w:val="Hyperlink"/>
            <w:rFonts w:ascii="Verdana" w:hAnsi="Verdana"/>
            <w:color w:val="00709B"/>
            <w:sz w:val="20"/>
            <w:szCs w:val="20"/>
          </w:rPr>
          <w:t>negative regulation of inflammatory response to antigenic stimulus</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Ensembl</w:t>
      </w:r>
      <w:proofErr w:type="spellEnd"/>
    </w:p>
    <w:p w14:paraId="098F6C71" w14:textId="77777777" w:rsidR="004D5110" w:rsidRDefault="004D5110" w:rsidP="004D5110">
      <w:pPr>
        <w:numPr>
          <w:ilvl w:val="0"/>
          <w:numId w:val="2"/>
        </w:numPr>
        <w:spacing w:before="100" w:beforeAutospacing="1" w:afterAutospacing="1"/>
        <w:ind w:left="480" w:firstLine="0"/>
        <w:rPr>
          <w:rFonts w:ascii="Verdana" w:hAnsi="Verdana"/>
          <w:color w:val="222222"/>
          <w:sz w:val="20"/>
          <w:szCs w:val="20"/>
        </w:rPr>
      </w:pPr>
      <w:hyperlink r:id="rId59" w:history="1">
        <w:r>
          <w:rPr>
            <w:rStyle w:val="Hyperlink"/>
            <w:rFonts w:ascii="Verdana" w:hAnsi="Verdana"/>
            <w:color w:val="00709B"/>
            <w:sz w:val="20"/>
            <w:szCs w:val="20"/>
          </w:rPr>
          <w:t>negative regulation of interleukin-10 production</w:t>
        </w:r>
      </w:hyperlink>
      <w:r>
        <w:rPr>
          <w:rStyle w:val="attributionheader"/>
          <w:rFonts w:ascii="Verdana" w:hAnsi="Verdana"/>
          <w:color w:val="222222"/>
          <w:sz w:val="18"/>
          <w:szCs w:val="18"/>
          <w:bdr w:val="none" w:sz="0" w:space="0" w:color="auto" w:frame="1"/>
          <w:shd w:val="clear" w:color="auto" w:fill="FBEFB6"/>
        </w:rPr>
        <w:t> Source: BHF-UCL</w:t>
      </w:r>
    </w:p>
    <w:p w14:paraId="5E3FF2E8" w14:textId="77777777" w:rsidR="004D5110" w:rsidRDefault="004D5110" w:rsidP="004D5110">
      <w:pPr>
        <w:numPr>
          <w:ilvl w:val="0"/>
          <w:numId w:val="2"/>
        </w:numPr>
        <w:spacing w:before="100" w:beforeAutospacing="1" w:afterAutospacing="1"/>
        <w:ind w:left="480" w:firstLine="0"/>
        <w:rPr>
          <w:rFonts w:ascii="Verdana" w:hAnsi="Verdana"/>
          <w:color w:val="222222"/>
          <w:sz w:val="20"/>
          <w:szCs w:val="20"/>
        </w:rPr>
      </w:pPr>
      <w:hyperlink r:id="rId60" w:history="1">
        <w:r>
          <w:rPr>
            <w:rStyle w:val="Hyperlink"/>
            <w:rFonts w:ascii="Verdana" w:hAnsi="Verdana"/>
            <w:color w:val="00709B"/>
            <w:sz w:val="20"/>
            <w:szCs w:val="20"/>
          </w:rPr>
          <w:t>negative regulation of interleukin-17 production</w:t>
        </w:r>
      </w:hyperlink>
      <w:r>
        <w:rPr>
          <w:rStyle w:val="attributionheader"/>
          <w:rFonts w:ascii="Verdana" w:hAnsi="Verdana"/>
          <w:color w:val="222222"/>
          <w:sz w:val="18"/>
          <w:szCs w:val="18"/>
          <w:bdr w:val="none" w:sz="0" w:space="0" w:color="auto" w:frame="1"/>
          <w:shd w:val="clear" w:color="auto" w:fill="FBEFB6"/>
        </w:rPr>
        <w:t> Source: BHF-UCL</w:t>
      </w:r>
    </w:p>
    <w:p w14:paraId="56568F8A" w14:textId="77777777" w:rsidR="004D5110" w:rsidRDefault="004D5110" w:rsidP="004D5110">
      <w:pPr>
        <w:numPr>
          <w:ilvl w:val="0"/>
          <w:numId w:val="2"/>
        </w:numPr>
        <w:spacing w:before="100" w:beforeAutospacing="1" w:afterAutospacing="1"/>
        <w:ind w:left="480" w:firstLine="0"/>
        <w:rPr>
          <w:rFonts w:ascii="Verdana" w:hAnsi="Verdana"/>
          <w:color w:val="222222"/>
          <w:sz w:val="20"/>
          <w:szCs w:val="20"/>
        </w:rPr>
      </w:pPr>
      <w:hyperlink r:id="rId61" w:history="1">
        <w:r>
          <w:rPr>
            <w:rStyle w:val="Hyperlink"/>
            <w:rFonts w:ascii="Verdana" w:hAnsi="Verdana"/>
            <w:color w:val="00709B"/>
            <w:sz w:val="20"/>
            <w:szCs w:val="20"/>
          </w:rPr>
          <w:t>negative regulation of smooth muscle cell proliferation</w:t>
        </w:r>
      </w:hyperlink>
      <w:r>
        <w:rPr>
          <w:rStyle w:val="attributionheader"/>
          <w:rFonts w:ascii="Verdana" w:hAnsi="Verdana"/>
          <w:color w:val="222222"/>
          <w:sz w:val="18"/>
          <w:szCs w:val="18"/>
          <w:bdr w:val="none" w:sz="0" w:space="0" w:color="auto" w:frame="1"/>
          <w:shd w:val="clear" w:color="auto" w:fill="FBEFB6"/>
        </w:rPr>
        <w:t> Source: BHF-UCL</w:t>
      </w:r>
    </w:p>
    <w:p w14:paraId="51CD7221" w14:textId="77777777" w:rsidR="004D5110" w:rsidRDefault="004D5110" w:rsidP="004D5110">
      <w:pPr>
        <w:numPr>
          <w:ilvl w:val="0"/>
          <w:numId w:val="2"/>
        </w:numPr>
        <w:spacing w:before="100" w:beforeAutospacing="1" w:afterAutospacing="1"/>
        <w:ind w:left="480" w:firstLine="0"/>
        <w:rPr>
          <w:rFonts w:ascii="Verdana" w:hAnsi="Verdana"/>
          <w:color w:val="222222"/>
          <w:sz w:val="20"/>
          <w:szCs w:val="20"/>
        </w:rPr>
      </w:pPr>
      <w:hyperlink r:id="rId62" w:history="1">
        <w:r>
          <w:rPr>
            <w:rStyle w:val="Hyperlink"/>
            <w:rFonts w:ascii="Verdana" w:hAnsi="Verdana"/>
            <w:color w:val="00709B"/>
            <w:sz w:val="20"/>
            <w:szCs w:val="20"/>
          </w:rPr>
          <w:t>positive regulation of activated T cell proliferation</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51A04363" w14:textId="77777777" w:rsidR="004D5110" w:rsidRDefault="004D5110" w:rsidP="004D5110">
      <w:pPr>
        <w:numPr>
          <w:ilvl w:val="0"/>
          <w:numId w:val="2"/>
        </w:numPr>
        <w:spacing w:before="100" w:beforeAutospacing="1" w:afterAutospacing="1"/>
        <w:ind w:left="480" w:firstLine="0"/>
        <w:rPr>
          <w:rFonts w:ascii="Verdana" w:hAnsi="Verdana"/>
          <w:color w:val="222222"/>
          <w:sz w:val="20"/>
          <w:szCs w:val="20"/>
        </w:rPr>
      </w:pPr>
      <w:hyperlink r:id="rId63" w:history="1">
        <w:r>
          <w:rPr>
            <w:rStyle w:val="Hyperlink"/>
            <w:rFonts w:ascii="Verdana" w:hAnsi="Verdana"/>
            <w:color w:val="00709B"/>
            <w:sz w:val="20"/>
            <w:szCs w:val="20"/>
          </w:rPr>
          <w:t>positive regulation of activation of Janus kinase activity</w:t>
        </w:r>
      </w:hyperlink>
      <w:r>
        <w:rPr>
          <w:rStyle w:val="attributionheader"/>
          <w:rFonts w:ascii="Verdana" w:hAnsi="Verdana"/>
          <w:color w:val="222222"/>
          <w:sz w:val="18"/>
          <w:szCs w:val="18"/>
          <w:bdr w:val="none" w:sz="0" w:space="0" w:color="auto" w:frame="1"/>
          <w:shd w:val="clear" w:color="auto" w:fill="FBEFB6"/>
        </w:rPr>
        <w:t> Source: BHF-UCL</w:t>
      </w:r>
    </w:p>
    <w:p w14:paraId="0C462048" w14:textId="77777777" w:rsidR="004D5110" w:rsidRDefault="004D5110" w:rsidP="004D5110">
      <w:pPr>
        <w:numPr>
          <w:ilvl w:val="0"/>
          <w:numId w:val="2"/>
        </w:numPr>
        <w:spacing w:before="100" w:beforeAutospacing="1" w:afterAutospacing="1"/>
        <w:ind w:left="480" w:firstLine="0"/>
        <w:rPr>
          <w:rFonts w:ascii="Verdana" w:hAnsi="Verdana"/>
          <w:color w:val="222222"/>
          <w:sz w:val="20"/>
          <w:szCs w:val="20"/>
        </w:rPr>
      </w:pPr>
      <w:hyperlink r:id="rId64" w:history="1">
        <w:r>
          <w:rPr>
            <w:rStyle w:val="Hyperlink"/>
            <w:rFonts w:ascii="Verdana" w:hAnsi="Verdana"/>
            <w:color w:val="00709B"/>
            <w:sz w:val="20"/>
            <w:szCs w:val="20"/>
          </w:rPr>
          <w:t>positive regulation of cell adhesion</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79513289" w14:textId="77777777" w:rsidR="004D5110" w:rsidRDefault="004D5110" w:rsidP="004D5110">
      <w:pPr>
        <w:numPr>
          <w:ilvl w:val="0"/>
          <w:numId w:val="2"/>
        </w:numPr>
        <w:spacing w:before="100" w:beforeAutospacing="1" w:afterAutospacing="1"/>
        <w:ind w:left="480" w:firstLine="0"/>
        <w:rPr>
          <w:rFonts w:ascii="Verdana" w:hAnsi="Verdana"/>
          <w:color w:val="222222"/>
          <w:sz w:val="20"/>
          <w:szCs w:val="20"/>
        </w:rPr>
      </w:pPr>
      <w:hyperlink r:id="rId65" w:history="1">
        <w:r>
          <w:rPr>
            <w:rStyle w:val="Hyperlink"/>
            <w:rFonts w:ascii="Verdana" w:hAnsi="Verdana"/>
            <w:color w:val="00709B"/>
            <w:sz w:val="20"/>
            <w:szCs w:val="20"/>
          </w:rPr>
          <w:t>positive regulation of defense response to virus by host</w:t>
        </w:r>
      </w:hyperlink>
      <w:r>
        <w:rPr>
          <w:rStyle w:val="attributionheader"/>
          <w:rFonts w:ascii="Verdana" w:hAnsi="Verdana"/>
          <w:color w:val="222222"/>
          <w:sz w:val="18"/>
          <w:szCs w:val="18"/>
          <w:bdr w:val="none" w:sz="0" w:space="0" w:color="auto" w:frame="1"/>
          <w:shd w:val="clear" w:color="auto" w:fill="FBEFB6"/>
        </w:rPr>
        <w:t> Source: BHF-UCL</w:t>
      </w:r>
    </w:p>
    <w:p w14:paraId="3B0C9D71" w14:textId="77777777" w:rsidR="004D5110" w:rsidRDefault="004D5110" w:rsidP="004D5110">
      <w:pPr>
        <w:numPr>
          <w:ilvl w:val="0"/>
          <w:numId w:val="2"/>
        </w:numPr>
        <w:spacing w:before="100" w:beforeAutospacing="1" w:afterAutospacing="1"/>
        <w:ind w:left="480" w:firstLine="0"/>
        <w:rPr>
          <w:rFonts w:ascii="Verdana" w:hAnsi="Verdana"/>
          <w:color w:val="222222"/>
          <w:sz w:val="20"/>
          <w:szCs w:val="20"/>
        </w:rPr>
      </w:pPr>
      <w:hyperlink r:id="rId66" w:history="1">
        <w:r>
          <w:rPr>
            <w:rStyle w:val="Hyperlink"/>
            <w:rFonts w:ascii="Verdana" w:hAnsi="Verdana"/>
            <w:color w:val="00709B"/>
            <w:sz w:val="20"/>
            <w:szCs w:val="20"/>
          </w:rPr>
          <w:t>positive regulation of granulocyte macrophage colony-stimulating factor production</w:t>
        </w:r>
      </w:hyperlink>
      <w:r>
        <w:rPr>
          <w:rStyle w:val="attributionheader"/>
          <w:rFonts w:ascii="Verdana" w:hAnsi="Verdana"/>
          <w:color w:val="222222"/>
          <w:sz w:val="18"/>
          <w:szCs w:val="18"/>
          <w:bdr w:val="none" w:sz="0" w:space="0" w:color="auto" w:frame="1"/>
          <w:shd w:val="clear" w:color="auto" w:fill="FBEFB6"/>
        </w:rPr>
        <w:t> Source: BHF-UCL</w:t>
      </w:r>
    </w:p>
    <w:p w14:paraId="6E00D2A3" w14:textId="77777777" w:rsidR="004D5110" w:rsidRDefault="004D5110" w:rsidP="004D5110">
      <w:pPr>
        <w:numPr>
          <w:ilvl w:val="0"/>
          <w:numId w:val="2"/>
        </w:numPr>
        <w:spacing w:before="100" w:beforeAutospacing="1" w:afterAutospacing="1"/>
        <w:ind w:left="480" w:firstLine="0"/>
        <w:rPr>
          <w:rFonts w:ascii="Verdana" w:hAnsi="Verdana"/>
          <w:color w:val="222222"/>
          <w:sz w:val="20"/>
          <w:szCs w:val="20"/>
        </w:rPr>
      </w:pPr>
      <w:hyperlink r:id="rId67" w:history="1">
        <w:r>
          <w:rPr>
            <w:rStyle w:val="Hyperlink"/>
            <w:rFonts w:ascii="Verdana" w:hAnsi="Verdana"/>
            <w:color w:val="00709B"/>
            <w:sz w:val="20"/>
            <w:szCs w:val="20"/>
          </w:rPr>
          <w:t>positive regulation of inflammatory response</w:t>
        </w:r>
      </w:hyperlink>
      <w:r>
        <w:rPr>
          <w:rStyle w:val="attributionheader"/>
          <w:rFonts w:ascii="Verdana" w:hAnsi="Verdana"/>
          <w:color w:val="222222"/>
          <w:sz w:val="18"/>
          <w:szCs w:val="18"/>
          <w:bdr w:val="none" w:sz="0" w:space="0" w:color="auto" w:frame="1"/>
          <w:shd w:val="clear" w:color="auto" w:fill="FBEFB6"/>
        </w:rPr>
        <w:t> Source: BHF-UCL</w:t>
      </w:r>
    </w:p>
    <w:p w14:paraId="309DA835" w14:textId="77777777" w:rsidR="004D5110" w:rsidRDefault="004D5110" w:rsidP="004D5110">
      <w:pPr>
        <w:numPr>
          <w:ilvl w:val="0"/>
          <w:numId w:val="2"/>
        </w:numPr>
        <w:spacing w:before="100" w:beforeAutospacing="1" w:afterAutospacing="1"/>
        <w:ind w:left="480" w:firstLine="0"/>
        <w:rPr>
          <w:rFonts w:ascii="Verdana" w:hAnsi="Verdana"/>
          <w:color w:val="222222"/>
          <w:sz w:val="20"/>
          <w:szCs w:val="20"/>
        </w:rPr>
      </w:pPr>
      <w:hyperlink r:id="rId68" w:history="1">
        <w:r>
          <w:rPr>
            <w:rStyle w:val="Hyperlink"/>
            <w:rFonts w:ascii="Verdana" w:hAnsi="Verdana"/>
            <w:color w:val="00709B"/>
            <w:sz w:val="20"/>
            <w:szCs w:val="20"/>
          </w:rPr>
          <w:t>positive regulation of interferon-gamma biosynthetic process</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2B4ACFCC" w14:textId="77777777" w:rsidR="004D5110" w:rsidRDefault="004D5110" w:rsidP="004D5110">
      <w:pPr>
        <w:numPr>
          <w:ilvl w:val="0"/>
          <w:numId w:val="2"/>
        </w:numPr>
        <w:spacing w:before="100" w:beforeAutospacing="1" w:afterAutospacing="1"/>
        <w:ind w:left="480" w:firstLine="0"/>
        <w:rPr>
          <w:rFonts w:ascii="Verdana" w:hAnsi="Verdana"/>
          <w:color w:val="222222"/>
          <w:sz w:val="20"/>
          <w:szCs w:val="20"/>
        </w:rPr>
      </w:pPr>
      <w:hyperlink r:id="rId69" w:history="1">
        <w:r>
          <w:rPr>
            <w:rStyle w:val="Hyperlink"/>
            <w:rFonts w:ascii="Verdana" w:hAnsi="Verdana"/>
            <w:color w:val="00709B"/>
            <w:sz w:val="20"/>
            <w:szCs w:val="20"/>
          </w:rPr>
          <w:t>positive regulation of interferon-gamma production</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70129714" w14:textId="77777777" w:rsidR="004D5110" w:rsidRDefault="004D5110" w:rsidP="004D5110">
      <w:pPr>
        <w:numPr>
          <w:ilvl w:val="0"/>
          <w:numId w:val="2"/>
        </w:numPr>
        <w:spacing w:before="100" w:beforeAutospacing="1" w:afterAutospacing="1"/>
        <w:ind w:left="480" w:firstLine="0"/>
        <w:rPr>
          <w:rFonts w:ascii="Verdana" w:hAnsi="Verdana"/>
          <w:color w:val="222222"/>
          <w:sz w:val="20"/>
          <w:szCs w:val="20"/>
        </w:rPr>
      </w:pPr>
      <w:hyperlink r:id="rId70" w:history="1">
        <w:r>
          <w:rPr>
            <w:rStyle w:val="Hyperlink"/>
            <w:rFonts w:ascii="Verdana" w:hAnsi="Verdana"/>
            <w:color w:val="00709B"/>
            <w:sz w:val="20"/>
            <w:szCs w:val="20"/>
          </w:rPr>
          <w:t>positive regulation of interleukin-10 production</w:t>
        </w:r>
      </w:hyperlink>
      <w:r>
        <w:rPr>
          <w:rStyle w:val="attributionheader"/>
          <w:rFonts w:ascii="Verdana" w:hAnsi="Verdana"/>
          <w:color w:val="222222"/>
          <w:sz w:val="18"/>
          <w:szCs w:val="18"/>
          <w:bdr w:val="none" w:sz="0" w:space="0" w:color="auto" w:frame="1"/>
          <w:shd w:val="clear" w:color="auto" w:fill="FBEFB6"/>
        </w:rPr>
        <w:t> Source: BHF-UCL</w:t>
      </w:r>
    </w:p>
    <w:p w14:paraId="143ACF88" w14:textId="77777777" w:rsidR="004D5110" w:rsidRDefault="004D5110" w:rsidP="004D5110">
      <w:pPr>
        <w:numPr>
          <w:ilvl w:val="0"/>
          <w:numId w:val="2"/>
        </w:numPr>
        <w:spacing w:before="100" w:beforeAutospacing="1" w:afterAutospacing="1"/>
        <w:ind w:left="480" w:firstLine="0"/>
        <w:rPr>
          <w:rFonts w:ascii="Verdana" w:hAnsi="Verdana"/>
          <w:color w:val="222222"/>
          <w:sz w:val="20"/>
          <w:szCs w:val="20"/>
        </w:rPr>
      </w:pPr>
      <w:hyperlink r:id="rId71" w:history="1">
        <w:r>
          <w:rPr>
            <w:rStyle w:val="Hyperlink"/>
            <w:rFonts w:ascii="Verdana" w:hAnsi="Verdana"/>
            <w:color w:val="00709B"/>
            <w:sz w:val="20"/>
            <w:szCs w:val="20"/>
          </w:rPr>
          <w:t>positive regulation of interleukin-12 production</w:t>
        </w:r>
      </w:hyperlink>
      <w:r>
        <w:rPr>
          <w:rStyle w:val="attributionheader"/>
          <w:rFonts w:ascii="Verdana" w:hAnsi="Verdana"/>
          <w:color w:val="222222"/>
          <w:sz w:val="18"/>
          <w:szCs w:val="18"/>
          <w:bdr w:val="none" w:sz="0" w:space="0" w:color="auto" w:frame="1"/>
          <w:shd w:val="clear" w:color="auto" w:fill="FBEFB6"/>
        </w:rPr>
        <w:t> Source: BHF-UCL</w:t>
      </w:r>
    </w:p>
    <w:p w14:paraId="2F385239" w14:textId="77777777" w:rsidR="004D5110" w:rsidRDefault="004D5110" w:rsidP="004D5110">
      <w:pPr>
        <w:numPr>
          <w:ilvl w:val="0"/>
          <w:numId w:val="2"/>
        </w:numPr>
        <w:spacing w:before="100" w:beforeAutospacing="1" w:afterAutospacing="1"/>
        <w:ind w:left="480" w:firstLine="0"/>
        <w:rPr>
          <w:rFonts w:ascii="Verdana" w:hAnsi="Verdana"/>
          <w:color w:val="222222"/>
          <w:sz w:val="20"/>
          <w:szCs w:val="20"/>
        </w:rPr>
      </w:pPr>
      <w:hyperlink r:id="rId72" w:history="1">
        <w:r>
          <w:rPr>
            <w:rStyle w:val="Hyperlink"/>
            <w:rFonts w:ascii="Verdana" w:hAnsi="Verdana"/>
            <w:color w:val="00709B"/>
            <w:sz w:val="20"/>
            <w:szCs w:val="20"/>
          </w:rPr>
          <w:t>positive regulation of interleukin-17 production</w:t>
        </w:r>
      </w:hyperlink>
      <w:r>
        <w:rPr>
          <w:rStyle w:val="attributionheader"/>
          <w:rFonts w:ascii="Verdana" w:hAnsi="Verdana"/>
          <w:color w:val="222222"/>
          <w:sz w:val="18"/>
          <w:szCs w:val="18"/>
          <w:bdr w:val="none" w:sz="0" w:space="0" w:color="auto" w:frame="1"/>
          <w:shd w:val="clear" w:color="auto" w:fill="FBEFB6"/>
        </w:rPr>
        <w:t> Source: BHF-UCL</w:t>
      </w:r>
    </w:p>
    <w:p w14:paraId="1EB728EE" w14:textId="77777777" w:rsidR="004D5110" w:rsidRDefault="004D5110" w:rsidP="004D5110">
      <w:pPr>
        <w:numPr>
          <w:ilvl w:val="0"/>
          <w:numId w:val="2"/>
        </w:numPr>
        <w:spacing w:before="100" w:beforeAutospacing="1" w:afterAutospacing="1"/>
        <w:ind w:left="480" w:firstLine="0"/>
        <w:rPr>
          <w:rFonts w:ascii="Verdana" w:hAnsi="Verdana"/>
          <w:color w:val="222222"/>
          <w:sz w:val="20"/>
          <w:szCs w:val="20"/>
        </w:rPr>
      </w:pPr>
      <w:hyperlink r:id="rId73" w:history="1">
        <w:r>
          <w:rPr>
            <w:rStyle w:val="Hyperlink"/>
            <w:rFonts w:ascii="Verdana" w:hAnsi="Verdana"/>
            <w:color w:val="00709B"/>
            <w:sz w:val="20"/>
            <w:szCs w:val="20"/>
          </w:rPr>
          <w:t>positive regulation of lymphocyte proliferation</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73A9EC3A" w14:textId="77777777" w:rsidR="004D5110" w:rsidRDefault="004D5110" w:rsidP="004D5110">
      <w:pPr>
        <w:numPr>
          <w:ilvl w:val="0"/>
          <w:numId w:val="2"/>
        </w:numPr>
        <w:spacing w:before="100" w:beforeAutospacing="1" w:afterAutospacing="1"/>
        <w:ind w:left="480" w:firstLine="0"/>
        <w:rPr>
          <w:rFonts w:ascii="Verdana" w:hAnsi="Verdana"/>
          <w:color w:val="222222"/>
          <w:sz w:val="20"/>
          <w:szCs w:val="20"/>
        </w:rPr>
      </w:pPr>
      <w:hyperlink r:id="rId74" w:history="1">
        <w:r>
          <w:rPr>
            <w:rStyle w:val="Hyperlink"/>
            <w:rFonts w:ascii="Verdana" w:hAnsi="Verdana"/>
            <w:color w:val="00709B"/>
            <w:sz w:val="20"/>
            <w:szCs w:val="20"/>
          </w:rPr>
          <w:t>positive regulation of memory T cell differentiation</w:t>
        </w:r>
      </w:hyperlink>
      <w:r>
        <w:rPr>
          <w:rStyle w:val="attributionheader"/>
          <w:rFonts w:ascii="Verdana" w:hAnsi="Verdana"/>
          <w:color w:val="222222"/>
          <w:sz w:val="18"/>
          <w:szCs w:val="18"/>
          <w:bdr w:val="none" w:sz="0" w:space="0" w:color="auto" w:frame="1"/>
          <w:shd w:val="clear" w:color="auto" w:fill="FBEFB6"/>
        </w:rPr>
        <w:t> Source: BHF-UCL</w:t>
      </w:r>
    </w:p>
    <w:p w14:paraId="58D86EFF" w14:textId="77777777" w:rsidR="004D5110" w:rsidRDefault="004D5110" w:rsidP="004D5110">
      <w:pPr>
        <w:numPr>
          <w:ilvl w:val="0"/>
          <w:numId w:val="2"/>
        </w:numPr>
        <w:spacing w:before="100" w:beforeAutospacing="1" w:afterAutospacing="1"/>
        <w:ind w:left="480" w:firstLine="0"/>
        <w:rPr>
          <w:rFonts w:ascii="Verdana" w:hAnsi="Verdana"/>
          <w:color w:val="222222"/>
          <w:sz w:val="20"/>
          <w:szCs w:val="20"/>
        </w:rPr>
      </w:pPr>
      <w:hyperlink r:id="rId75" w:history="1">
        <w:r>
          <w:rPr>
            <w:rStyle w:val="Hyperlink"/>
            <w:rFonts w:ascii="Verdana" w:hAnsi="Verdana"/>
            <w:color w:val="00709B"/>
            <w:sz w:val="20"/>
            <w:szCs w:val="20"/>
          </w:rPr>
          <w:t>positive regulation of mononuclear cell proliferation</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AgBase</w:t>
      </w:r>
      <w:proofErr w:type="spellEnd"/>
    </w:p>
    <w:p w14:paraId="02270548" w14:textId="77777777" w:rsidR="004D5110" w:rsidRDefault="004D5110" w:rsidP="004D5110">
      <w:pPr>
        <w:numPr>
          <w:ilvl w:val="0"/>
          <w:numId w:val="2"/>
        </w:numPr>
        <w:spacing w:before="100" w:beforeAutospacing="1" w:afterAutospacing="1"/>
        <w:ind w:left="480" w:firstLine="0"/>
        <w:rPr>
          <w:rFonts w:ascii="Verdana" w:hAnsi="Verdana"/>
          <w:color w:val="222222"/>
          <w:sz w:val="20"/>
          <w:szCs w:val="20"/>
        </w:rPr>
      </w:pPr>
      <w:hyperlink r:id="rId76" w:history="1">
        <w:r>
          <w:rPr>
            <w:rStyle w:val="Hyperlink"/>
            <w:rFonts w:ascii="Verdana" w:hAnsi="Verdana"/>
            <w:color w:val="00709B"/>
            <w:sz w:val="20"/>
            <w:szCs w:val="20"/>
          </w:rPr>
          <w:t>positive regulation of natural killer cell activation</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2E024A10" w14:textId="77777777" w:rsidR="004D5110" w:rsidRDefault="004D5110" w:rsidP="004D5110">
      <w:pPr>
        <w:numPr>
          <w:ilvl w:val="0"/>
          <w:numId w:val="2"/>
        </w:numPr>
        <w:spacing w:before="100" w:beforeAutospacing="1" w:afterAutospacing="1"/>
        <w:ind w:left="480" w:firstLine="0"/>
        <w:rPr>
          <w:rFonts w:ascii="Verdana" w:hAnsi="Verdana"/>
          <w:color w:val="222222"/>
          <w:sz w:val="20"/>
          <w:szCs w:val="20"/>
        </w:rPr>
      </w:pPr>
      <w:hyperlink r:id="rId77" w:history="1">
        <w:r>
          <w:rPr>
            <w:rStyle w:val="Hyperlink"/>
            <w:rFonts w:ascii="Verdana" w:hAnsi="Verdana"/>
            <w:color w:val="00709B"/>
            <w:sz w:val="20"/>
            <w:szCs w:val="20"/>
          </w:rPr>
          <w:t>positive regulation of natural killer cell mediated cytotoxicity directed against tumor cell target</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28E0166B" w14:textId="77777777" w:rsidR="004D5110" w:rsidRDefault="004D5110" w:rsidP="004D5110">
      <w:pPr>
        <w:numPr>
          <w:ilvl w:val="0"/>
          <w:numId w:val="2"/>
        </w:numPr>
        <w:spacing w:before="100" w:beforeAutospacing="1" w:afterAutospacing="1"/>
        <w:ind w:left="480" w:firstLine="0"/>
        <w:rPr>
          <w:rFonts w:ascii="Verdana" w:hAnsi="Verdana"/>
          <w:color w:val="222222"/>
          <w:sz w:val="20"/>
          <w:szCs w:val="20"/>
        </w:rPr>
      </w:pPr>
      <w:hyperlink r:id="rId78" w:history="1">
        <w:r>
          <w:rPr>
            <w:rStyle w:val="Hyperlink"/>
            <w:rFonts w:ascii="Verdana" w:hAnsi="Verdana"/>
            <w:color w:val="00709B"/>
            <w:sz w:val="20"/>
            <w:szCs w:val="20"/>
          </w:rPr>
          <w:t>positive regulation of natural killer cell proliferation</w:t>
        </w:r>
      </w:hyperlink>
      <w:r>
        <w:rPr>
          <w:rStyle w:val="attributionheader"/>
          <w:rFonts w:ascii="Verdana" w:hAnsi="Verdana"/>
          <w:color w:val="222222"/>
          <w:sz w:val="18"/>
          <w:szCs w:val="18"/>
          <w:bdr w:val="none" w:sz="0" w:space="0" w:color="auto" w:frame="1"/>
          <w:shd w:val="clear" w:color="auto" w:fill="FBEFB6"/>
        </w:rPr>
        <w:t> Source: BHF-UCL</w:t>
      </w:r>
    </w:p>
    <w:p w14:paraId="37C8BFBE" w14:textId="77777777" w:rsidR="004D5110" w:rsidRDefault="004D5110" w:rsidP="004D5110">
      <w:pPr>
        <w:numPr>
          <w:ilvl w:val="0"/>
          <w:numId w:val="2"/>
        </w:numPr>
        <w:spacing w:before="100" w:beforeAutospacing="1" w:afterAutospacing="1"/>
        <w:ind w:left="480" w:firstLine="0"/>
        <w:rPr>
          <w:rFonts w:ascii="Verdana" w:hAnsi="Verdana"/>
          <w:color w:val="222222"/>
          <w:sz w:val="20"/>
          <w:szCs w:val="20"/>
        </w:rPr>
      </w:pPr>
      <w:hyperlink r:id="rId79" w:history="1">
        <w:r>
          <w:rPr>
            <w:rStyle w:val="Hyperlink"/>
            <w:rFonts w:ascii="Verdana" w:hAnsi="Verdana"/>
            <w:color w:val="00709B"/>
            <w:sz w:val="20"/>
            <w:szCs w:val="20"/>
          </w:rPr>
          <w:t>positive regulation of NF-</w:t>
        </w:r>
        <w:proofErr w:type="spellStart"/>
        <w:r>
          <w:rPr>
            <w:rStyle w:val="Hyperlink"/>
            <w:rFonts w:ascii="Verdana" w:hAnsi="Verdana"/>
            <w:color w:val="00709B"/>
            <w:sz w:val="20"/>
            <w:szCs w:val="20"/>
          </w:rPr>
          <w:t>kappaB</w:t>
        </w:r>
        <w:proofErr w:type="spellEnd"/>
        <w:r>
          <w:rPr>
            <w:rStyle w:val="Hyperlink"/>
            <w:rFonts w:ascii="Verdana" w:hAnsi="Verdana"/>
            <w:color w:val="00709B"/>
            <w:sz w:val="20"/>
            <w:szCs w:val="20"/>
          </w:rPr>
          <w:t xml:space="preserve"> import into nucleus</w:t>
        </w:r>
      </w:hyperlink>
      <w:r>
        <w:rPr>
          <w:rStyle w:val="attributionheader"/>
          <w:rFonts w:ascii="Verdana" w:hAnsi="Verdana"/>
          <w:color w:val="222222"/>
          <w:sz w:val="18"/>
          <w:szCs w:val="18"/>
          <w:bdr w:val="none" w:sz="0" w:space="0" w:color="auto" w:frame="1"/>
          <w:shd w:val="clear" w:color="auto" w:fill="FBEFB6"/>
        </w:rPr>
        <w:t> Source: BHF-UCL</w:t>
      </w:r>
    </w:p>
    <w:p w14:paraId="2B70B0B2" w14:textId="77777777" w:rsidR="004D5110" w:rsidRDefault="004D5110" w:rsidP="004D5110">
      <w:pPr>
        <w:numPr>
          <w:ilvl w:val="0"/>
          <w:numId w:val="2"/>
        </w:numPr>
        <w:spacing w:before="100" w:beforeAutospacing="1" w:afterAutospacing="1"/>
        <w:ind w:left="480" w:firstLine="0"/>
        <w:rPr>
          <w:rFonts w:ascii="Verdana" w:hAnsi="Verdana"/>
          <w:color w:val="222222"/>
          <w:sz w:val="20"/>
          <w:szCs w:val="20"/>
        </w:rPr>
      </w:pPr>
      <w:hyperlink r:id="rId80" w:history="1">
        <w:r>
          <w:rPr>
            <w:rStyle w:val="Hyperlink"/>
            <w:rFonts w:ascii="Verdana" w:hAnsi="Verdana"/>
            <w:color w:val="00709B"/>
            <w:sz w:val="20"/>
            <w:szCs w:val="20"/>
          </w:rPr>
          <w:t>positive regulation of NK T cell activation</w:t>
        </w:r>
      </w:hyperlink>
      <w:r>
        <w:rPr>
          <w:rStyle w:val="attributionheader"/>
          <w:rFonts w:ascii="Verdana" w:hAnsi="Verdana"/>
          <w:color w:val="222222"/>
          <w:sz w:val="18"/>
          <w:szCs w:val="18"/>
          <w:bdr w:val="none" w:sz="0" w:space="0" w:color="auto" w:frame="1"/>
          <w:shd w:val="clear" w:color="auto" w:fill="FBEFB6"/>
        </w:rPr>
        <w:t> Source: BHF-UCL</w:t>
      </w:r>
    </w:p>
    <w:p w14:paraId="1D3759E2" w14:textId="77777777" w:rsidR="004D5110" w:rsidRDefault="004D5110" w:rsidP="004D5110">
      <w:pPr>
        <w:numPr>
          <w:ilvl w:val="0"/>
          <w:numId w:val="2"/>
        </w:numPr>
        <w:spacing w:before="100" w:beforeAutospacing="1" w:afterAutospacing="1"/>
        <w:ind w:left="480" w:firstLine="0"/>
        <w:rPr>
          <w:rFonts w:ascii="Verdana" w:hAnsi="Verdana"/>
          <w:color w:val="222222"/>
          <w:sz w:val="20"/>
          <w:szCs w:val="20"/>
        </w:rPr>
      </w:pPr>
      <w:hyperlink r:id="rId81" w:history="1">
        <w:r>
          <w:rPr>
            <w:rStyle w:val="Hyperlink"/>
            <w:rFonts w:ascii="Verdana" w:hAnsi="Verdana"/>
            <w:color w:val="00709B"/>
            <w:sz w:val="20"/>
            <w:szCs w:val="20"/>
          </w:rPr>
          <w:t>positive regulation of NK T cell proliferation</w:t>
        </w:r>
      </w:hyperlink>
      <w:r>
        <w:rPr>
          <w:rStyle w:val="attributionheader"/>
          <w:rFonts w:ascii="Verdana" w:hAnsi="Verdana"/>
          <w:color w:val="222222"/>
          <w:sz w:val="18"/>
          <w:szCs w:val="18"/>
          <w:bdr w:val="none" w:sz="0" w:space="0" w:color="auto" w:frame="1"/>
          <w:shd w:val="clear" w:color="auto" w:fill="FBEFB6"/>
        </w:rPr>
        <w:t> Source: BHF-UCL</w:t>
      </w:r>
    </w:p>
    <w:p w14:paraId="6F7FF5EF" w14:textId="77777777" w:rsidR="004D5110" w:rsidRDefault="004D5110" w:rsidP="004D5110">
      <w:pPr>
        <w:numPr>
          <w:ilvl w:val="0"/>
          <w:numId w:val="2"/>
        </w:numPr>
        <w:spacing w:before="100" w:beforeAutospacing="1" w:afterAutospacing="1"/>
        <w:ind w:left="480" w:firstLine="0"/>
        <w:rPr>
          <w:rFonts w:ascii="Verdana" w:hAnsi="Verdana"/>
          <w:color w:val="222222"/>
          <w:sz w:val="20"/>
          <w:szCs w:val="20"/>
        </w:rPr>
      </w:pPr>
      <w:hyperlink r:id="rId82" w:history="1">
        <w:r>
          <w:rPr>
            <w:rStyle w:val="Hyperlink"/>
            <w:rFonts w:ascii="Verdana" w:hAnsi="Verdana"/>
            <w:color w:val="00709B"/>
            <w:sz w:val="20"/>
            <w:szCs w:val="20"/>
          </w:rPr>
          <w:t>positive regulation of osteoclast differentiation</w:t>
        </w:r>
      </w:hyperlink>
      <w:r>
        <w:rPr>
          <w:rStyle w:val="attributionheader"/>
          <w:rFonts w:ascii="Verdana" w:hAnsi="Verdana"/>
          <w:color w:val="222222"/>
          <w:sz w:val="18"/>
          <w:szCs w:val="18"/>
          <w:bdr w:val="none" w:sz="0" w:space="0" w:color="auto" w:frame="1"/>
          <w:shd w:val="clear" w:color="auto" w:fill="FBEFB6"/>
        </w:rPr>
        <w:t> Source: BHF-UCL</w:t>
      </w:r>
    </w:p>
    <w:p w14:paraId="1B0AD2EE" w14:textId="77777777" w:rsidR="004D5110" w:rsidRDefault="004D5110" w:rsidP="004D5110">
      <w:pPr>
        <w:numPr>
          <w:ilvl w:val="0"/>
          <w:numId w:val="2"/>
        </w:numPr>
        <w:spacing w:before="100" w:beforeAutospacing="1" w:afterAutospacing="1"/>
        <w:ind w:left="480" w:firstLine="0"/>
        <w:rPr>
          <w:rFonts w:ascii="Verdana" w:hAnsi="Verdana"/>
          <w:color w:val="222222"/>
          <w:sz w:val="20"/>
          <w:szCs w:val="20"/>
        </w:rPr>
      </w:pPr>
      <w:hyperlink r:id="rId83" w:history="1">
        <w:r>
          <w:rPr>
            <w:rStyle w:val="Hyperlink"/>
            <w:rFonts w:ascii="Verdana" w:hAnsi="Verdana"/>
            <w:color w:val="00709B"/>
            <w:sz w:val="20"/>
            <w:szCs w:val="20"/>
          </w:rPr>
          <w:t>positive regulation of smooth muscle cell apoptotic process</w:t>
        </w:r>
      </w:hyperlink>
      <w:r>
        <w:rPr>
          <w:rStyle w:val="attributionheader"/>
          <w:rFonts w:ascii="Verdana" w:hAnsi="Verdana"/>
          <w:color w:val="222222"/>
          <w:sz w:val="18"/>
          <w:szCs w:val="18"/>
          <w:bdr w:val="none" w:sz="0" w:space="0" w:color="auto" w:frame="1"/>
          <w:shd w:val="clear" w:color="auto" w:fill="FBEFB6"/>
        </w:rPr>
        <w:t> Source: BHF-UCL</w:t>
      </w:r>
    </w:p>
    <w:p w14:paraId="094AA6BE" w14:textId="77777777" w:rsidR="004D5110" w:rsidRDefault="004D5110" w:rsidP="004D5110">
      <w:pPr>
        <w:numPr>
          <w:ilvl w:val="0"/>
          <w:numId w:val="2"/>
        </w:numPr>
        <w:spacing w:before="100" w:beforeAutospacing="1" w:afterAutospacing="1"/>
        <w:ind w:left="480" w:firstLine="0"/>
        <w:rPr>
          <w:rFonts w:ascii="Verdana" w:hAnsi="Verdana"/>
          <w:color w:val="222222"/>
          <w:sz w:val="20"/>
          <w:szCs w:val="20"/>
        </w:rPr>
      </w:pPr>
      <w:hyperlink r:id="rId84" w:history="1">
        <w:r>
          <w:rPr>
            <w:rStyle w:val="Hyperlink"/>
            <w:rFonts w:ascii="Verdana" w:hAnsi="Verdana"/>
            <w:color w:val="00709B"/>
            <w:sz w:val="20"/>
            <w:szCs w:val="20"/>
          </w:rPr>
          <w:t>positive regulation of T cell mediated cytotoxicity</w:t>
        </w:r>
      </w:hyperlink>
      <w:r>
        <w:rPr>
          <w:rStyle w:val="attributionheader"/>
          <w:rFonts w:ascii="Verdana" w:hAnsi="Verdana"/>
          <w:color w:val="222222"/>
          <w:sz w:val="18"/>
          <w:szCs w:val="18"/>
          <w:bdr w:val="none" w:sz="0" w:space="0" w:color="auto" w:frame="1"/>
          <w:shd w:val="clear" w:color="auto" w:fill="FBEFB6"/>
        </w:rPr>
        <w:t> Source: BHF-UCL</w:t>
      </w:r>
    </w:p>
    <w:p w14:paraId="0FEB75EF" w14:textId="77777777" w:rsidR="004D5110" w:rsidRDefault="004D5110" w:rsidP="004D5110">
      <w:pPr>
        <w:numPr>
          <w:ilvl w:val="0"/>
          <w:numId w:val="2"/>
        </w:numPr>
        <w:spacing w:before="100" w:beforeAutospacing="1" w:afterAutospacing="1"/>
        <w:ind w:left="480" w:firstLine="0"/>
        <w:rPr>
          <w:rFonts w:ascii="Verdana" w:hAnsi="Verdana"/>
          <w:color w:val="222222"/>
          <w:sz w:val="20"/>
          <w:szCs w:val="20"/>
        </w:rPr>
      </w:pPr>
      <w:hyperlink r:id="rId85" w:history="1">
        <w:r>
          <w:rPr>
            <w:rStyle w:val="Hyperlink"/>
            <w:rFonts w:ascii="Verdana" w:hAnsi="Verdana"/>
            <w:color w:val="00709B"/>
            <w:sz w:val="20"/>
            <w:szCs w:val="20"/>
          </w:rPr>
          <w:t>positive regulation of T cell proliferation</w:t>
        </w:r>
      </w:hyperlink>
      <w:r>
        <w:rPr>
          <w:rStyle w:val="attributionheader"/>
          <w:rFonts w:ascii="Verdana" w:hAnsi="Verdana"/>
          <w:color w:val="222222"/>
          <w:sz w:val="18"/>
          <w:szCs w:val="18"/>
          <w:bdr w:val="none" w:sz="0" w:space="0" w:color="auto" w:frame="1"/>
          <w:shd w:val="clear" w:color="auto" w:fill="FBEFB6"/>
        </w:rPr>
        <w:t> Source: BHF-UCL</w:t>
      </w:r>
    </w:p>
    <w:p w14:paraId="5717FA0F" w14:textId="77777777" w:rsidR="004D5110" w:rsidRDefault="004D5110" w:rsidP="004D5110">
      <w:pPr>
        <w:numPr>
          <w:ilvl w:val="0"/>
          <w:numId w:val="2"/>
        </w:numPr>
        <w:spacing w:before="100" w:beforeAutospacing="1" w:afterAutospacing="1"/>
        <w:ind w:left="480" w:firstLine="0"/>
        <w:rPr>
          <w:rFonts w:ascii="Verdana" w:hAnsi="Verdana"/>
          <w:color w:val="222222"/>
          <w:sz w:val="20"/>
          <w:szCs w:val="20"/>
        </w:rPr>
      </w:pPr>
      <w:hyperlink r:id="rId86" w:history="1">
        <w:r>
          <w:rPr>
            <w:rStyle w:val="Hyperlink"/>
            <w:rFonts w:ascii="Verdana" w:hAnsi="Verdana"/>
            <w:color w:val="00709B"/>
            <w:sz w:val="20"/>
            <w:szCs w:val="20"/>
          </w:rPr>
          <w:t>positive regulation of T-helper 17 cell lineage commitment</w:t>
        </w:r>
      </w:hyperlink>
      <w:r>
        <w:rPr>
          <w:rStyle w:val="attributionheader"/>
          <w:rFonts w:ascii="Verdana" w:hAnsi="Verdana"/>
          <w:color w:val="222222"/>
          <w:sz w:val="18"/>
          <w:szCs w:val="18"/>
          <w:bdr w:val="none" w:sz="0" w:space="0" w:color="auto" w:frame="1"/>
          <w:shd w:val="clear" w:color="auto" w:fill="FBEFB6"/>
        </w:rPr>
        <w:t> Source: BHF-UCL</w:t>
      </w:r>
    </w:p>
    <w:p w14:paraId="4DE1000B" w14:textId="77777777" w:rsidR="004D5110" w:rsidRDefault="004D5110" w:rsidP="004D5110">
      <w:pPr>
        <w:numPr>
          <w:ilvl w:val="0"/>
          <w:numId w:val="2"/>
        </w:numPr>
        <w:spacing w:before="100" w:beforeAutospacing="1" w:afterAutospacing="1"/>
        <w:ind w:left="480" w:firstLine="0"/>
        <w:rPr>
          <w:rFonts w:ascii="Verdana" w:hAnsi="Verdana"/>
          <w:color w:val="222222"/>
          <w:sz w:val="20"/>
          <w:szCs w:val="20"/>
        </w:rPr>
      </w:pPr>
      <w:hyperlink r:id="rId87" w:history="1">
        <w:r>
          <w:rPr>
            <w:rStyle w:val="Hyperlink"/>
            <w:rFonts w:ascii="Verdana" w:hAnsi="Verdana"/>
            <w:color w:val="00709B"/>
            <w:sz w:val="20"/>
            <w:szCs w:val="20"/>
          </w:rPr>
          <w:t>positive regulation of T-helper 17 type immune response</w:t>
        </w:r>
      </w:hyperlink>
      <w:r>
        <w:rPr>
          <w:rStyle w:val="attributionheader"/>
          <w:rFonts w:ascii="Verdana" w:hAnsi="Verdana"/>
          <w:color w:val="222222"/>
          <w:sz w:val="18"/>
          <w:szCs w:val="18"/>
          <w:bdr w:val="none" w:sz="0" w:space="0" w:color="auto" w:frame="1"/>
          <w:shd w:val="clear" w:color="auto" w:fill="FBEFB6"/>
        </w:rPr>
        <w:t> Source: BHF-UCL</w:t>
      </w:r>
    </w:p>
    <w:p w14:paraId="4BCB83BB" w14:textId="77777777" w:rsidR="004D5110" w:rsidRDefault="004D5110" w:rsidP="004D5110">
      <w:pPr>
        <w:numPr>
          <w:ilvl w:val="0"/>
          <w:numId w:val="2"/>
        </w:numPr>
        <w:spacing w:before="100" w:beforeAutospacing="1" w:afterAutospacing="1"/>
        <w:ind w:left="480" w:firstLine="0"/>
        <w:rPr>
          <w:rFonts w:ascii="Verdana" w:hAnsi="Verdana"/>
          <w:color w:val="222222"/>
          <w:sz w:val="20"/>
          <w:szCs w:val="20"/>
        </w:rPr>
      </w:pPr>
      <w:hyperlink r:id="rId88" w:history="1">
        <w:r>
          <w:rPr>
            <w:rStyle w:val="Hyperlink"/>
            <w:rFonts w:ascii="Verdana" w:hAnsi="Verdana"/>
            <w:color w:val="00709B"/>
            <w:sz w:val="20"/>
            <w:szCs w:val="20"/>
          </w:rPr>
          <w:t>positive regulation of T-helper 1 type immune response</w:t>
        </w:r>
      </w:hyperlink>
      <w:r>
        <w:rPr>
          <w:rStyle w:val="attributionheader"/>
          <w:rFonts w:ascii="Verdana" w:hAnsi="Verdana"/>
          <w:color w:val="222222"/>
          <w:sz w:val="18"/>
          <w:szCs w:val="18"/>
          <w:bdr w:val="none" w:sz="0" w:space="0" w:color="auto" w:frame="1"/>
          <w:shd w:val="clear" w:color="auto" w:fill="FBEFB6"/>
        </w:rPr>
        <w:t> Source: BHF-UCL</w:t>
      </w:r>
    </w:p>
    <w:p w14:paraId="59897FB0" w14:textId="77777777" w:rsidR="004D5110" w:rsidRDefault="004D5110" w:rsidP="004D5110">
      <w:pPr>
        <w:numPr>
          <w:ilvl w:val="0"/>
          <w:numId w:val="2"/>
        </w:numPr>
        <w:spacing w:before="100" w:beforeAutospacing="1" w:afterAutospacing="1"/>
        <w:ind w:left="480" w:firstLine="0"/>
        <w:rPr>
          <w:rFonts w:ascii="Verdana" w:hAnsi="Verdana"/>
          <w:color w:val="222222"/>
          <w:sz w:val="20"/>
          <w:szCs w:val="20"/>
        </w:rPr>
      </w:pPr>
      <w:hyperlink r:id="rId89" w:history="1">
        <w:r>
          <w:rPr>
            <w:rStyle w:val="Hyperlink"/>
            <w:rFonts w:ascii="Verdana" w:hAnsi="Verdana"/>
            <w:color w:val="00709B"/>
            <w:sz w:val="20"/>
            <w:szCs w:val="20"/>
          </w:rPr>
          <w:t>positive regulation of tissue remodeling</w:t>
        </w:r>
      </w:hyperlink>
      <w:r>
        <w:rPr>
          <w:rStyle w:val="attributionheader"/>
          <w:rFonts w:ascii="Verdana" w:hAnsi="Verdana"/>
          <w:color w:val="222222"/>
          <w:sz w:val="18"/>
          <w:szCs w:val="18"/>
          <w:bdr w:val="none" w:sz="0" w:space="0" w:color="auto" w:frame="1"/>
          <w:shd w:val="clear" w:color="auto" w:fill="FBEFB6"/>
        </w:rPr>
        <w:t> Source: BHF-UCL</w:t>
      </w:r>
    </w:p>
    <w:p w14:paraId="0AF46C37" w14:textId="77777777" w:rsidR="004D5110" w:rsidRDefault="004D5110" w:rsidP="004D5110">
      <w:pPr>
        <w:numPr>
          <w:ilvl w:val="0"/>
          <w:numId w:val="2"/>
        </w:numPr>
        <w:spacing w:before="100" w:beforeAutospacing="1" w:afterAutospacing="1"/>
        <w:ind w:left="480" w:firstLine="0"/>
        <w:rPr>
          <w:rFonts w:ascii="Verdana" w:hAnsi="Verdana"/>
          <w:color w:val="222222"/>
          <w:sz w:val="20"/>
          <w:szCs w:val="20"/>
        </w:rPr>
      </w:pPr>
      <w:hyperlink r:id="rId90" w:history="1">
        <w:r>
          <w:rPr>
            <w:rStyle w:val="Hyperlink"/>
            <w:rFonts w:ascii="Verdana" w:hAnsi="Verdana"/>
            <w:color w:val="00709B"/>
            <w:sz w:val="20"/>
            <w:szCs w:val="20"/>
          </w:rPr>
          <w:t>positive regulation of tumor necrosis factor production</w:t>
        </w:r>
      </w:hyperlink>
      <w:r>
        <w:rPr>
          <w:rStyle w:val="attributionheader"/>
          <w:rFonts w:ascii="Verdana" w:hAnsi="Verdana"/>
          <w:color w:val="222222"/>
          <w:sz w:val="18"/>
          <w:szCs w:val="18"/>
          <w:bdr w:val="none" w:sz="0" w:space="0" w:color="auto" w:frame="1"/>
          <w:shd w:val="clear" w:color="auto" w:fill="FBEFB6"/>
        </w:rPr>
        <w:t> Source: BHF-UCL</w:t>
      </w:r>
    </w:p>
    <w:p w14:paraId="5DE83552" w14:textId="77777777" w:rsidR="004D5110" w:rsidRDefault="004D5110" w:rsidP="004D5110">
      <w:pPr>
        <w:numPr>
          <w:ilvl w:val="0"/>
          <w:numId w:val="2"/>
        </w:numPr>
        <w:spacing w:before="100" w:beforeAutospacing="1" w:afterAutospacing="1"/>
        <w:ind w:left="480" w:firstLine="0"/>
        <w:rPr>
          <w:rFonts w:ascii="Verdana" w:hAnsi="Verdana"/>
          <w:color w:val="222222"/>
          <w:sz w:val="20"/>
          <w:szCs w:val="20"/>
        </w:rPr>
      </w:pPr>
      <w:hyperlink r:id="rId91" w:history="1">
        <w:r>
          <w:rPr>
            <w:rStyle w:val="Hyperlink"/>
            <w:rFonts w:ascii="Verdana" w:hAnsi="Verdana"/>
            <w:color w:val="00709B"/>
            <w:sz w:val="20"/>
            <w:szCs w:val="20"/>
          </w:rPr>
          <w:t>positive regulation of tyrosine phosphorylation of STAT protein</w:t>
        </w:r>
      </w:hyperlink>
      <w:r>
        <w:rPr>
          <w:rStyle w:val="attributionheader"/>
          <w:rFonts w:ascii="Verdana" w:hAnsi="Verdana"/>
          <w:color w:val="222222"/>
          <w:sz w:val="18"/>
          <w:szCs w:val="18"/>
          <w:bdr w:val="none" w:sz="0" w:space="0" w:color="auto" w:frame="1"/>
          <w:shd w:val="clear" w:color="auto" w:fill="FBEFB6"/>
        </w:rPr>
        <w:t> Source: BHF-UCL</w:t>
      </w:r>
    </w:p>
    <w:p w14:paraId="30528599" w14:textId="77777777" w:rsidR="004D5110" w:rsidRDefault="004D5110" w:rsidP="004D5110">
      <w:pPr>
        <w:numPr>
          <w:ilvl w:val="0"/>
          <w:numId w:val="2"/>
        </w:numPr>
        <w:spacing w:before="100" w:beforeAutospacing="1" w:afterAutospacing="1"/>
        <w:ind w:left="480" w:firstLine="0"/>
        <w:rPr>
          <w:rFonts w:ascii="Verdana" w:hAnsi="Verdana"/>
          <w:color w:val="222222"/>
          <w:sz w:val="20"/>
          <w:szCs w:val="20"/>
        </w:rPr>
      </w:pPr>
      <w:hyperlink r:id="rId92" w:history="1">
        <w:r>
          <w:rPr>
            <w:rStyle w:val="Hyperlink"/>
            <w:rFonts w:ascii="Verdana" w:hAnsi="Verdana"/>
            <w:color w:val="00709B"/>
            <w:sz w:val="20"/>
            <w:szCs w:val="20"/>
          </w:rPr>
          <w:t>regulation of cytokine biosynthetic process</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68DC0D41" w14:textId="77777777" w:rsidR="004D5110" w:rsidRDefault="004D5110" w:rsidP="004D5110">
      <w:pPr>
        <w:numPr>
          <w:ilvl w:val="0"/>
          <w:numId w:val="2"/>
        </w:numPr>
        <w:spacing w:before="100" w:beforeAutospacing="1" w:afterAutospacing="1"/>
        <w:ind w:left="480" w:firstLine="0"/>
        <w:rPr>
          <w:rFonts w:ascii="Verdana" w:hAnsi="Verdana"/>
          <w:color w:val="222222"/>
          <w:sz w:val="20"/>
          <w:szCs w:val="20"/>
        </w:rPr>
      </w:pPr>
      <w:hyperlink r:id="rId93" w:history="1">
        <w:r>
          <w:rPr>
            <w:rStyle w:val="Hyperlink"/>
            <w:rFonts w:ascii="Verdana" w:hAnsi="Verdana"/>
            <w:color w:val="00709B"/>
            <w:sz w:val="20"/>
            <w:szCs w:val="20"/>
          </w:rPr>
          <w:t>regulation of tyrosine phosphorylation of STAT protein</w:t>
        </w:r>
      </w:hyperlink>
      <w:r>
        <w:rPr>
          <w:rStyle w:val="attributionheader"/>
          <w:rFonts w:ascii="Verdana" w:hAnsi="Verdana"/>
          <w:color w:val="222222"/>
          <w:sz w:val="18"/>
          <w:szCs w:val="18"/>
          <w:bdr w:val="none" w:sz="0" w:space="0" w:color="auto" w:frame="1"/>
          <w:shd w:val="clear" w:color="auto" w:fill="FBEFB6"/>
        </w:rPr>
        <w:t> Source: BHF-UCL</w:t>
      </w:r>
    </w:p>
    <w:p w14:paraId="5CF56C2D" w14:textId="77777777" w:rsidR="004D5110" w:rsidRDefault="004D5110" w:rsidP="004D5110">
      <w:pPr>
        <w:numPr>
          <w:ilvl w:val="0"/>
          <w:numId w:val="2"/>
        </w:numPr>
        <w:spacing w:before="100" w:beforeAutospacing="1" w:afterAutospacing="1"/>
        <w:ind w:left="480" w:firstLine="0"/>
        <w:rPr>
          <w:rFonts w:ascii="Verdana" w:hAnsi="Verdana"/>
          <w:color w:val="222222"/>
          <w:sz w:val="20"/>
          <w:szCs w:val="20"/>
        </w:rPr>
      </w:pPr>
      <w:hyperlink r:id="rId94" w:history="1">
        <w:r>
          <w:rPr>
            <w:rStyle w:val="Hyperlink"/>
            <w:rFonts w:ascii="Verdana" w:hAnsi="Verdana"/>
            <w:color w:val="00709B"/>
            <w:sz w:val="20"/>
            <w:szCs w:val="20"/>
          </w:rPr>
          <w:t>response to UV-B</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4E43D3F6" w14:textId="77777777" w:rsidR="004D5110" w:rsidRDefault="004D5110" w:rsidP="004D5110">
      <w:pPr>
        <w:numPr>
          <w:ilvl w:val="0"/>
          <w:numId w:val="2"/>
        </w:numPr>
        <w:spacing w:before="100" w:beforeAutospacing="1" w:afterAutospacing="1"/>
        <w:ind w:left="480" w:firstLine="0"/>
        <w:rPr>
          <w:rFonts w:ascii="Verdana" w:hAnsi="Verdana"/>
          <w:color w:val="222222"/>
          <w:sz w:val="20"/>
          <w:szCs w:val="20"/>
        </w:rPr>
      </w:pPr>
      <w:hyperlink r:id="rId95" w:history="1">
        <w:r>
          <w:rPr>
            <w:rStyle w:val="Hyperlink"/>
            <w:rFonts w:ascii="Verdana" w:hAnsi="Verdana"/>
            <w:color w:val="00709B"/>
            <w:sz w:val="20"/>
            <w:szCs w:val="20"/>
          </w:rPr>
          <w:t>sensory perception of pain</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Ensembl</w:t>
      </w:r>
      <w:proofErr w:type="spellEnd"/>
    </w:p>
    <w:p w14:paraId="1B276780" w14:textId="77777777" w:rsidR="004D5110" w:rsidRDefault="004D5110" w:rsidP="004D5110">
      <w:pPr>
        <w:numPr>
          <w:ilvl w:val="0"/>
          <w:numId w:val="2"/>
        </w:numPr>
        <w:spacing w:before="100" w:beforeAutospacing="1" w:afterAutospacing="1"/>
        <w:ind w:left="480" w:firstLine="0"/>
        <w:rPr>
          <w:rFonts w:ascii="Verdana" w:hAnsi="Verdana"/>
          <w:color w:val="222222"/>
          <w:sz w:val="20"/>
          <w:szCs w:val="20"/>
        </w:rPr>
      </w:pPr>
      <w:hyperlink r:id="rId96" w:history="1">
        <w:r>
          <w:rPr>
            <w:rStyle w:val="Hyperlink"/>
            <w:rFonts w:ascii="Verdana" w:hAnsi="Verdana"/>
            <w:color w:val="00709B"/>
            <w:sz w:val="20"/>
            <w:szCs w:val="20"/>
          </w:rPr>
          <w:t>sexual reproduction</w:t>
        </w:r>
      </w:hyperlink>
      <w:r>
        <w:rPr>
          <w:rStyle w:val="attributionheader"/>
          <w:rFonts w:ascii="Verdana" w:hAnsi="Verdana"/>
          <w:color w:val="222222"/>
          <w:sz w:val="18"/>
          <w:szCs w:val="18"/>
          <w:bdr w:val="none" w:sz="0" w:space="0" w:color="auto" w:frame="1"/>
          <w:shd w:val="clear" w:color="auto" w:fill="FBEFB6"/>
        </w:rPr>
        <w:t> Source: BHF-UCL</w:t>
      </w:r>
    </w:p>
    <w:p w14:paraId="51BA58E3" w14:textId="77777777" w:rsidR="004D5110" w:rsidRDefault="004D5110" w:rsidP="004D5110">
      <w:pPr>
        <w:numPr>
          <w:ilvl w:val="0"/>
          <w:numId w:val="2"/>
        </w:numPr>
        <w:spacing w:before="100" w:beforeAutospacing="1" w:afterAutospacing="1"/>
        <w:ind w:left="480" w:firstLine="0"/>
        <w:rPr>
          <w:rFonts w:ascii="Verdana" w:hAnsi="Verdana"/>
          <w:color w:val="222222"/>
          <w:sz w:val="20"/>
          <w:szCs w:val="20"/>
        </w:rPr>
      </w:pPr>
      <w:hyperlink r:id="rId97" w:history="1">
        <w:r>
          <w:rPr>
            <w:rStyle w:val="Hyperlink"/>
            <w:rFonts w:ascii="Verdana" w:hAnsi="Verdana"/>
            <w:color w:val="00709B"/>
            <w:sz w:val="20"/>
            <w:szCs w:val="20"/>
          </w:rPr>
          <w:t>T-helper 1 cell cytokine production</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Ensembl</w:t>
      </w:r>
      <w:proofErr w:type="spellEnd"/>
    </w:p>
    <w:p w14:paraId="74F0EFED" w14:textId="77777777" w:rsidR="004D5110" w:rsidRDefault="004D5110" w:rsidP="004D5110">
      <w:pPr>
        <w:numPr>
          <w:ilvl w:val="0"/>
          <w:numId w:val="2"/>
        </w:numPr>
        <w:spacing w:before="100" w:beforeAutospacing="1" w:afterAutospacing="1"/>
        <w:ind w:left="480" w:firstLine="0"/>
        <w:rPr>
          <w:rFonts w:ascii="Verdana" w:hAnsi="Verdana"/>
          <w:color w:val="222222"/>
          <w:sz w:val="20"/>
          <w:szCs w:val="20"/>
        </w:rPr>
      </w:pPr>
      <w:hyperlink r:id="rId98" w:history="1">
        <w:r>
          <w:rPr>
            <w:rStyle w:val="Hyperlink"/>
            <w:rFonts w:ascii="Verdana" w:hAnsi="Verdana"/>
            <w:color w:val="00709B"/>
            <w:sz w:val="20"/>
            <w:szCs w:val="20"/>
          </w:rPr>
          <w:t>T-helper 1 type immune response</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5A3153C7" w14:textId="77777777" w:rsidR="004D5110" w:rsidRDefault="004D5110" w:rsidP="004D5110">
      <w:pPr>
        <w:numPr>
          <w:ilvl w:val="0"/>
          <w:numId w:val="2"/>
        </w:numPr>
        <w:spacing w:before="100" w:beforeAutospacing="1" w:afterAutospacing="1"/>
        <w:ind w:left="480" w:firstLine="0"/>
        <w:rPr>
          <w:rFonts w:ascii="Verdana" w:hAnsi="Verdana"/>
          <w:color w:val="222222"/>
          <w:sz w:val="20"/>
          <w:szCs w:val="20"/>
        </w:rPr>
      </w:pPr>
      <w:hyperlink r:id="rId99" w:history="1">
        <w:r>
          <w:rPr>
            <w:rStyle w:val="Hyperlink"/>
            <w:rFonts w:ascii="Verdana" w:hAnsi="Verdana"/>
            <w:color w:val="00709B"/>
            <w:sz w:val="20"/>
            <w:szCs w:val="20"/>
          </w:rPr>
          <w:t>T-helper cell differentiation</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2477AB9B" w14:textId="3167DCB9" w:rsidR="004D5110" w:rsidRDefault="004D5110" w:rsidP="004D5110">
      <w:pPr>
        <w:pStyle w:val="NormalWeb"/>
        <w:shd w:val="clear" w:color="auto" w:fill="FFFFFF"/>
        <w:spacing w:before="0" w:beforeAutospacing="0" w:after="120" w:afterAutospacing="0"/>
        <w:rPr>
          <w:rFonts w:ascii="Arial" w:hAnsi="Arial" w:cs="Arial"/>
          <w:color w:val="000000"/>
          <w:sz w:val="25"/>
          <w:szCs w:val="25"/>
        </w:rPr>
      </w:pPr>
    </w:p>
    <w:p w14:paraId="35955F2F" w14:textId="77777777" w:rsidR="004D5110" w:rsidRDefault="004D5110" w:rsidP="004D5110">
      <w:pPr>
        <w:pStyle w:val="Heading6"/>
        <w:spacing w:before="120"/>
        <w:rPr>
          <w:rFonts w:ascii="Helvetica" w:hAnsi="Helvetica" w:cs="Helvetica"/>
          <w:color w:val="00709B"/>
        </w:rPr>
      </w:pPr>
      <w:hyperlink r:id="rId100" w:history="1">
        <w:r>
          <w:rPr>
            <w:rStyle w:val="Hyperlink"/>
            <w:rFonts w:ascii="Helvetica" w:hAnsi="Helvetica" w:cs="Helvetica"/>
            <w:b/>
            <w:bCs/>
            <w:color w:val="00709B"/>
          </w:rPr>
          <w:t>Immunodeficiency 29 (IMD29)</w:t>
        </w:r>
      </w:hyperlink>
      <w:r>
        <w:rPr>
          <w:rStyle w:val="attributionheader"/>
          <w:rFonts w:ascii="Helvetica" w:hAnsi="Helvetica" w:cs="Helvetica"/>
          <w:b/>
          <w:bCs/>
          <w:color w:val="00709B"/>
          <w:sz w:val="18"/>
          <w:szCs w:val="18"/>
          <w:bdr w:val="none" w:sz="0" w:space="0" w:color="auto" w:frame="1"/>
          <w:shd w:val="clear" w:color="auto" w:fill="FBEFB6"/>
        </w:rPr>
        <w:t>2 Publications</w:t>
      </w:r>
    </w:p>
    <w:p w14:paraId="3E716285" w14:textId="77777777" w:rsidR="004D5110" w:rsidRDefault="004D5110" w:rsidP="004D5110">
      <w:pPr>
        <w:rPr>
          <w:rFonts w:ascii="Verdana" w:hAnsi="Verdana"/>
          <w:color w:val="222222"/>
          <w:sz w:val="20"/>
          <w:szCs w:val="20"/>
        </w:rPr>
      </w:pPr>
      <w:r>
        <w:rPr>
          <w:rFonts w:ascii="Verdana" w:hAnsi="Verdana"/>
          <w:color w:val="222222"/>
          <w:sz w:val="20"/>
          <w:szCs w:val="20"/>
        </w:rPr>
        <w:t xml:space="preserve">The disease </w:t>
      </w:r>
      <w:proofErr w:type="gramStart"/>
      <w:r>
        <w:rPr>
          <w:rFonts w:ascii="Verdana" w:hAnsi="Verdana"/>
          <w:color w:val="222222"/>
          <w:sz w:val="20"/>
          <w:szCs w:val="20"/>
        </w:rPr>
        <w:t>is caused</w:t>
      </w:r>
      <w:proofErr w:type="gramEnd"/>
      <w:r>
        <w:rPr>
          <w:rFonts w:ascii="Verdana" w:hAnsi="Verdana"/>
          <w:color w:val="222222"/>
          <w:sz w:val="20"/>
          <w:szCs w:val="20"/>
        </w:rPr>
        <w:t xml:space="preserve"> by mutations affecting the gene represented in this entry.</w:t>
      </w:r>
    </w:p>
    <w:p w14:paraId="1EDD56FE" w14:textId="77777777" w:rsidR="004D5110" w:rsidRDefault="004D5110" w:rsidP="004D5110">
      <w:pPr>
        <w:rPr>
          <w:rFonts w:ascii="Verdana" w:hAnsi="Verdana"/>
          <w:color w:val="222222"/>
          <w:sz w:val="20"/>
          <w:szCs w:val="20"/>
        </w:rPr>
      </w:pPr>
      <w:r>
        <w:rPr>
          <w:rFonts w:ascii="Verdana" w:hAnsi="Verdana"/>
          <w:color w:val="222222"/>
          <w:sz w:val="20"/>
          <w:szCs w:val="20"/>
          <w:u w:val="single"/>
        </w:rPr>
        <w:t xml:space="preserve">Disease </w:t>
      </w:r>
      <w:proofErr w:type="spellStart"/>
      <w:r>
        <w:rPr>
          <w:rFonts w:ascii="Verdana" w:hAnsi="Verdana"/>
          <w:color w:val="222222"/>
          <w:sz w:val="20"/>
          <w:szCs w:val="20"/>
          <w:u w:val="single"/>
        </w:rPr>
        <w:t>description</w:t>
      </w:r>
      <w:r>
        <w:rPr>
          <w:rFonts w:ascii="Verdana" w:hAnsi="Verdana"/>
          <w:color w:val="222222"/>
          <w:sz w:val="20"/>
          <w:szCs w:val="20"/>
        </w:rPr>
        <w:t>A</w:t>
      </w:r>
      <w:proofErr w:type="spellEnd"/>
      <w:r>
        <w:rPr>
          <w:rFonts w:ascii="Verdana" w:hAnsi="Verdana"/>
          <w:color w:val="222222"/>
          <w:sz w:val="20"/>
          <w:szCs w:val="20"/>
        </w:rPr>
        <w:t xml:space="preserve"> form of Mendelian susceptibility to mycobacterial disease, a rare condition caused by impairment of interferon-gamma mediated immunity. It </w:t>
      </w:r>
      <w:proofErr w:type="gramStart"/>
      <w:r>
        <w:rPr>
          <w:rFonts w:ascii="Verdana" w:hAnsi="Verdana"/>
          <w:color w:val="222222"/>
          <w:sz w:val="20"/>
          <w:szCs w:val="20"/>
        </w:rPr>
        <w:t>is characterized</w:t>
      </w:r>
      <w:proofErr w:type="gramEnd"/>
      <w:r>
        <w:rPr>
          <w:rFonts w:ascii="Verdana" w:hAnsi="Verdana"/>
          <w:color w:val="222222"/>
          <w:sz w:val="20"/>
          <w:szCs w:val="20"/>
        </w:rPr>
        <w:t xml:space="preserve"> by predisposition to illness caused by moderately virulent mycobacterial species, such as Bacillus Calmette-Guerin (BCG) vaccine, environmental non-tuberculous mycobacteria, and by the more virulent Mycobacterium tuberculosis. Other microorganisms rarely cause severe clinical disease in individuals with susceptibility to mycobacterial infections, </w:t>
      </w:r>
      <w:proofErr w:type="gramStart"/>
      <w:r>
        <w:rPr>
          <w:rFonts w:ascii="Verdana" w:hAnsi="Verdana"/>
          <w:color w:val="222222"/>
          <w:sz w:val="20"/>
          <w:szCs w:val="20"/>
        </w:rPr>
        <w:t>with the exception of</w:t>
      </w:r>
      <w:proofErr w:type="gramEnd"/>
      <w:r>
        <w:rPr>
          <w:rFonts w:ascii="Verdana" w:hAnsi="Verdana"/>
          <w:color w:val="222222"/>
          <w:sz w:val="20"/>
          <w:szCs w:val="20"/>
        </w:rPr>
        <w:t xml:space="preserve"> Salmonella which infects less than 50% of these individuals. Clinical outcome severity depends on the degree of impairment of interferon-gamma mediated immunity. Some patients die of overwhelming mycobacterial disease with lepromatous-like lesions in early childhood, whereas others develop, later in life, disseminated but curable infections with tuberculoid granulomas. IMD29 </w:t>
      </w:r>
      <w:proofErr w:type="gramStart"/>
      <w:r>
        <w:rPr>
          <w:rFonts w:ascii="Verdana" w:hAnsi="Verdana"/>
          <w:color w:val="222222"/>
          <w:sz w:val="20"/>
          <w:szCs w:val="20"/>
        </w:rPr>
        <w:t>is characterized</w:t>
      </w:r>
      <w:proofErr w:type="gramEnd"/>
      <w:r>
        <w:rPr>
          <w:rFonts w:ascii="Verdana" w:hAnsi="Verdana"/>
          <w:color w:val="222222"/>
          <w:sz w:val="20"/>
          <w:szCs w:val="20"/>
        </w:rPr>
        <w:t xml:space="preserve"> by undetectable IL12B secretion from leukocytes. Affected individuals </w:t>
      </w:r>
      <w:proofErr w:type="gramStart"/>
      <w:r>
        <w:rPr>
          <w:rFonts w:ascii="Verdana" w:hAnsi="Verdana"/>
          <w:color w:val="222222"/>
          <w:sz w:val="20"/>
          <w:szCs w:val="20"/>
        </w:rPr>
        <w:t>generally present</w:t>
      </w:r>
      <w:proofErr w:type="gramEnd"/>
      <w:r>
        <w:rPr>
          <w:rFonts w:ascii="Verdana" w:hAnsi="Verdana"/>
          <w:color w:val="222222"/>
          <w:sz w:val="20"/>
          <w:szCs w:val="20"/>
        </w:rPr>
        <w:t xml:space="preserve"> with BCG disease after vaccination in childhood, and at least half also have Salmonella infection. Disease phenotype is </w:t>
      </w:r>
      <w:proofErr w:type="gramStart"/>
      <w:r>
        <w:rPr>
          <w:rFonts w:ascii="Verdana" w:hAnsi="Verdana"/>
          <w:color w:val="222222"/>
          <w:sz w:val="20"/>
          <w:szCs w:val="20"/>
        </w:rPr>
        <w:t>relatively mild</w:t>
      </w:r>
      <w:proofErr w:type="gramEnd"/>
      <w:r>
        <w:rPr>
          <w:rFonts w:ascii="Verdana" w:hAnsi="Verdana"/>
          <w:color w:val="222222"/>
          <w:sz w:val="20"/>
          <w:szCs w:val="20"/>
        </w:rPr>
        <w:t>, and patients have a good prognosis.</w:t>
      </w:r>
    </w:p>
    <w:p w14:paraId="2C5F1D79" w14:textId="77777777" w:rsidR="004D5110" w:rsidRDefault="004D5110" w:rsidP="004D5110">
      <w:pPr>
        <w:rPr>
          <w:rFonts w:ascii="Verdana" w:hAnsi="Verdana"/>
          <w:color w:val="222222"/>
          <w:sz w:val="20"/>
          <w:szCs w:val="20"/>
        </w:rPr>
      </w:pPr>
      <w:hyperlink r:id="rId101" w:history="1">
        <w:r>
          <w:rPr>
            <w:rStyle w:val="Hyperlink"/>
            <w:rFonts w:ascii="Verdana" w:hAnsi="Verdana"/>
            <w:color w:val="00709B"/>
            <w:sz w:val="20"/>
            <w:szCs w:val="20"/>
          </w:rPr>
          <w:t>See also OMIM:614890</w:t>
        </w:r>
      </w:hyperlink>
    </w:p>
    <w:p w14:paraId="57FA8492" w14:textId="77777777" w:rsidR="004D5110" w:rsidRDefault="004D5110" w:rsidP="004D5110">
      <w:pPr>
        <w:pStyle w:val="Heading6"/>
        <w:spacing w:before="120" w:after="120"/>
        <w:rPr>
          <w:rFonts w:ascii="Helvetica" w:hAnsi="Helvetica" w:cs="Helvetica"/>
          <w:color w:val="00709B"/>
        </w:rPr>
      </w:pPr>
      <w:hyperlink r:id="rId102" w:history="1">
        <w:r>
          <w:rPr>
            <w:rStyle w:val="Hyperlink"/>
            <w:rFonts w:ascii="Helvetica" w:hAnsi="Helvetica" w:cs="Helvetica"/>
            <w:b/>
            <w:bCs/>
            <w:color w:val="00709B"/>
          </w:rPr>
          <w:t>Psoriasis 11 (PSORS11)</w:t>
        </w:r>
      </w:hyperlink>
    </w:p>
    <w:p w14:paraId="40BCB82B" w14:textId="77777777" w:rsidR="004D5110" w:rsidRDefault="004D5110" w:rsidP="004D5110">
      <w:pPr>
        <w:rPr>
          <w:rFonts w:ascii="Verdana" w:hAnsi="Verdana"/>
          <w:color w:val="222222"/>
          <w:sz w:val="20"/>
          <w:szCs w:val="20"/>
        </w:rPr>
      </w:pPr>
      <w:r>
        <w:rPr>
          <w:rFonts w:ascii="Verdana" w:hAnsi="Verdana"/>
          <w:color w:val="222222"/>
          <w:sz w:val="20"/>
          <w:szCs w:val="20"/>
        </w:rPr>
        <w:t>Disease susceptibility is associated with variations affecting the gene represented in this entry.</w:t>
      </w:r>
    </w:p>
    <w:p w14:paraId="22F22F60" w14:textId="77777777" w:rsidR="004D5110" w:rsidRDefault="004D5110" w:rsidP="004D5110">
      <w:pPr>
        <w:rPr>
          <w:rFonts w:ascii="Verdana" w:hAnsi="Verdana"/>
          <w:color w:val="222222"/>
          <w:sz w:val="20"/>
          <w:szCs w:val="20"/>
        </w:rPr>
      </w:pPr>
      <w:r>
        <w:rPr>
          <w:rFonts w:ascii="Verdana" w:hAnsi="Verdana"/>
          <w:color w:val="222222"/>
          <w:sz w:val="20"/>
          <w:szCs w:val="20"/>
          <w:u w:val="single"/>
        </w:rPr>
        <w:t xml:space="preserve">Disease </w:t>
      </w:r>
      <w:proofErr w:type="spellStart"/>
      <w:r>
        <w:rPr>
          <w:rFonts w:ascii="Verdana" w:hAnsi="Verdana"/>
          <w:color w:val="222222"/>
          <w:sz w:val="20"/>
          <w:szCs w:val="20"/>
          <w:u w:val="single"/>
        </w:rPr>
        <w:t>description</w:t>
      </w:r>
      <w:r>
        <w:rPr>
          <w:rFonts w:ascii="Verdana" w:hAnsi="Verdana"/>
          <w:color w:val="222222"/>
          <w:sz w:val="20"/>
          <w:szCs w:val="20"/>
        </w:rPr>
        <w:t>A</w:t>
      </w:r>
      <w:proofErr w:type="spellEnd"/>
      <w:r>
        <w:rPr>
          <w:rFonts w:ascii="Verdana" w:hAnsi="Verdana"/>
          <w:color w:val="222222"/>
          <w:sz w:val="20"/>
          <w:szCs w:val="20"/>
        </w:rPr>
        <w:t xml:space="preserve"> common, chronic inflammatory disease of the skin with multifactorial etiology. It is characterized by red, scaly plaques usually found on the scalp, </w:t>
      </w:r>
      <w:proofErr w:type="gramStart"/>
      <w:r>
        <w:rPr>
          <w:rFonts w:ascii="Verdana" w:hAnsi="Verdana"/>
          <w:color w:val="222222"/>
          <w:sz w:val="20"/>
          <w:szCs w:val="20"/>
        </w:rPr>
        <w:t>elbows</w:t>
      </w:r>
      <w:proofErr w:type="gramEnd"/>
      <w:r>
        <w:rPr>
          <w:rFonts w:ascii="Verdana" w:hAnsi="Verdana"/>
          <w:color w:val="222222"/>
          <w:sz w:val="20"/>
          <w:szCs w:val="20"/>
        </w:rPr>
        <w:t xml:space="preserve"> and knees. These lesions </w:t>
      </w:r>
      <w:proofErr w:type="gramStart"/>
      <w:r>
        <w:rPr>
          <w:rFonts w:ascii="Verdana" w:hAnsi="Verdana"/>
          <w:color w:val="222222"/>
          <w:sz w:val="20"/>
          <w:szCs w:val="20"/>
        </w:rPr>
        <w:t>are caused</w:t>
      </w:r>
      <w:proofErr w:type="gramEnd"/>
      <w:r>
        <w:rPr>
          <w:rFonts w:ascii="Verdana" w:hAnsi="Verdana"/>
          <w:color w:val="222222"/>
          <w:sz w:val="20"/>
          <w:szCs w:val="20"/>
        </w:rPr>
        <w:t xml:space="preserve"> by abnormal keratinocyte proliferation and infiltration of inflammatory cells into the dermis and epidermis.</w:t>
      </w:r>
    </w:p>
    <w:p w14:paraId="401042FA" w14:textId="77777777" w:rsidR="004D5110" w:rsidRDefault="004D5110" w:rsidP="004D5110">
      <w:pPr>
        <w:rPr>
          <w:rFonts w:ascii="Verdana" w:hAnsi="Verdana"/>
          <w:color w:val="222222"/>
          <w:sz w:val="20"/>
          <w:szCs w:val="20"/>
        </w:rPr>
      </w:pPr>
      <w:hyperlink r:id="rId103" w:history="1">
        <w:r>
          <w:rPr>
            <w:rStyle w:val="Hyperlink"/>
            <w:rFonts w:ascii="Verdana" w:hAnsi="Verdana"/>
            <w:color w:val="00709B"/>
            <w:sz w:val="20"/>
            <w:szCs w:val="20"/>
          </w:rPr>
          <w:t>See also OMIM:612599</w:t>
        </w:r>
      </w:hyperlink>
    </w:p>
    <w:p w14:paraId="788B8077" w14:textId="4AE64723" w:rsidR="004D5110" w:rsidRDefault="004D5110" w:rsidP="004D5110">
      <w:pPr>
        <w:pStyle w:val="NormalWeb"/>
        <w:shd w:val="clear" w:color="auto" w:fill="FFFFFF"/>
        <w:spacing w:before="0" w:beforeAutospacing="0" w:after="120" w:afterAutospacing="0"/>
        <w:rPr>
          <w:rFonts w:ascii="Arial" w:hAnsi="Arial" w:cs="Arial"/>
          <w:color w:val="000000"/>
          <w:sz w:val="25"/>
          <w:szCs w:val="25"/>
        </w:rPr>
      </w:pPr>
    </w:p>
    <w:tbl>
      <w:tblPr>
        <w:tblW w:w="10680" w:type="dxa"/>
        <w:tblBorders>
          <w:top w:val="single" w:sz="12" w:space="0" w:color="F1F1F1"/>
          <w:left w:val="single" w:sz="12" w:space="0" w:color="F1F1F1"/>
          <w:right w:val="single" w:sz="12" w:space="0" w:color="F1F1F1"/>
        </w:tblBorders>
        <w:shd w:val="clear" w:color="auto" w:fill="FFFFFF"/>
        <w:tblCellMar>
          <w:left w:w="0" w:type="dxa"/>
          <w:right w:w="0" w:type="dxa"/>
        </w:tblCellMar>
        <w:tblLook w:val="04A0" w:firstRow="1" w:lastRow="0" w:firstColumn="1" w:lastColumn="0" w:noHBand="0" w:noVBand="1"/>
      </w:tblPr>
      <w:tblGrid>
        <w:gridCol w:w="2160"/>
        <w:gridCol w:w="8520"/>
      </w:tblGrid>
      <w:tr w:rsidR="004D5110" w14:paraId="4B91681A" w14:textId="77777777" w:rsidTr="004D5110">
        <w:tc>
          <w:tcPr>
            <w:tcW w:w="2160" w:type="dxa"/>
            <w:tcBorders>
              <w:top w:val="single" w:sz="6" w:space="0" w:color="F1F1F1"/>
              <w:left w:val="nil"/>
              <w:bottom w:val="single" w:sz="6" w:space="0" w:color="F1F1F1"/>
              <w:right w:val="dotted" w:sz="6" w:space="0" w:color="CCCCCC"/>
            </w:tcBorders>
            <w:shd w:val="clear" w:color="auto" w:fill="FFFFFF"/>
            <w:tcMar>
              <w:top w:w="24" w:type="dxa"/>
              <w:left w:w="72" w:type="dxa"/>
              <w:bottom w:w="24" w:type="dxa"/>
              <w:right w:w="240" w:type="dxa"/>
            </w:tcMar>
            <w:hideMark/>
          </w:tcPr>
          <w:p w14:paraId="301517DE" w14:textId="77777777" w:rsidR="004D5110" w:rsidRDefault="004D5110">
            <w:pPr>
              <w:spacing w:before="24"/>
              <w:jc w:val="right"/>
              <w:rPr>
                <w:rFonts w:ascii="Verdana" w:hAnsi="Verdana"/>
                <w:color w:val="222222"/>
                <w:sz w:val="20"/>
                <w:szCs w:val="20"/>
              </w:rPr>
            </w:pPr>
            <w:proofErr w:type="spellStart"/>
            <w:r>
              <w:rPr>
                <w:rStyle w:val="context-help"/>
                <w:rFonts w:ascii="Helvetica" w:hAnsi="Helvetica" w:cs="Helvetica"/>
                <w:color w:val="222222"/>
                <w:sz w:val="20"/>
                <w:szCs w:val="20"/>
              </w:rPr>
              <w:t>DrugBank</w:t>
            </w:r>
            <w:r>
              <w:rPr>
                <w:rStyle w:val="context-help"/>
                <w:rFonts w:ascii="Garamond" w:hAnsi="Garamond" w:cs="Helvetica"/>
                <w:color w:val="222222"/>
                <w:sz w:val="18"/>
                <w:szCs w:val="18"/>
                <w:vertAlign w:val="superscript"/>
              </w:rPr>
              <w:t>i</w:t>
            </w:r>
            <w:proofErr w:type="spellEnd"/>
          </w:p>
        </w:tc>
        <w:tc>
          <w:tcPr>
            <w:tcW w:w="0" w:type="auto"/>
            <w:tcBorders>
              <w:top w:val="single" w:sz="6" w:space="0" w:color="F1F1F1"/>
              <w:left w:val="dotted" w:sz="6" w:space="0" w:color="CCCCCC"/>
              <w:bottom w:val="single" w:sz="6" w:space="0" w:color="F1F1F1"/>
              <w:right w:val="nil"/>
            </w:tcBorders>
            <w:shd w:val="clear" w:color="auto" w:fill="FFFFFF"/>
            <w:tcMar>
              <w:top w:w="24" w:type="dxa"/>
              <w:left w:w="72" w:type="dxa"/>
              <w:bottom w:w="24" w:type="dxa"/>
              <w:right w:w="72" w:type="dxa"/>
            </w:tcMar>
            <w:hideMark/>
          </w:tcPr>
          <w:p w14:paraId="34416376" w14:textId="77777777" w:rsidR="004D5110" w:rsidRDefault="004D5110">
            <w:pPr>
              <w:spacing w:before="24"/>
              <w:rPr>
                <w:rFonts w:ascii="Verdana" w:hAnsi="Verdana"/>
                <w:color w:val="222222"/>
                <w:sz w:val="20"/>
                <w:szCs w:val="20"/>
              </w:rPr>
            </w:pPr>
            <w:hyperlink r:id="rId104" w:history="1">
              <w:r>
                <w:rPr>
                  <w:rStyle w:val="Hyperlink"/>
                  <w:rFonts w:ascii="Verdana" w:hAnsi="Verdana"/>
                  <w:color w:val="00709B"/>
                  <w:sz w:val="20"/>
                  <w:szCs w:val="20"/>
                </w:rPr>
                <w:t>DB02763</w:t>
              </w:r>
            </w:hyperlink>
            <w:r>
              <w:rPr>
                <w:rFonts w:ascii="Verdana" w:hAnsi="Verdana"/>
                <w:color w:val="222222"/>
                <w:sz w:val="20"/>
                <w:szCs w:val="20"/>
              </w:rPr>
              <w:t> 5-Mercapto-2-Nitro-Benzoic Acid</w:t>
            </w:r>
            <w:r>
              <w:rPr>
                <w:rFonts w:ascii="Verdana" w:hAnsi="Verdana"/>
                <w:color w:val="222222"/>
                <w:sz w:val="20"/>
                <w:szCs w:val="20"/>
              </w:rPr>
              <w:br/>
            </w:r>
            <w:hyperlink r:id="rId105" w:history="1">
              <w:r>
                <w:rPr>
                  <w:rStyle w:val="Hyperlink"/>
                  <w:rFonts w:ascii="Verdana" w:hAnsi="Verdana"/>
                  <w:color w:val="00709B"/>
                  <w:sz w:val="20"/>
                  <w:szCs w:val="20"/>
                </w:rPr>
                <w:t>DB05459</w:t>
              </w:r>
            </w:hyperlink>
            <w:r>
              <w:rPr>
                <w:rFonts w:ascii="Verdana" w:hAnsi="Verdana"/>
                <w:color w:val="222222"/>
                <w:sz w:val="20"/>
                <w:szCs w:val="20"/>
              </w:rPr>
              <w:t> Briakinumab</w:t>
            </w:r>
            <w:r>
              <w:rPr>
                <w:rFonts w:ascii="Verdana" w:hAnsi="Verdana"/>
                <w:color w:val="222222"/>
                <w:sz w:val="20"/>
                <w:szCs w:val="20"/>
              </w:rPr>
              <w:br/>
            </w:r>
            <w:hyperlink r:id="rId106" w:history="1">
              <w:r>
                <w:rPr>
                  <w:rStyle w:val="Hyperlink"/>
                  <w:rFonts w:ascii="Verdana" w:hAnsi="Verdana"/>
                  <w:color w:val="00709B"/>
                  <w:sz w:val="20"/>
                  <w:szCs w:val="20"/>
                </w:rPr>
                <w:t>DB05848</w:t>
              </w:r>
            </w:hyperlink>
            <w:r>
              <w:rPr>
                <w:rFonts w:ascii="Verdana" w:hAnsi="Verdana"/>
                <w:color w:val="222222"/>
                <w:sz w:val="20"/>
                <w:szCs w:val="20"/>
              </w:rPr>
              <w:t> humanized SMART Anti-IL-12 Antibody</w:t>
            </w:r>
            <w:r>
              <w:rPr>
                <w:rFonts w:ascii="Verdana" w:hAnsi="Verdana"/>
                <w:color w:val="222222"/>
                <w:sz w:val="20"/>
                <w:szCs w:val="20"/>
              </w:rPr>
              <w:br/>
            </w:r>
            <w:hyperlink r:id="rId107" w:history="1">
              <w:r>
                <w:rPr>
                  <w:rStyle w:val="Hyperlink"/>
                  <w:rFonts w:ascii="Verdana" w:hAnsi="Verdana"/>
                  <w:color w:val="00709B"/>
                  <w:sz w:val="20"/>
                  <w:szCs w:val="20"/>
                </w:rPr>
                <w:t>DB05679</w:t>
              </w:r>
            </w:hyperlink>
            <w:r>
              <w:rPr>
                <w:rFonts w:ascii="Verdana" w:hAnsi="Verdana"/>
                <w:color w:val="222222"/>
                <w:sz w:val="20"/>
                <w:szCs w:val="20"/>
              </w:rPr>
              <w:t> </w:t>
            </w:r>
            <w:proofErr w:type="spellStart"/>
            <w:r>
              <w:rPr>
                <w:rFonts w:ascii="Verdana" w:hAnsi="Verdana"/>
                <w:color w:val="222222"/>
                <w:sz w:val="20"/>
                <w:szCs w:val="20"/>
              </w:rPr>
              <w:t>Ustekinumab</w:t>
            </w:r>
            <w:proofErr w:type="spellEnd"/>
          </w:p>
        </w:tc>
      </w:tr>
    </w:tbl>
    <w:p w14:paraId="7F43ED24" w14:textId="24539D2A" w:rsidR="004D5110" w:rsidRDefault="004D5110" w:rsidP="004D5110">
      <w:pPr>
        <w:pStyle w:val="NormalWeb"/>
        <w:shd w:val="clear" w:color="auto" w:fill="FFFFFF"/>
        <w:spacing w:before="0" w:beforeAutospacing="0" w:after="120" w:afterAutospacing="0"/>
        <w:rPr>
          <w:rFonts w:ascii="Arial" w:hAnsi="Arial" w:cs="Arial"/>
          <w:color w:val="000000"/>
          <w:sz w:val="25"/>
          <w:szCs w:val="25"/>
        </w:rPr>
      </w:pPr>
    </w:p>
    <w:p w14:paraId="36C1276E" w14:textId="50DC9F5E" w:rsidR="004D5110" w:rsidRDefault="004D5110" w:rsidP="004D5110">
      <w:pPr>
        <w:pStyle w:val="NormalWeb"/>
        <w:shd w:val="clear" w:color="auto" w:fill="FFFFFF"/>
        <w:spacing w:before="0" w:beforeAutospacing="0" w:after="120" w:afterAutospacing="0"/>
        <w:rPr>
          <w:rFonts w:ascii="Arial" w:hAnsi="Arial" w:cs="Arial"/>
          <w:color w:val="000000"/>
          <w:sz w:val="25"/>
          <w:szCs w:val="25"/>
        </w:rPr>
      </w:pPr>
      <w:hyperlink r:id="rId108" w:history="1">
        <w:r w:rsidRPr="005E3A55">
          <w:rPr>
            <w:rStyle w:val="Hyperlink"/>
            <w:rFonts w:ascii="Arial" w:hAnsi="Arial" w:cs="Arial"/>
            <w:sz w:val="25"/>
            <w:szCs w:val="25"/>
          </w:rPr>
          <w:t>https://www.ncbi.nlm.nih.gov/gene/3593</w:t>
        </w:r>
      </w:hyperlink>
    </w:p>
    <w:p w14:paraId="674C2057" w14:textId="4C8B02AF" w:rsidR="004D5110" w:rsidRDefault="004D5110" w:rsidP="004D5110">
      <w:pPr>
        <w:pStyle w:val="NormalWeb"/>
        <w:shd w:val="clear" w:color="auto" w:fill="FFFFFF"/>
        <w:spacing w:before="0" w:beforeAutospacing="0" w:after="12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This gene encodes a subunit of interleukin 12, a cytokine that acts on T and natural killer </w:t>
      </w:r>
      <w:proofErr w:type="gramStart"/>
      <w:r>
        <w:rPr>
          <w:rFonts w:ascii="Arial" w:hAnsi="Arial" w:cs="Arial"/>
          <w:color w:val="000000"/>
          <w:sz w:val="20"/>
          <w:szCs w:val="20"/>
          <w:shd w:val="clear" w:color="auto" w:fill="FFFFFF"/>
        </w:rPr>
        <w:t>cells, and</w:t>
      </w:r>
      <w:proofErr w:type="gramEnd"/>
      <w:r>
        <w:rPr>
          <w:rFonts w:ascii="Arial" w:hAnsi="Arial" w:cs="Arial"/>
          <w:color w:val="000000"/>
          <w:sz w:val="20"/>
          <w:szCs w:val="20"/>
          <w:shd w:val="clear" w:color="auto" w:fill="FFFFFF"/>
        </w:rPr>
        <w:t xml:space="preserve"> has a broad array of biological activities. Interleukin 12 is a disulfide-linked heterodimer composed of the 40 </w:t>
      </w:r>
      <w:proofErr w:type="spellStart"/>
      <w:r>
        <w:rPr>
          <w:rFonts w:ascii="Arial" w:hAnsi="Arial" w:cs="Arial"/>
          <w:color w:val="000000"/>
          <w:sz w:val="20"/>
          <w:szCs w:val="20"/>
          <w:shd w:val="clear" w:color="auto" w:fill="FFFFFF"/>
        </w:rPr>
        <w:t>kD</w:t>
      </w:r>
      <w:proofErr w:type="spellEnd"/>
      <w:r>
        <w:rPr>
          <w:rFonts w:ascii="Arial" w:hAnsi="Arial" w:cs="Arial"/>
          <w:color w:val="000000"/>
          <w:sz w:val="20"/>
          <w:szCs w:val="20"/>
          <w:shd w:val="clear" w:color="auto" w:fill="FFFFFF"/>
        </w:rPr>
        <w:t xml:space="preserve"> cytokine receptor like subunit encoded by this gene, and a 35 </w:t>
      </w:r>
      <w:proofErr w:type="spellStart"/>
      <w:r>
        <w:rPr>
          <w:rFonts w:ascii="Arial" w:hAnsi="Arial" w:cs="Arial"/>
          <w:color w:val="000000"/>
          <w:sz w:val="20"/>
          <w:szCs w:val="20"/>
          <w:shd w:val="clear" w:color="auto" w:fill="FFFFFF"/>
        </w:rPr>
        <w:t>kD</w:t>
      </w:r>
      <w:proofErr w:type="spellEnd"/>
      <w:r>
        <w:rPr>
          <w:rFonts w:ascii="Arial" w:hAnsi="Arial" w:cs="Arial"/>
          <w:color w:val="000000"/>
          <w:sz w:val="20"/>
          <w:szCs w:val="20"/>
          <w:shd w:val="clear" w:color="auto" w:fill="FFFFFF"/>
        </w:rPr>
        <w:t xml:space="preserve"> subunit encoded by IL12A. This cytokine </w:t>
      </w:r>
      <w:proofErr w:type="gramStart"/>
      <w:r>
        <w:rPr>
          <w:rFonts w:ascii="Arial" w:hAnsi="Arial" w:cs="Arial"/>
          <w:color w:val="000000"/>
          <w:sz w:val="20"/>
          <w:szCs w:val="20"/>
          <w:shd w:val="clear" w:color="auto" w:fill="FFFFFF"/>
        </w:rPr>
        <w:t>is expressed</w:t>
      </w:r>
      <w:proofErr w:type="gramEnd"/>
      <w:r>
        <w:rPr>
          <w:rFonts w:ascii="Arial" w:hAnsi="Arial" w:cs="Arial"/>
          <w:color w:val="000000"/>
          <w:sz w:val="20"/>
          <w:szCs w:val="20"/>
          <w:shd w:val="clear" w:color="auto" w:fill="FFFFFF"/>
        </w:rPr>
        <w:t xml:space="preserve"> by activated macrophages that serve as an essential inducer of Th1 cells development. This cytokine has </w:t>
      </w:r>
      <w:proofErr w:type="gramStart"/>
      <w:r>
        <w:rPr>
          <w:rFonts w:ascii="Arial" w:hAnsi="Arial" w:cs="Arial"/>
          <w:color w:val="000000"/>
          <w:sz w:val="20"/>
          <w:szCs w:val="20"/>
          <w:shd w:val="clear" w:color="auto" w:fill="FFFFFF"/>
        </w:rPr>
        <w:t>been found</w:t>
      </w:r>
      <w:proofErr w:type="gramEnd"/>
      <w:r>
        <w:rPr>
          <w:rFonts w:ascii="Arial" w:hAnsi="Arial" w:cs="Arial"/>
          <w:color w:val="000000"/>
          <w:sz w:val="20"/>
          <w:szCs w:val="20"/>
          <w:shd w:val="clear" w:color="auto" w:fill="FFFFFF"/>
        </w:rPr>
        <w:t xml:space="preserve"> to be important for sustaining a sufficient number of memory/effector Th1 cells to mediate long-term protection to an intracellular pathogen. Overexpression of this gene </w:t>
      </w:r>
      <w:proofErr w:type="gramStart"/>
      <w:r>
        <w:rPr>
          <w:rFonts w:ascii="Arial" w:hAnsi="Arial" w:cs="Arial"/>
          <w:color w:val="000000"/>
          <w:sz w:val="20"/>
          <w:szCs w:val="20"/>
          <w:shd w:val="clear" w:color="auto" w:fill="FFFFFF"/>
        </w:rPr>
        <w:t>was observed</w:t>
      </w:r>
      <w:proofErr w:type="gramEnd"/>
      <w:r>
        <w:rPr>
          <w:rFonts w:ascii="Arial" w:hAnsi="Arial" w:cs="Arial"/>
          <w:color w:val="000000"/>
          <w:sz w:val="20"/>
          <w:szCs w:val="20"/>
          <w:shd w:val="clear" w:color="auto" w:fill="FFFFFF"/>
        </w:rPr>
        <w:t xml:space="preserve"> in the central nervous system of patients with multiple sclerosis (MS), suggesting a role of this cytokine in the pathogenesis of the disease. The promoter polymorphism of this gene has </w:t>
      </w:r>
      <w:proofErr w:type="gramStart"/>
      <w:r>
        <w:rPr>
          <w:rFonts w:ascii="Arial" w:hAnsi="Arial" w:cs="Arial"/>
          <w:color w:val="000000"/>
          <w:sz w:val="20"/>
          <w:szCs w:val="20"/>
          <w:shd w:val="clear" w:color="auto" w:fill="FFFFFF"/>
        </w:rPr>
        <w:t>been reported</w:t>
      </w:r>
      <w:proofErr w:type="gramEnd"/>
      <w:r>
        <w:rPr>
          <w:rFonts w:ascii="Arial" w:hAnsi="Arial" w:cs="Arial"/>
          <w:color w:val="000000"/>
          <w:sz w:val="20"/>
          <w:szCs w:val="20"/>
          <w:shd w:val="clear" w:color="auto" w:fill="FFFFFF"/>
        </w:rPr>
        <w:t xml:space="preserve"> to be associated with the severity of atopic and non-atopic asthma in children. </w:t>
      </w:r>
    </w:p>
    <w:p w14:paraId="0BF2C540" w14:textId="77777777" w:rsidR="004D5110" w:rsidRDefault="004D5110" w:rsidP="004D5110">
      <w:pPr>
        <w:pStyle w:val="NormalWeb"/>
        <w:shd w:val="clear" w:color="auto" w:fill="FFFFFF"/>
        <w:spacing w:before="0" w:beforeAutospacing="0" w:after="120" w:afterAutospacing="0"/>
        <w:rPr>
          <w:rFonts w:ascii="Arial" w:hAnsi="Arial" w:cs="Arial"/>
          <w:color w:val="000000"/>
          <w:sz w:val="25"/>
          <w:szCs w:val="25"/>
        </w:rPr>
      </w:pPr>
      <w:bookmarkStart w:id="0" w:name="_GoBack"/>
      <w:bookmarkEnd w:id="0"/>
    </w:p>
    <w:p w14:paraId="4783D8D0" w14:textId="77777777" w:rsidR="00C7476F" w:rsidRDefault="00C7476F"/>
    <w:sectPr w:rsidR="00C74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99488C"/>
    <w:multiLevelType w:val="multilevel"/>
    <w:tmpl w:val="C53E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51253E"/>
    <w:multiLevelType w:val="multilevel"/>
    <w:tmpl w:val="FF4C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578"/>
    <w:rsid w:val="004C78E8"/>
    <w:rsid w:val="004D5110"/>
    <w:rsid w:val="00C7476F"/>
    <w:rsid w:val="00E37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D6784"/>
  <w15:chartTrackingRefBased/>
  <w15:docId w15:val="{982B3E50-189F-4D5E-84D5-E80888889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78E8"/>
    <w:pPr>
      <w:spacing w:after="0" w:line="240" w:lineRule="auto"/>
    </w:pPr>
    <w:rPr>
      <w:rFonts w:ascii="Times New Roman" w:eastAsia="Times New Roman" w:hAnsi="Times New Roman" w:cs="Times New Roman"/>
      <w:sz w:val="24"/>
      <w:szCs w:val="24"/>
    </w:rPr>
  </w:style>
  <w:style w:type="paragraph" w:styleId="Heading4">
    <w:name w:val="heading 4"/>
    <w:basedOn w:val="Normal"/>
    <w:link w:val="Heading4Char"/>
    <w:uiPriority w:val="9"/>
    <w:qFormat/>
    <w:rsid w:val="00C7476F"/>
    <w:pPr>
      <w:spacing w:before="100" w:beforeAutospacing="1" w:after="100" w:afterAutospacing="1"/>
      <w:outlineLvl w:val="3"/>
    </w:pPr>
    <w:rPr>
      <w:b/>
      <w:bCs/>
    </w:rPr>
  </w:style>
  <w:style w:type="paragraph" w:styleId="Heading6">
    <w:name w:val="heading 6"/>
    <w:basedOn w:val="Normal"/>
    <w:next w:val="Normal"/>
    <w:link w:val="Heading6Char"/>
    <w:uiPriority w:val="9"/>
    <w:semiHidden/>
    <w:unhideWhenUsed/>
    <w:qFormat/>
    <w:rsid w:val="004D5110"/>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4C78E8"/>
    <w:rPr>
      <w:color w:val="0563C1" w:themeColor="hyperlink"/>
      <w:u w:val="single"/>
    </w:rPr>
  </w:style>
  <w:style w:type="character" w:styleId="Emphasis">
    <w:name w:val="Emphasis"/>
    <w:basedOn w:val="DefaultParagraphFont"/>
    <w:uiPriority w:val="20"/>
    <w:qFormat/>
    <w:rsid w:val="004C78E8"/>
    <w:rPr>
      <w:i/>
      <w:iCs/>
    </w:rPr>
  </w:style>
  <w:style w:type="paragraph" w:styleId="NormalWeb">
    <w:name w:val="Normal (Web)"/>
    <w:basedOn w:val="Normal"/>
    <w:uiPriority w:val="99"/>
    <w:unhideWhenUsed/>
    <w:rsid w:val="004C78E8"/>
    <w:pPr>
      <w:spacing w:before="100" w:beforeAutospacing="1" w:after="100" w:afterAutospacing="1"/>
    </w:pPr>
  </w:style>
  <w:style w:type="character" w:styleId="UnresolvedMention">
    <w:name w:val="Unresolved Mention"/>
    <w:basedOn w:val="DefaultParagraphFont"/>
    <w:uiPriority w:val="99"/>
    <w:semiHidden/>
    <w:unhideWhenUsed/>
    <w:rsid w:val="004C78E8"/>
    <w:rPr>
      <w:color w:val="808080"/>
      <w:shd w:val="clear" w:color="auto" w:fill="E6E6E6"/>
    </w:rPr>
  </w:style>
  <w:style w:type="character" w:customStyle="1" w:styleId="figpopup-sensitive-area">
    <w:name w:val="figpopup-sensitive-area"/>
    <w:basedOn w:val="DefaultParagraphFont"/>
    <w:rsid w:val="004C78E8"/>
  </w:style>
  <w:style w:type="character" w:customStyle="1" w:styleId="highlight">
    <w:name w:val="highlight"/>
    <w:basedOn w:val="DefaultParagraphFont"/>
    <w:rsid w:val="004C78E8"/>
  </w:style>
  <w:style w:type="character" w:customStyle="1" w:styleId="Heading4Char">
    <w:name w:val="Heading 4 Char"/>
    <w:basedOn w:val="DefaultParagraphFont"/>
    <w:link w:val="Heading4"/>
    <w:uiPriority w:val="9"/>
    <w:rsid w:val="00C7476F"/>
    <w:rPr>
      <w:rFonts w:ascii="Times New Roman" w:eastAsia="Times New Roman" w:hAnsi="Times New Roman" w:cs="Times New Roman"/>
      <w:b/>
      <w:bCs/>
      <w:sz w:val="24"/>
      <w:szCs w:val="24"/>
    </w:rPr>
  </w:style>
  <w:style w:type="character" w:customStyle="1" w:styleId="attributionheader">
    <w:name w:val="attributionheader"/>
    <w:basedOn w:val="DefaultParagraphFont"/>
    <w:rsid w:val="004D5110"/>
  </w:style>
  <w:style w:type="character" w:customStyle="1" w:styleId="context-help">
    <w:name w:val="context-help"/>
    <w:basedOn w:val="DefaultParagraphFont"/>
    <w:rsid w:val="004D5110"/>
  </w:style>
  <w:style w:type="character" w:customStyle="1" w:styleId="Heading6Char">
    <w:name w:val="Heading 6 Char"/>
    <w:basedOn w:val="DefaultParagraphFont"/>
    <w:link w:val="Heading6"/>
    <w:uiPriority w:val="9"/>
    <w:semiHidden/>
    <w:rsid w:val="004D511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5671">
      <w:bodyDiv w:val="1"/>
      <w:marLeft w:val="0"/>
      <w:marRight w:val="0"/>
      <w:marTop w:val="0"/>
      <w:marBottom w:val="0"/>
      <w:divBdr>
        <w:top w:val="none" w:sz="0" w:space="0" w:color="auto"/>
        <w:left w:val="none" w:sz="0" w:space="0" w:color="auto"/>
        <w:bottom w:val="none" w:sz="0" w:space="0" w:color="auto"/>
        <w:right w:val="none" w:sz="0" w:space="0" w:color="auto"/>
      </w:divBdr>
    </w:div>
    <w:div w:id="218786518">
      <w:bodyDiv w:val="1"/>
      <w:marLeft w:val="0"/>
      <w:marRight w:val="0"/>
      <w:marTop w:val="0"/>
      <w:marBottom w:val="0"/>
      <w:divBdr>
        <w:top w:val="none" w:sz="0" w:space="0" w:color="auto"/>
        <w:left w:val="none" w:sz="0" w:space="0" w:color="auto"/>
        <w:bottom w:val="none" w:sz="0" w:space="0" w:color="auto"/>
        <w:right w:val="none" w:sz="0" w:space="0" w:color="auto"/>
      </w:divBdr>
    </w:div>
    <w:div w:id="371612189">
      <w:bodyDiv w:val="1"/>
      <w:marLeft w:val="0"/>
      <w:marRight w:val="0"/>
      <w:marTop w:val="0"/>
      <w:marBottom w:val="0"/>
      <w:divBdr>
        <w:top w:val="none" w:sz="0" w:space="0" w:color="auto"/>
        <w:left w:val="none" w:sz="0" w:space="0" w:color="auto"/>
        <w:bottom w:val="none" w:sz="0" w:space="0" w:color="auto"/>
        <w:right w:val="none" w:sz="0" w:space="0" w:color="auto"/>
      </w:divBdr>
      <w:divsChild>
        <w:div w:id="834149900">
          <w:marLeft w:val="0"/>
          <w:marRight w:val="0"/>
          <w:marTop w:val="0"/>
          <w:marBottom w:val="240"/>
          <w:divBdr>
            <w:top w:val="none" w:sz="0" w:space="0" w:color="auto"/>
            <w:left w:val="none" w:sz="0" w:space="0" w:color="auto"/>
            <w:bottom w:val="none" w:sz="0" w:space="0" w:color="auto"/>
            <w:right w:val="none" w:sz="0" w:space="0" w:color="auto"/>
          </w:divBdr>
        </w:div>
        <w:div w:id="819462932">
          <w:marLeft w:val="0"/>
          <w:marRight w:val="0"/>
          <w:marTop w:val="0"/>
          <w:marBottom w:val="240"/>
          <w:divBdr>
            <w:top w:val="none" w:sz="0" w:space="0" w:color="auto"/>
            <w:left w:val="none" w:sz="0" w:space="0" w:color="auto"/>
            <w:bottom w:val="none" w:sz="0" w:space="0" w:color="auto"/>
            <w:right w:val="none" w:sz="0" w:space="0" w:color="auto"/>
          </w:divBdr>
        </w:div>
      </w:divsChild>
    </w:div>
    <w:div w:id="620578888">
      <w:bodyDiv w:val="1"/>
      <w:marLeft w:val="0"/>
      <w:marRight w:val="0"/>
      <w:marTop w:val="0"/>
      <w:marBottom w:val="0"/>
      <w:divBdr>
        <w:top w:val="none" w:sz="0" w:space="0" w:color="auto"/>
        <w:left w:val="none" w:sz="0" w:space="0" w:color="auto"/>
        <w:bottom w:val="none" w:sz="0" w:space="0" w:color="auto"/>
        <w:right w:val="none" w:sz="0" w:space="0" w:color="auto"/>
      </w:divBdr>
    </w:div>
    <w:div w:id="634263443">
      <w:bodyDiv w:val="1"/>
      <w:marLeft w:val="0"/>
      <w:marRight w:val="0"/>
      <w:marTop w:val="0"/>
      <w:marBottom w:val="0"/>
      <w:divBdr>
        <w:top w:val="none" w:sz="0" w:space="0" w:color="auto"/>
        <w:left w:val="none" w:sz="0" w:space="0" w:color="auto"/>
        <w:bottom w:val="none" w:sz="0" w:space="0" w:color="auto"/>
        <w:right w:val="none" w:sz="0" w:space="0" w:color="auto"/>
      </w:divBdr>
    </w:div>
    <w:div w:id="1272976934">
      <w:bodyDiv w:val="1"/>
      <w:marLeft w:val="0"/>
      <w:marRight w:val="0"/>
      <w:marTop w:val="0"/>
      <w:marBottom w:val="0"/>
      <w:divBdr>
        <w:top w:val="none" w:sz="0" w:space="0" w:color="auto"/>
        <w:left w:val="none" w:sz="0" w:space="0" w:color="auto"/>
        <w:bottom w:val="none" w:sz="0" w:space="0" w:color="auto"/>
        <w:right w:val="none" w:sz="0" w:space="0" w:color="auto"/>
      </w:divBdr>
    </w:div>
    <w:div w:id="172243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ncbi.nlm.nih.gov/pubmed/27896842" TargetMode="External"/><Relationship Id="rId21" Type="http://schemas.openxmlformats.org/officeDocument/2006/relationships/hyperlink" Target="https://www.ncbi.nlm.nih.gov/pubmed/20525402" TargetMode="External"/><Relationship Id="rId42" Type="http://schemas.openxmlformats.org/officeDocument/2006/relationships/hyperlink" Target="http://www.ebi.ac.uk/QuickGO/annotations?geneProductId=P29460" TargetMode="External"/><Relationship Id="rId47" Type="http://schemas.openxmlformats.org/officeDocument/2006/relationships/hyperlink" Target="https://www.ebi.ac.uk/QuickGO/term/GO:0071222" TargetMode="External"/><Relationship Id="rId63" Type="http://schemas.openxmlformats.org/officeDocument/2006/relationships/hyperlink" Target="https://www.ebi.ac.uk/QuickGO/term/GO:0010536" TargetMode="External"/><Relationship Id="rId68" Type="http://schemas.openxmlformats.org/officeDocument/2006/relationships/hyperlink" Target="https://www.ebi.ac.uk/QuickGO/term/GO:0045078" TargetMode="External"/><Relationship Id="rId84" Type="http://schemas.openxmlformats.org/officeDocument/2006/relationships/hyperlink" Target="https://www.ebi.ac.uk/QuickGO/term/GO:0001916" TargetMode="External"/><Relationship Id="rId89" Type="http://schemas.openxmlformats.org/officeDocument/2006/relationships/hyperlink" Target="https://www.ebi.ac.uk/QuickGO/term/GO:0034105" TargetMode="External"/><Relationship Id="rId2" Type="http://schemas.openxmlformats.org/officeDocument/2006/relationships/styles" Target="styles.xml"/><Relationship Id="rId16" Type="http://schemas.openxmlformats.org/officeDocument/2006/relationships/hyperlink" Target="https://www.ncbi.nlm.nih.gov/pmc/articles/PMC5442083/" TargetMode="External"/><Relationship Id="rId29" Type="http://schemas.openxmlformats.org/officeDocument/2006/relationships/hyperlink" Target="https://www.ncbi.nlm.nih.gov/pubmed/27059274" TargetMode="External"/><Relationship Id="rId107" Type="http://schemas.openxmlformats.org/officeDocument/2006/relationships/hyperlink" Target="https://www.drugbank.ca/drugs/DB05679" TargetMode="External"/><Relationship Id="rId11" Type="http://schemas.openxmlformats.org/officeDocument/2006/relationships/hyperlink" Target="https://www.ncbi.nlm.nih.gov/pmc/articles/PMC5442083/" TargetMode="External"/><Relationship Id="rId24" Type="http://schemas.openxmlformats.org/officeDocument/2006/relationships/hyperlink" Target="https://www.ncbi.nlm.nih.gov/pmc/articles/PMC2891757/table/T3/" TargetMode="External"/><Relationship Id="rId32" Type="http://schemas.openxmlformats.org/officeDocument/2006/relationships/hyperlink" Target="https://www.ncbi.nlm.nih.gov/pubmed/26800664" TargetMode="External"/><Relationship Id="rId37" Type="http://schemas.openxmlformats.org/officeDocument/2006/relationships/hyperlink" Target="https://www.ebi.ac.uk/QuickGO/term/GO:0042802" TargetMode="External"/><Relationship Id="rId40" Type="http://schemas.openxmlformats.org/officeDocument/2006/relationships/hyperlink" Target="https://www.ebi.ac.uk/QuickGO/term/GO:0046982" TargetMode="External"/><Relationship Id="rId45" Type="http://schemas.openxmlformats.org/officeDocument/2006/relationships/hyperlink" Target="https://www.ebi.ac.uk/QuickGO/term/GO:0008283" TargetMode="External"/><Relationship Id="rId53" Type="http://schemas.openxmlformats.org/officeDocument/2006/relationships/hyperlink" Target="https://www.ebi.ac.uk/QuickGO/term/GO:0035722" TargetMode="External"/><Relationship Id="rId58" Type="http://schemas.openxmlformats.org/officeDocument/2006/relationships/hyperlink" Target="https://www.ebi.ac.uk/QuickGO/term/GO:0002862" TargetMode="External"/><Relationship Id="rId66" Type="http://schemas.openxmlformats.org/officeDocument/2006/relationships/hyperlink" Target="https://www.ebi.ac.uk/QuickGO/term/GO:0032725" TargetMode="External"/><Relationship Id="rId74" Type="http://schemas.openxmlformats.org/officeDocument/2006/relationships/hyperlink" Target="https://www.ebi.ac.uk/QuickGO/term/GO:0043382" TargetMode="External"/><Relationship Id="rId79" Type="http://schemas.openxmlformats.org/officeDocument/2006/relationships/hyperlink" Target="https://www.ebi.ac.uk/QuickGO/term/GO:0042346" TargetMode="External"/><Relationship Id="rId87" Type="http://schemas.openxmlformats.org/officeDocument/2006/relationships/hyperlink" Target="https://www.ebi.ac.uk/QuickGO/term/GO:2000318" TargetMode="External"/><Relationship Id="rId102" Type="http://schemas.openxmlformats.org/officeDocument/2006/relationships/hyperlink" Target="http://www.uniprot.org/diseases/DI-02669" TargetMode="External"/><Relationship Id="rId110" Type="http://schemas.openxmlformats.org/officeDocument/2006/relationships/theme" Target="theme/theme1.xml"/><Relationship Id="rId5" Type="http://schemas.openxmlformats.org/officeDocument/2006/relationships/hyperlink" Target="https://www.ncbi.nlm.nih.gov/pubmed/26063326" TargetMode="External"/><Relationship Id="rId61" Type="http://schemas.openxmlformats.org/officeDocument/2006/relationships/hyperlink" Target="https://www.ebi.ac.uk/QuickGO/term/GO:0048662" TargetMode="External"/><Relationship Id="rId82" Type="http://schemas.openxmlformats.org/officeDocument/2006/relationships/hyperlink" Target="https://www.ebi.ac.uk/QuickGO/term/GO:0045672" TargetMode="External"/><Relationship Id="rId90" Type="http://schemas.openxmlformats.org/officeDocument/2006/relationships/hyperlink" Target="https://www.ebi.ac.uk/QuickGO/term/GO:0032760" TargetMode="External"/><Relationship Id="rId95" Type="http://schemas.openxmlformats.org/officeDocument/2006/relationships/hyperlink" Target="https://www.ebi.ac.uk/QuickGO/term/GO:0019233" TargetMode="External"/><Relationship Id="rId19" Type="http://schemas.openxmlformats.org/officeDocument/2006/relationships/hyperlink" Target="https://www.ncbi.nlm.nih.gov/pmc/articles/PMC5442083/" TargetMode="External"/><Relationship Id="rId14" Type="http://schemas.openxmlformats.org/officeDocument/2006/relationships/hyperlink" Target="https://www.ncbi.nlm.nih.gov/pmc/articles/PMC5442083/" TargetMode="External"/><Relationship Id="rId22" Type="http://schemas.openxmlformats.org/officeDocument/2006/relationships/hyperlink" Target="https://www.ncbi.nlm.nih.gov/pmc/articles/PMC2891757/" TargetMode="External"/><Relationship Id="rId27" Type="http://schemas.openxmlformats.org/officeDocument/2006/relationships/hyperlink" Target="https://www.ncbi.nlm.nih.gov/pubmed/27876593" TargetMode="External"/><Relationship Id="rId30" Type="http://schemas.openxmlformats.org/officeDocument/2006/relationships/hyperlink" Target="https://www.ncbi.nlm.nih.gov/pubmed/26915668" TargetMode="External"/><Relationship Id="rId35" Type="http://schemas.openxmlformats.org/officeDocument/2006/relationships/hyperlink" Target="https://www.ebi.ac.uk/QuickGO/term/GO:0005125" TargetMode="External"/><Relationship Id="rId43" Type="http://schemas.openxmlformats.org/officeDocument/2006/relationships/hyperlink" Target="https://www.ebi.ac.uk/QuickGO/term/GO:0007050" TargetMode="External"/><Relationship Id="rId48" Type="http://schemas.openxmlformats.org/officeDocument/2006/relationships/hyperlink" Target="https://www.ebi.ac.uk/QuickGO/term/GO:0019221" TargetMode="External"/><Relationship Id="rId56" Type="http://schemas.openxmlformats.org/officeDocument/2006/relationships/hyperlink" Target="https://www.ebi.ac.uk/QuickGO/term/GO:0002323" TargetMode="External"/><Relationship Id="rId64" Type="http://schemas.openxmlformats.org/officeDocument/2006/relationships/hyperlink" Target="https://www.ebi.ac.uk/QuickGO/term/GO:0045785" TargetMode="External"/><Relationship Id="rId69" Type="http://schemas.openxmlformats.org/officeDocument/2006/relationships/hyperlink" Target="https://www.ebi.ac.uk/QuickGO/term/GO:0032729" TargetMode="External"/><Relationship Id="rId77" Type="http://schemas.openxmlformats.org/officeDocument/2006/relationships/hyperlink" Target="https://www.ebi.ac.uk/QuickGO/term/GO:0002860" TargetMode="External"/><Relationship Id="rId100" Type="http://schemas.openxmlformats.org/officeDocument/2006/relationships/hyperlink" Target="http://www.uniprot.org/diseases/DI-04222" TargetMode="External"/><Relationship Id="rId105" Type="http://schemas.openxmlformats.org/officeDocument/2006/relationships/hyperlink" Target="https://www.drugbank.ca/drugs/DB05459" TargetMode="External"/><Relationship Id="rId8" Type="http://schemas.openxmlformats.org/officeDocument/2006/relationships/hyperlink" Target="https://www.ncbi.nlm.nih.gov/pubmed/28596683" TargetMode="External"/><Relationship Id="rId51" Type="http://schemas.openxmlformats.org/officeDocument/2006/relationships/hyperlink" Target="https://www.ebi.ac.uk/QuickGO/term/GO:0051607" TargetMode="External"/><Relationship Id="rId72" Type="http://schemas.openxmlformats.org/officeDocument/2006/relationships/hyperlink" Target="https://www.ebi.ac.uk/QuickGO/term/GO:0032740" TargetMode="External"/><Relationship Id="rId80" Type="http://schemas.openxmlformats.org/officeDocument/2006/relationships/hyperlink" Target="https://www.ebi.ac.uk/QuickGO/term/GO:0051135" TargetMode="External"/><Relationship Id="rId85" Type="http://schemas.openxmlformats.org/officeDocument/2006/relationships/hyperlink" Target="https://www.ebi.ac.uk/QuickGO/term/GO:0042102" TargetMode="External"/><Relationship Id="rId93" Type="http://schemas.openxmlformats.org/officeDocument/2006/relationships/hyperlink" Target="https://www.ebi.ac.uk/QuickGO/term/GO:0042509" TargetMode="External"/><Relationship Id="rId98" Type="http://schemas.openxmlformats.org/officeDocument/2006/relationships/hyperlink" Target="https://www.ebi.ac.uk/QuickGO/term/GO:0042088" TargetMode="External"/><Relationship Id="rId3" Type="http://schemas.openxmlformats.org/officeDocument/2006/relationships/settings" Target="settings.xml"/><Relationship Id="rId12" Type="http://schemas.openxmlformats.org/officeDocument/2006/relationships/hyperlink" Target="https://www.ncbi.nlm.nih.gov/pmc/articles/PMC5442083/" TargetMode="External"/><Relationship Id="rId17" Type="http://schemas.openxmlformats.org/officeDocument/2006/relationships/hyperlink" Target="https://www.ncbi.nlm.nih.gov/pmc/articles/PMC5442083/" TargetMode="External"/><Relationship Id="rId25" Type="http://schemas.openxmlformats.org/officeDocument/2006/relationships/hyperlink" Target="https://www.ncbi.nlm.nih.gov/pubmed/28415696" TargetMode="External"/><Relationship Id="rId33" Type="http://schemas.openxmlformats.org/officeDocument/2006/relationships/hyperlink" Target="https://www.ncbi.nlm.nih.gov/pubmed/26375522" TargetMode="External"/><Relationship Id="rId38" Type="http://schemas.openxmlformats.org/officeDocument/2006/relationships/hyperlink" Target="https://www.ebi.ac.uk/QuickGO/term/GO:0042164" TargetMode="External"/><Relationship Id="rId46" Type="http://schemas.openxmlformats.org/officeDocument/2006/relationships/hyperlink" Target="https://www.ebi.ac.uk/QuickGO/term/GO:0071346" TargetMode="External"/><Relationship Id="rId59" Type="http://schemas.openxmlformats.org/officeDocument/2006/relationships/hyperlink" Target="https://www.ebi.ac.uk/QuickGO/term/GO:0032693" TargetMode="External"/><Relationship Id="rId67" Type="http://schemas.openxmlformats.org/officeDocument/2006/relationships/hyperlink" Target="https://www.ebi.ac.uk/QuickGO/term/GO:0050729" TargetMode="External"/><Relationship Id="rId103" Type="http://schemas.openxmlformats.org/officeDocument/2006/relationships/hyperlink" Target="http://www.omim.org/entry/612599" TargetMode="External"/><Relationship Id="rId108" Type="http://schemas.openxmlformats.org/officeDocument/2006/relationships/hyperlink" Target="https://www.ncbi.nlm.nih.gov/gene/3593" TargetMode="External"/><Relationship Id="rId20" Type="http://schemas.openxmlformats.org/officeDocument/2006/relationships/hyperlink" Target="https://www.ncbi.nlm.nih.gov/pubmed/21339808" TargetMode="External"/><Relationship Id="rId41" Type="http://schemas.openxmlformats.org/officeDocument/2006/relationships/hyperlink" Target="https://www.ebi.ac.uk/QuickGO/term/GO:0042803" TargetMode="External"/><Relationship Id="rId54" Type="http://schemas.openxmlformats.org/officeDocument/2006/relationships/hyperlink" Target="https://www.ebi.ac.uk/QuickGO/term/GO:0038155" TargetMode="External"/><Relationship Id="rId62" Type="http://schemas.openxmlformats.org/officeDocument/2006/relationships/hyperlink" Target="https://www.ebi.ac.uk/QuickGO/term/GO:0042104" TargetMode="External"/><Relationship Id="rId70" Type="http://schemas.openxmlformats.org/officeDocument/2006/relationships/hyperlink" Target="https://www.ebi.ac.uk/QuickGO/term/GO:0032733" TargetMode="External"/><Relationship Id="rId75" Type="http://schemas.openxmlformats.org/officeDocument/2006/relationships/hyperlink" Target="https://www.ebi.ac.uk/QuickGO/term/GO:0032946" TargetMode="External"/><Relationship Id="rId83" Type="http://schemas.openxmlformats.org/officeDocument/2006/relationships/hyperlink" Target="https://www.ebi.ac.uk/QuickGO/term/GO:0034393" TargetMode="External"/><Relationship Id="rId88" Type="http://schemas.openxmlformats.org/officeDocument/2006/relationships/hyperlink" Target="https://www.ebi.ac.uk/QuickGO/term/GO:0002827" TargetMode="External"/><Relationship Id="rId91" Type="http://schemas.openxmlformats.org/officeDocument/2006/relationships/hyperlink" Target="https://www.ebi.ac.uk/QuickGO/term/GO:0042531" TargetMode="External"/><Relationship Id="rId96" Type="http://schemas.openxmlformats.org/officeDocument/2006/relationships/hyperlink" Target="https://www.ebi.ac.uk/QuickGO/term/GO:0019953" TargetMode="External"/><Relationship Id="rId1" Type="http://schemas.openxmlformats.org/officeDocument/2006/relationships/numbering" Target="numbering.xml"/><Relationship Id="rId6" Type="http://schemas.openxmlformats.org/officeDocument/2006/relationships/hyperlink" Target="https://www.ncbi.nlm.nih.gov/pmc/articles/PMC4479222/table/Tab2/" TargetMode="External"/><Relationship Id="rId15" Type="http://schemas.openxmlformats.org/officeDocument/2006/relationships/hyperlink" Target="https://www.ncbi.nlm.nih.gov/pmc/articles/PMC5442083/" TargetMode="External"/><Relationship Id="rId23" Type="http://schemas.openxmlformats.org/officeDocument/2006/relationships/hyperlink" Target="https://www.ncbi.nlm.nih.gov/pmc/articles/PMC2891757/figure/F1/" TargetMode="External"/><Relationship Id="rId28" Type="http://schemas.openxmlformats.org/officeDocument/2006/relationships/hyperlink" Target="https://www.ncbi.nlm.nih.gov/pubmed/27312970" TargetMode="External"/><Relationship Id="rId36" Type="http://schemas.openxmlformats.org/officeDocument/2006/relationships/hyperlink" Target="https://www.ebi.ac.uk/QuickGO/term/GO:0004896" TargetMode="External"/><Relationship Id="rId49" Type="http://schemas.openxmlformats.org/officeDocument/2006/relationships/hyperlink" Target="https://www.ebi.ac.uk/QuickGO/term/GO:0050829" TargetMode="External"/><Relationship Id="rId57" Type="http://schemas.openxmlformats.org/officeDocument/2006/relationships/hyperlink" Target="https://www.ebi.ac.uk/QuickGO/term/GO:0044130" TargetMode="External"/><Relationship Id="rId106" Type="http://schemas.openxmlformats.org/officeDocument/2006/relationships/hyperlink" Target="https://www.drugbank.ca/drugs/DB05848" TargetMode="External"/><Relationship Id="rId10" Type="http://schemas.openxmlformats.org/officeDocument/2006/relationships/hyperlink" Target="https://www.ncbi.nlm.nih.gov/pmc/articles/PMC5442083/" TargetMode="External"/><Relationship Id="rId31" Type="http://schemas.openxmlformats.org/officeDocument/2006/relationships/hyperlink" Target="https://www.ncbi.nlm.nih.gov/pubmed/26850223" TargetMode="External"/><Relationship Id="rId44" Type="http://schemas.openxmlformats.org/officeDocument/2006/relationships/hyperlink" Target="https://www.ebi.ac.uk/QuickGO/term/GO:0016477" TargetMode="External"/><Relationship Id="rId52" Type="http://schemas.openxmlformats.org/officeDocument/2006/relationships/hyperlink" Target="https://www.ebi.ac.uk/QuickGO/term/GO:0042095" TargetMode="External"/><Relationship Id="rId60" Type="http://schemas.openxmlformats.org/officeDocument/2006/relationships/hyperlink" Target="https://www.ebi.ac.uk/QuickGO/term/GO:0032700" TargetMode="External"/><Relationship Id="rId65" Type="http://schemas.openxmlformats.org/officeDocument/2006/relationships/hyperlink" Target="https://www.ebi.ac.uk/QuickGO/term/GO:0002230" TargetMode="External"/><Relationship Id="rId73" Type="http://schemas.openxmlformats.org/officeDocument/2006/relationships/hyperlink" Target="https://www.ebi.ac.uk/QuickGO/term/GO:0050671" TargetMode="External"/><Relationship Id="rId78" Type="http://schemas.openxmlformats.org/officeDocument/2006/relationships/hyperlink" Target="https://www.ebi.ac.uk/QuickGO/term/GO:0032819" TargetMode="External"/><Relationship Id="rId81" Type="http://schemas.openxmlformats.org/officeDocument/2006/relationships/hyperlink" Target="https://www.ebi.ac.uk/QuickGO/term/GO:0051142" TargetMode="External"/><Relationship Id="rId86" Type="http://schemas.openxmlformats.org/officeDocument/2006/relationships/hyperlink" Target="https://www.ebi.ac.uk/QuickGO/term/GO:2000330" TargetMode="External"/><Relationship Id="rId94" Type="http://schemas.openxmlformats.org/officeDocument/2006/relationships/hyperlink" Target="https://www.ebi.ac.uk/QuickGO/term/GO:0010224" TargetMode="External"/><Relationship Id="rId99" Type="http://schemas.openxmlformats.org/officeDocument/2006/relationships/hyperlink" Target="https://www.ebi.ac.uk/QuickGO/term/GO:0042093" TargetMode="External"/><Relationship Id="rId101" Type="http://schemas.openxmlformats.org/officeDocument/2006/relationships/hyperlink" Target="http://www.omim.org/entry/614890" TargetMode="External"/><Relationship Id="rId4" Type="http://schemas.openxmlformats.org/officeDocument/2006/relationships/webSettings" Target="webSettings.xml"/><Relationship Id="rId9" Type="http://schemas.openxmlformats.org/officeDocument/2006/relationships/hyperlink" Target="https://www.ncbi.nlm.nih.gov/pmc/articles/PMC5442083/" TargetMode="External"/><Relationship Id="rId13" Type="http://schemas.openxmlformats.org/officeDocument/2006/relationships/hyperlink" Target="https://www.ncbi.nlm.nih.gov/pmc/articles/PMC5442083/" TargetMode="External"/><Relationship Id="rId18" Type="http://schemas.openxmlformats.org/officeDocument/2006/relationships/hyperlink" Target="https://www.ncbi.nlm.nih.gov/pmc/articles/PMC5442083/" TargetMode="External"/><Relationship Id="rId39" Type="http://schemas.openxmlformats.org/officeDocument/2006/relationships/hyperlink" Target="https://www.ebi.ac.uk/QuickGO/term/GO:0005143" TargetMode="External"/><Relationship Id="rId109" Type="http://schemas.openxmlformats.org/officeDocument/2006/relationships/fontTable" Target="fontTable.xml"/><Relationship Id="rId34" Type="http://schemas.openxmlformats.org/officeDocument/2006/relationships/hyperlink" Target="http://www.uniprot.org/uniprot/P29460" TargetMode="External"/><Relationship Id="rId50" Type="http://schemas.openxmlformats.org/officeDocument/2006/relationships/hyperlink" Target="https://www.ebi.ac.uk/QuickGO/term/GO:0042832" TargetMode="External"/><Relationship Id="rId55" Type="http://schemas.openxmlformats.org/officeDocument/2006/relationships/hyperlink" Target="https://www.ebi.ac.uk/QuickGO/term/GO:0030101" TargetMode="External"/><Relationship Id="rId76" Type="http://schemas.openxmlformats.org/officeDocument/2006/relationships/hyperlink" Target="https://www.ebi.ac.uk/QuickGO/term/GO:0032816" TargetMode="External"/><Relationship Id="rId97" Type="http://schemas.openxmlformats.org/officeDocument/2006/relationships/hyperlink" Target="https://www.ebi.ac.uk/QuickGO/term/GO:0035744" TargetMode="External"/><Relationship Id="rId104" Type="http://schemas.openxmlformats.org/officeDocument/2006/relationships/hyperlink" Target="https://www.drugbank.ca/drugs/DB02763" TargetMode="External"/><Relationship Id="rId7" Type="http://schemas.openxmlformats.org/officeDocument/2006/relationships/hyperlink" Target="https://www.ncbi.nlm.nih.gov/pmc/articles/PMC4479222/" TargetMode="External"/><Relationship Id="rId71" Type="http://schemas.openxmlformats.org/officeDocument/2006/relationships/hyperlink" Target="https://www.ebi.ac.uk/QuickGO/term/GO:0032735" TargetMode="External"/><Relationship Id="rId92" Type="http://schemas.openxmlformats.org/officeDocument/2006/relationships/hyperlink" Target="https://www.ebi.ac.uk/QuickGO/term/GO:00420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4259</Words>
  <Characters>24279</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Elizabeth</cp:lastModifiedBy>
  <cp:revision>4</cp:revision>
  <dcterms:created xsi:type="dcterms:W3CDTF">2018-05-11T09:57:00Z</dcterms:created>
  <dcterms:modified xsi:type="dcterms:W3CDTF">2018-05-11T10:14:00Z</dcterms:modified>
</cp:coreProperties>
</file>