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4E56B" w14:textId="77777777" w:rsidR="00EA0A66" w:rsidRDefault="00EA0A66" w:rsidP="00EA0A66">
      <w:pPr>
        <w:pStyle w:val="NormalWeb"/>
        <w:spacing w:before="0" w:beforeAutospacing="0" w:after="0" w:afterAutospacing="0"/>
      </w:pPr>
      <w:r>
        <w:rPr>
          <w:b/>
          <w:bCs/>
          <w:color w:val="000000"/>
        </w:rPr>
        <w:t xml:space="preserve">Gene symbol </w:t>
      </w:r>
    </w:p>
    <w:p w14:paraId="5C0A09FB" w14:textId="77777777" w:rsidR="00A317A0" w:rsidRDefault="00A317A0" w:rsidP="00EA0A66">
      <w:pPr>
        <w:pStyle w:val="NormalWeb"/>
        <w:spacing w:before="0" w:beforeAutospacing="0" w:after="0" w:afterAutospacing="0"/>
        <w:rPr>
          <w:b/>
          <w:bCs/>
          <w:color w:val="000000"/>
        </w:rPr>
      </w:pPr>
      <w:r>
        <w:rPr>
          <w:rFonts w:ascii="Arial" w:hAnsi="Arial" w:cs="Arial"/>
          <w:color w:val="000000"/>
          <w:sz w:val="20"/>
          <w:szCs w:val="20"/>
          <w:shd w:val="clear" w:color="auto" w:fill="FFFFFF"/>
        </w:rPr>
        <w:t>SLC6A4 </w:t>
      </w:r>
      <w:r>
        <w:rPr>
          <w:b/>
          <w:bCs/>
          <w:color w:val="000000"/>
        </w:rPr>
        <w:t xml:space="preserve"> </w:t>
      </w:r>
    </w:p>
    <w:p w14:paraId="28D41AC8" w14:textId="4777DA99" w:rsidR="00EA0A66" w:rsidRDefault="00EA0A66" w:rsidP="00EA0A66">
      <w:pPr>
        <w:pStyle w:val="NormalWeb"/>
        <w:spacing w:before="0" w:beforeAutospacing="0" w:after="0" w:afterAutospacing="0"/>
      </w:pPr>
      <w:r>
        <w:rPr>
          <w:b/>
          <w:bCs/>
          <w:color w:val="000000"/>
        </w:rPr>
        <w:t>Full name of gene</w:t>
      </w:r>
    </w:p>
    <w:p w14:paraId="6859DCED" w14:textId="5FC39588" w:rsidR="00A317A0" w:rsidRDefault="00A317A0" w:rsidP="00EA0A66">
      <w:pPr>
        <w:pStyle w:val="NormalWeb"/>
        <w:spacing w:before="0" w:beforeAutospacing="0" w:after="0" w:afterAutospacing="0"/>
        <w:rPr>
          <w:color w:val="000000"/>
        </w:rPr>
      </w:pPr>
      <w:r w:rsidRPr="00A317A0">
        <w:rPr>
          <w:color w:val="000000"/>
        </w:rPr>
        <w:t xml:space="preserve">(neurotransmitter transporter, serotonin), member 4 </w:t>
      </w:r>
    </w:p>
    <w:p w14:paraId="5E9D8470" w14:textId="52AD95D5" w:rsidR="00EA0A66" w:rsidRDefault="00EA0A66" w:rsidP="00EA0A66">
      <w:pPr>
        <w:pStyle w:val="NormalWeb"/>
        <w:spacing w:before="0" w:beforeAutospacing="0" w:after="0" w:afterAutospacing="0"/>
        <w:rPr>
          <w:b/>
          <w:bCs/>
          <w:color w:val="000000"/>
        </w:rPr>
      </w:pPr>
      <w:r>
        <w:rPr>
          <w:b/>
          <w:bCs/>
          <w:color w:val="000000"/>
        </w:rPr>
        <w:t>Overview</w:t>
      </w:r>
    </w:p>
    <w:p w14:paraId="5D2B8881" w14:textId="6A20B785" w:rsidR="00A317A0" w:rsidRDefault="00A317A0" w:rsidP="00EA0A66">
      <w:pPr>
        <w:pStyle w:val="NormalWeb"/>
        <w:spacing w:before="0" w:beforeAutospacing="0" w:after="0" w:afterAutospacing="0"/>
      </w:pPr>
    </w:p>
    <w:p w14:paraId="042D506C" w14:textId="101F94B6" w:rsidR="00A317A0" w:rsidRDefault="00A317A0" w:rsidP="00EA0A66">
      <w:pPr>
        <w:pStyle w:val="NormalWeb"/>
        <w:spacing w:before="0" w:beforeAutospacing="0" w:after="0" w:afterAutospacing="0"/>
      </w:pPr>
      <w:r w:rsidRPr="00A317A0">
        <w:t>Serotonin transporter whose primary function in the central nervous system involves the regulation of serotonergic signaling via transport of serotonin molecules from the synaptic cleft back into the pre-synaptic terminal for re-utilization. Plays a key role in mediating regulation of the availability of serotonin to other receptors of serotonergic systems. Terminates the action of serotonin and recycles it in a sodium-dependent manner.</w:t>
      </w:r>
    </w:p>
    <w:p w14:paraId="2698B979" w14:textId="77777777" w:rsidR="00A317A0" w:rsidRDefault="00A317A0" w:rsidP="00EA0A66">
      <w:pPr>
        <w:pStyle w:val="NormalWeb"/>
        <w:spacing w:before="0" w:beforeAutospacing="0" w:after="0" w:afterAutospacing="0"/>
      </w:pPr>
    </w:p>
    <w:p w14:paraId="2123363B" w14:textId="45F2E7D3" w:rsidR="00EA0A66" w:rsidRDefault="00EA0A66" w:rsidP="00EA0A66">
      <w:pPr>
        <w:pStyle w:val="NormalWeb"/>
        <w:spacing w:before="0" w:beforeAutospacing="0" w:after="0" w:afterAutospacing="0"/>
      </w:pPr>
      <w:r>
        <w:rPr>
          <w:color w:val="000000"/>
        </w:rPr>
        <w:t>&lt;body highlight brain</w:t>
      </w:r>
      <w:r w:rsidR="00C3349A">
        <w:rPr>
          <w:color w:val="000000"/>
        </w:rPr>
        <w:t xml:space="preserve"> immune system</w:t>
      </w:r>
      <w:r>
        <w:rPr>
          <w:color w:val="000000"/>
        </w:rPr>
        <w:t>&gt;</w:t>
      </w:r>
    </w:p>
    <w:p w14:paraId="5EE444DB" w14:textId="77777777" w:rsidR="00EA0A66" w:rsidRDefault="00EA0A66" w:rsidP="00EA0A66">
      <w:pPr>
        <w:pStyle w:val="NormalWeb"/>
        <w:spacing w:before="0" w:beforeAutospacing="0" w:after="0" w:afterAutospacing="0"/>
      </w:pPr>
      <w:r>
        <w:rPr>
          <w:color w:val="000000"/>
        </w:rPr>
        <w:t xml:space="preserve"> </w:t>
      </w:r>
    </w:p>
    <w:p w14:paraId="76327413" w14:textId="77777777" w:rsidR="00EA0A66" w:rsidRDefault="00EA0A66" w:rsidP="00EA0A66">
      <w:pPr>
        <w:pStyle w:val="NormalWeb"/>
        <w:spacing w:before="0" w:beforeAutospacing="0" w:after="0" w:afterAutospacing="0"/>
      </w:pPr>
      <w:r>
        <w:rPr>
          <w:b/>
          <w:bCs/>
          <w:color w:val="000000"/>
        </w:rPr>
        <w:t>What are some common variants in the gene?  </w:t>
      </w:r>
    </w:p>
    <w:p w14:paraId="089BFA09" w14:textId="77777777" w:rsidR="00EA0A66" w:rsidRDefault="00EA0A66" w:rsidP="00EA0A66">
      <w:pPr>
        <w:pStyle w:val="NormalWeb"/>
        <w:spacing w:before="0" w:beforeAutospacing="0" w:after="0" w:afterAutospacing="0"/>
      </w:pPr>
      <w:r>
        <w:rPr>
          <w:color w:val="000000"/>
        </w:rPr>
        <w:t>There is one well known variant in this gene: T928G (Ser310Ala) polymorphism</w:t>
      </w:r>
    </w:p>
    <w:p w14:paraId="62D3EBEE" w14:textId="77777777" w:rsidR="00EA0A66" w:rsidRDefault="00EA0A66" w:rsidP="00EA0A66">
      <w:pPr>
        <w:pStyle w:val="NormalWeb"/>
        <w:spacing w:before="0" w:beforeAutospacing="0" w:after="0" w:afterAutospacing="0"/>
      </w:pPr>
      <w:r>
        <w:rPr>
          <w:color w:val="000000"/>
        </w:rPr>
        <w:t>[1][6][9]</w:t>
      </w:r>
    </w:p>
    <w:p w14:paraId="770F004B" w14:textId="77777777" w:rsidR="00EA0A66" w:rsidRDefault="00EA0A66" w:rsidP="00EA0A66">
      <w:pPr>
        <w:pStyle w:val="NormalWeb"/>
        <w:spacing w:before="0" w:beforeAutospacing="0" w:after="0" w:afterAutospacing="0"/>
      </w:pPr>
      <w:r>
        <w:rPr>
          <w:color w:val="000000"/>
        </w:rPr>
        <w:t xml:space="preserve"> </w:t>
      </w:r>
    </w:p>
    <w:p w14:paraId="158B4099" w14:textId="77777777" w:rsidR="00EA0A66" w:rsidRDefault="00EA0A66" w:rsidP="00EA0A66">
      <w:pPr>
        <w:pStyle w:val="NormalWeb"/>
        <w:spacing w:before="0" w:beforeAutospacing="0" w:after="0" w:afterAutospacing="0"/>
      </w:pPr>
      <w:r>
        <w:rPr>
          <w:color w:val="000000"/>
        </w:rPr>
        <w:t>This variant is a change at a specific point in the GRIK3 gene from thymine (T) to guanine (G), resulting in incorrect protein formation. This substitution of a single nucleotide is known as a missense variant.</w:t>
      </w:r>
    </w:p>
    <w:p w14:paraId="1A39F118" w14:textId="77777777" w:rsidR="00EA0A66" w:rsidRDefault="00EA0A66" w:rsidP="00EA0A66">
      <w:pPr>
        <w:pStyle w:val="NormalWeb"/>
        <w:spacing w:before="0" w:beforeAutospacing="0" w:after="0" w:afterAutospacing="0"/>
      </w:pPr>
      <w:r>
        <w:rPr>
          <w:color w:val="000000"/>
        </w:rPr>
        <w:t xml:space="preserve"> </w:t>
      </w:r>
    </w:p>
    <w:p w14:paraId="3BE2F272" w14:textId="77777777" w:rsidR="00EA0A66" w:rsidRDefault="00EA0A66" w:rsidP="00EA0A66">
      <w:pPr>
        <w:pStyle w:val="NormalWeb"/>
        <w:spacing w:before="0" w:beforeAutospacing="0" w:after="0" w:afterAutospacing="0"/>
      </w:pPr>
      <w:r>
        <w:rPr>
          <w:b/>
          <w:bCs/>
          <w:color w:val="000000"/>
        </w:rPr>
        <w:t>What does this mean? (Homozygous variant)    </w:t>
      </w:r>
      <w:r>
        <w:rPr>
          <w:rStyle w:val="apple-tab-span"/>
          <w:b/>
          <w:bCs/>
          <w:color w:val="000000"/>
        </w:rPr>
        <w:tab/>
      </w:r>
    </w:p>
    <w:p w14:paraId="064A644A" w14:textId="12B45BDA" w:rsidR="00EA0A66" w:rsidRDefault="00EA0A66" w:rsidP="00EA0A66">
      <w:pPr>
        <w:pStyle w:val="NormalWeb"/>
        <w:spacing w:before="0" w:beforeAutospacing="0" w:after="0" w:afterAutospacing="0"/>
      </w:pPr>
    </w:p>
    <w:p w14:paraId="6EF61DE8" w14:textId="77777777" w:rsidR="00EA0A66" w:rsidRDefault="00EA0A66" w:rsidP="00EA0A66">
      <w:pPr>
        <w:pStyle w:val="NormalWeb"/>
        <w:spacing w:before="0" w:beforeAutospacing="0" w:after="0" w:afterAutospacing="0"/>
      </w:pPr>
      <w:r>
        <w:rPr>
          <w:b/>
          <w:bCs/>
          <w:color w:val="000000"/>
        </w:rPr>
        <w:t xml:space="preserve">What is the effect of this variant? (Homozygous </w:t>
      </w:r>
      <w:proofErr w:type="gramStart"/>
      <w:r>
        <w:rPr>
          <w:b/>
          <w:bCs/>
          <w:color w:val="000000"/>
        </w:rPr>
        <w:t>variant)   </w:t>
      </w:r>
      <w:proofErr w:type="gramEnd"/>
      <w:r>
        <w:rPr>
          <w:b/>
          <w:bCs/>
          <w:color w:val="000000"/>
        </w:rPr>
        <w:t>     </w:t>
      </w:r>
      <w:r>
        <w:rPr>
          <w:rStyle w:val="apple-tab-span"/>
          <w:b/>
          <w:bCs/>
          <w:color w:val="000000"/>
        </w:rPr>
        <w:tab/>
      </w:r>
      <w:r>
        <w:rPr>
          <w:b/>
          <w:bCs/>
          <w:color w:val="000000"/>
        </w:rPr>
        <w:t xml:space="preserve"> (no severity)</w:t>
      </w:r>
    </w:p>
    <w:p w14:paraId="72E641DE" w14:textId="77777777" w:rsidR="00EA0A66" w:rsidRDefault="00EA0A66" w:rsidP="00EA0A66">
      <w:pPr>
        <w:pStyle w:val="NormalWeb"/>
        <w:spacing w:before="0" w:beforeAutospacing="0" w:after="0" w:afterAutospacing="0"/>
      </w:pPr>
      <w:r>
        <w:rPr>
          <w:color w:val="000000"/>
        </w:rPr>
        <w:t>You are at greater risk for schizophrenia, depression, and glutamate problems.  See below for more information.</w:t>
      </w:r>
    </w:p>
    <w:p w14:paraId="0679D3C5" w14:textId="77777777" w:rsidR="00EA0A66" w:rsidRDefault="00EA0A66" w:rsidP="00EA0A66"/>
    <w:p w14:paraId="0ABDD242" w14:textId="77777777" w:rsidR="00EA0A66" w:rsidRDefault="00EA0A66" w:rsidP="00EA0A66">
      <w:pPr>
        <w:pStyle w:val="NormalWeb"/>
        <w:spacing w:before="0" w:beforeAutospacing="0" w:after="0" w:afterAutospacing="0"/>
      </w:pPr>
      <w:r>
        <w:rPr>
          <w:b/>
          <w:bCs/>
          <w:color w:val="000000"/>
        </w:rPr>
        <w:t>How common is this variant in the general population? (Homozygous variant)</w:t>
      </w:r>
    </w:p>
    <w:p w14:paraId="2F37EF77" w14:textId="77777777" w:rsidR="00EA0A66" w:rsidRDefault="00EA0A66" w:rsidP="00EA0A66">
      <w:pPr>
        <w:pStyle w:val="NormalWeb"/>
        <w:spacing w:before="0" w:beforeAutospacing="0" w:after="0" w:afterAutospacing="0"/>
      </w:pPr>
      <w:r>
        <w:rPr>
          <w:color w:val="000000"/>
        </w:rPr>
        <w:t>This variant affects 0.1% of the general population.</w:t>
      </w:r>
    </w:p>
    <w:p w14:paraId="0FEA78A2" w14:textId="77777777" w:rsidR="00EA0A66" w:rsidRDefault="00EA0A66" w:rsidP="00EA0A66">
      <w:pPr>
        <w:pStyle w:val="NormalWeb"/>
        <w:spacing w:before="0" w:beforeAutospacing="0" w:after="0" w:afterAutospacing="0"/>
      </w:pPr>
      <w:r>
        <w:rPr>
          <w:color w:val="000000"/>
        </w:rPr>
        <w:t xml:space="preserve"> </w:t>
      </w:r>
    </w:p>
    <w:p w14:paraId="31228E82" w14:textId="77777777" w:rsidR="00EA0A66" w:rsidRDefault="00EA0A66" w:rsidP="00EA0A66">
      <w:pPr>
        <w:pStyle w:val="NormalWeb"/>
        <w:spacing w:before="0" w:beforeAutospacing="0" w:after="0" w:afterAutospacing="0"/>
      </w:pPr>
      <w:r>
        <w:rPr>
          <w:b/>
          <w:bCs/>
          <w:color w:val="000000"/>
        </w:rPr>
        <w:t>How sure are we? (Homozygous variant)  </w:t>
      </w:r>
    </w:p>
    <w:p w14:paraId="15C1D8C9" w14:textId="77777777" w:rsidR="00EA0A66" w:rsidRDefault="00EA0A66" w:rsidP="00EA0A66">
      <w:pPr>
        <w:pStyle w:val="NormalWeb"/>
        <w:spacing w:before="0" w:beforeAutospacing="0" w:after="0" w:afterAutospacing="0"/>
      </w:pPr>
      <w:r>
        <w:rPr>
          <w:color w:val="000000"/>
        </w:rPr>
        <w:t xml:space="preserve"> </w:t>
      </w:r>
    </w:p>
    <w:p w14:paraId="48A65C67" w14:textId="77777777" w:rsidR="00EA0A66" w:rsidRDefault="00EA0A66" w:rsidP="00EA0A66">
      <w:pPr>
        <w:pStyle w:val="NormalWeb"/>
        <w:spacing w:before="0" w:beforeAutospacing="0" w:after="0" w:afterAutospacing="0"/>
      </w:pPr>
      <w:r>
        <w:rPr>
          <w:b/>
          <w:bCs/>
          <w:color w:val="000000"/>
        </w:rPr>
        <w:t xml:space="preserve">How common is the variant in the ME/CFS community? (Homozygous variant) </w:t>
      </w:r>
    </w:p>
    <w:p w14:paraId="3133BCE7" w14:textId="77777777" w:rsidR="00EA0A66" w:rsidRDefault="00EA0A66" w:rsidP="00EA0A66"/>
    <w:p w14:paraId="28E2A975" w14:textId="77777777" w:rsidR="00EA0A66" w:rsidRDefault="00EA0A66" w:rsidP="00EA0A66">
      <w:pPr>
        <w:pStyle w:val="NormalWeb"/>
        <w:spacing w:before="0" w:beforeAutospacing="0" w:after="0" w:afterAutospacing="0"/>
      </w:pPr>
      <w:r>
        <w:rPr>
          <w:b/>
          <w:bCs/>
          <w:color w:val="000000"/>
        </w:rPr>
        <w:t>What are the effects of variances in GRIK3?</w:t>
      </w:r>
    </w:p>
    <w:p w14:paraId="1A8BC88B" w14:textId="77777777" w:rsidR="00EA0A66" w:rsidRDefault="00EA0A66" w:rsidP="00EA0A66">
      <w:pPr>
        <w:pStyle w:val="NormalWeb"/>
        <w:spacing w:before="0" w:beforeAutospacing="0" w:after="0" w:afterAutospacing="0"/>
      </w:pPr>
      <w:r>
        <w:rPr>
          <w:color w:val="000000"/>
        </w:rPr>
        <w:t xml:space="preserve"> </w:t>
      </w:r>
    </w:p>
    <w:p w14:paraId="7F994A91" w14:textId="77777777" w:rsidR="00EA0A66" w:rsidRDefault="00EA0A66" w:rsidP="00EA0A66">
      <w:pPr>
        <w:pStyle w:val="NormalWeb"/>
        <w:spacing w:before="0" w:beforeAutospacing="0" w:after="0" w:afterAutospacing="0"/>
      </w:pPr>
      <w:r>
        <w:rPr>
          <w:color w:val="000000"/>
        </w:rPr>
        <w:t>The variants in GRIK3 have strong associations with increased risk of schizophrenia, but for most patients this may not change treatment for CFS.  However, its variant’s association with glutamate and other neurological issues may interact with other genes, so we have included it in this disease panel.</w:t>
      </w:r>
    </w:p>
    <w:p w14:paraId="36CEA738" w14:textId="77777777" w:rsidR="00EA0A66" w:rsidRDefault="00EA0A66" w:rsidP="00EA0A66">
      <w:pPr>
        <w:pStyle w:val="NormalWeb"/>
        <w:spacing w:before="0" w:beforeAutospacing="0" w:after="0" w:afterAutospacing="0"/>
      </w:pPr>
      <w:r>
        <w:rPr>
          <w:color w:val="000000"/>
        </w:rPr>
        <w:t xml:space="preserve"> </w:t>
      </w:r>
    </w:p>
    <w:p w14:paraId="30F1E3A4" w14:textId="77777777" w:rsidR="00EA0A66" w:rsidRDefault="00EA0A66" w:rsidP="00EA0A66">
      <w:pPr>
        <w:pStyle w:val="NormalWeb"/>
        <w:spacing w:before="0" w:beforeAutospacing="0" w:after="0" w:afterAutospacing="0"/>
      </w:pPr>
      <w:r>
        <w:rPr>
          <w:b/>
          <w:bCs/>
          <w:color w:val="000000"/>
        </w:rPr>
        <w:t>GRIK3 Variant Effects (no severity or efficiency)</w:t>
      </w:r>
    </w:p>
    <w:p w14:paraId="4AB6CB51" w14:textId="77777777" w:rsidR="00EA0A66" w:rsidRDefault="00EA0A66" w:rsidP="00EA0A66">
      <w:pPr>
        <w:pStyle w:val="NormalWeb"/>
        <w:spacing w:before="0" w:beforeAutospacing="0" w:after="0" w:afterAutospacing="0"/>
      </w:pPr>
      <w:r>
        <w:rPr>
          <w:b/>
          <w:bCs/>
          <w:color w:val="000000"/>
        </w:rPr>
        <w:t xml:space="preserve"> </w:t>
      </w:r>
    </w:p>
    <w:p w14:paraId="61A2B9DE" w14:textId="77777777" w:rsidR="00EA0A66" w:rsidRDefault="00EA0A66" w:rsidP="00EA0A66">
      <w:pPr>
        <w:pStyle w:val="NormalWeb"/>
        <w:spacing w:before="0" w:beforeAutospacing="0" w:after="0" w:afterAutospacing="0"/>
      </w:pPr>
      <w:r>
        <w:rPr>
          <w:color w:val="000000"/>
        </w:rPr>
        <w:t>&lt;Side box: T928G 0.1% population frequency&gt;</w:t>
      </w:r>
    </w:p>
    <w:p w14:paraId="3AC15284" w14:textId="77777777" w:rsidR="00EA0A66" w:rsidRDefault="00EA0A66" w:rsidP="00EA0A66">
      <w:pPr>
        <w:pStyle w:val="NormalWeb"/>
        <w:spacing w:before="0" w:beforeAutospacing="0" w:after="0" w:afterAutospacing="0"/>
      </w:pPr>
      <w:r>
        <w:rPr>
          <w:color w:val="000000"/>
        </w:rPr>
        <w:t xml:space="preserve"> </w:t>
      </w:r>
    </w:p>
    <w:p w14:paraId="70B5D2F3" w14:textId="2C3477A3" w:rsidR="00EA0A66" w:rsidRDefault="00EA0A66" w:rsidP="00EA0A66">
      <w:pPr>
        <w:pStyle w:val="NormalWeb"/>
        <w:spacing w:before="0" w:beforeAutospacing="0" w:after="0" w:afterAutospacing="0"/>
      </w:pPr>
    </w:p>
    <w:p w14:paraId="0A6AA5F2" w14:textId="77777777" w:rsidR="00EA0A66" w:rsidRDefault="00EA0A66" w:rsidP="00EA0A66">
      <w:pPr>
        <w:pStyle w:val="NormalWeb"/>
        <w:spacing w:before="0" w:beforeAutospacing="0" w:after="0" w:afterAutospacing="0"/>
      </w:pPr>
      <w:r>
        <w:rPr>
          <w:b/>
          <w:bCs/>
          <w:color w:val="000000"/>
        </w:rPr>
        <w:lastRenderedPageBreak/>
        <w:t>What should I do about this?</w:t>
      </w:r>
    </w:p>
    <w:p w14:paraId="386CFD85" w14:textId="77777777" w:rsidR="00EA0A66" w:rsidRDefault="00EA0A66" w:rsidP="00EA0A66">
      <w:pPr>
        <w:pStyle w:val="NormalWeb"/>
        <w:spacing w:before="0" w:beforeAutospacing="0" w:after="0" w:afterAutospacing="0"/>
      </w:pPr>
      <w:r>
        <w:rPr>
          <w:b/>
          <w:bCs/>
          <w:color w:val="000000"/>
        </w:rPr>
        <w:t xml:space="preserve"> </w:t>
      </w:r>
    </w:p>
    <w:p w14:paraId="2D763D33" w14:textId="068DF85B" w:rsidR="00EA0A66" w:rsidRDefault="00EA0A66" w:rsidP="00EA0A66">
      <w:pPr>
        <w:pStyle w:val="NormalWeb"/>
        <w:spacing w:before="0" w:beforeAutospacing="0" w:after="0" w:afterAutospacing="0"/>
      </w:pPr>
      <w:r>
        <w:rPr>
          <w:color w:val="000000"/>
        </w:rPr>
        <w:t xml:space="preserve">&lt;symptoms </w:t>
      </w:r>
      <w:r w:rsidR="00C3349A">
        <w:rPr>
          <w:color w:val="000000"/>
        </w:rPr>
        <w:t xml:space="preserve">POTS, immune problems, </w:t>
      </w:r>
      <w:r>
        <w:rPr>
          <w:color w:val="000000"/>
        </w:rPr>
        <w:t>&gt;</w:t>
      </w:r>
    </w:p>
    <w:p w14:paraId="2C16A592" w14:textId="77777777" w:rsidR="00EA0A66" w:rsidRDefault="00EA0A66" w:rsidP="00EA0A66">
      <w:pPr>
        <w:pStyle w:val="NormalWeb"/>
        <w:spacing w:before="0" w:beforeAutospacing="0" w:after="0" w:afterAutospacing="0"/>
      </w:pPr>
      <w:r>
        <w:rPr>
          <w:rStyle w:val="apple-tab-span"/>
          <w:b/>
          <w:bCs/>
          <w:color w:val="000000"/>
        </w:rPr>
        <w:tab/>
      </w:r>
    </w:p>
    <w:p w14:paraId="7AA7DABE" w14:textId="3EA83B4B" w:rsidR="00EA0A66" w:rsidRDefault="00EA0A66" w:rsidP="00E341DF">
      <w:pPr>
        <w:pStyle w:val="NormalWeb"/>
        <w:spacing w:before="0" w:beforeAutospacing="0" w:after="0" w:afterAutospacing="0"/>
        <w:rPr>
          <w:color w:val="000000"/>
          <w:shd w:val="clear" w:color="auto" w:fill="F1F4F5"/>
        </w:rPr>
      </w:pPr>
      <w:r>
        <w:rPr>
          <w:b/>
          <w:bCs/>
          <w:color w:val="000000"/>
        </w:rPr>
        <w:t xml:space="preserve">References </w:t>
      </w:r>
      <w:r>
        <w:rPr>
          <w:rStyle w:val="apple-tab-span"/>
          <w:b/>
          <w:bCs/>
          <w:color w:val="000000"/>
        </w:rPr>
        <w:tab/>
      </w:r>
    </w:p>
    <w:p w14:paraId="70E0BC89" w14:textId="65B30B25" w:rsidR="005B7B0B" w:rsidRDefault="005B7B0B">
      <w:hyperlink r:id="rId5" w:history="1">
        <w:r w:rsidRPr="007D6FA7">
          <w:rPr>
            <w:rStyle w:val="Hyperlink"/>
          </w:rPr>
          <w:t>https://www.ncbi.nlm.nih.gov/pubmed/14592408</w:t>
        </w:r>
      </w:hyperlink>
    </w:p>
    <w:p w14:paraId="65C800A4" w14:textId="5D5AADAC" w:rsidR="005B7B0B" w:rsidRDefault="005B7B0B">
      <w:r w:rsidRPr="005B7B0B">
        <w:t>Association between serotonin transporter gene polymorphism and chronic fatigue syndrome.</w:t>
      </w:r>
    </w:p>
    <w:p w14:paraId="164C69AC" w14:textId="43C93234" w:rsidR="005B7B0B" w:rsidRPr="005B7B0B" w:rsidRDefault="005B7B0B" w:rsidP="005B7B0B">
      <w:pPr>
        <w:shd w:val="clear" w:color="auto" w:fill="FFFFFF"/>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14592408</w:t>
      </w:r>
    </w:p>
    <w:p w14:paraId="42FFBCED" w14:textId="77777777" w:rsidR="005B7B0B" w:rsidRDefault="005B7B0B"/>
    <w:p w14:paraId="7AC583A9" w14:textId="40BD8E0F" w:rsidR="005B7B0B" w:rsidRDefault="005B7B0B">
      <w:r w:rsidRPr="005B7B0B">
        <w:t xml:space="preserve">Interaction between the </w:t>
      </w:r>
      <w:proofErr w:type="spellStart"/>
      <w:r w:rsidRPr="005B7B0B">
        <w:t>hypothalamo</w:t>
      </w:r>
      <w:proofErr w:type="spellEnd"/>
      <w:r w:rsidRPr="005B7B0B">
        <w:t xml:space="preserve">-pituitary-adrenal axis and the serotonergic system </w:t>
      </w:r>
      <w:proofErr w:type="gramStart"/>
      <w:r w:rsidRPr="005B7B0B">
        <w:t>is thought</w:t>
      </w:r>
      <w:proofErr w:type="gramEnd"/>
      <w:r w:rsidRPr="005B7B0B">
        <w:t xml:space="preserve"> to be disrupted in chronic fatigue syndrome (CFS) patients. We examined a serotonin transporter (5-HTT) gene promoter polymorphism, which affects the transcriptional efficiency of 5-HTT, in 78 CFS patients using PCR amplification of the blood genomic DNA. A significant increase of longer (L and XL) </w:t>
      </w:r>
      <w:proofErr w:type="spellStart"/>
      <w:r w:rsidRPr="005B7B0B">
        <w:t>alleic</w:t>
      </w:r>
      <w:proofErr w:type="spellEnd"/>
      <w:r w:rsidRPr="005B7B0B">
        <w:t xml:space="preserve"> variants was found in the CFS patients compared to the controls both by the genotype-wise and the allele-wise analyses (both p&lt;0.05, by </w:t>
      </w:r>
      <w:proofErr w:type="gramStart"/>
      <w:r w:rsidRPr="005B7B0B">
        <w:t>chi(</w:t>
      </w:r>
      <w:proofErr w:type="gramEnd"/>
      <w:r w:rsidRPr="005B7B0B">
        <w:t>2) test and Fisher's exact test). Attenuated concentration of extracellular serotonin due to longer variants may cause higher susceptibility to CFS.</w:t>
      </w:r>
    </w:p>
    <w:p w14:paraId="1B552AF5" w14:textId="2D5DAE34" w:rsidR="005B7B0B" w:rsidRDefault="005B7B0B"/>
    <w:p w14:paraId="7DF0D961" w14:textId="1C1DE09C" w:rsidR="005B7B0B" w:rsidRDefault="005B7B0B">
      <w:hyperlink r:id="rId6" w:history="1">
        <w:r w:rsidRPr="007D6FA7">
          <w:rPr>
            <w:rStyle w:val="Hyperlink"/>
          </w:rPr>
          <w:t>https://www.ncbi.nlm.nih.gov/pubmed/17414739</w:t>
        </w:r>
      </w:hyperlink>
    </w:p>
    <w:p w14:paraId="0FCB257D" w14:textId="017B4990" w:rsidR="005B7B0B" w:rsidRDefault="005B7B0B">
      <w:r w:rsidRPr="005B7B0B">
        <w:t>Serotonin transporter polymorphisms and the occurrence of adverse events during treatment with selective serotonin reuptake inhibitors.</w:t>
      </w:r>
    </w:p>
    <w:p w14:paraId="114E96B2" w14:textId="33228CEE" w:rsidR="005B7B0B" w:rsidRDefault="005B7B0B" w:rsidP="005B7B0B">
      <w:pPr>
        <w:shd w:val="clear" w:color="auto" w:fill="FFFFFF"/>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17414739</w:t>
      </w:r>
      <w:r>
        <w:rPr>
          <w:rFonts w:ascii="Arial" w:hAnsi="Arial" w:cs="Arial"/>
          <w:color w:val="575757"/>
          <w:sz w:val="17"/>
          <w:szCs w:val="17"/>
          <w:shd w:val="clear" w:color="auto" w:fill="FFFFFF"/>
        </w:rPr>
        <w:t> </w:t>
      </w:r>
    </w:p>
    <w:p w14:paraId="197290E3" w14:textId="28F13E9E" w:rsidR="005B7B0B" w:rsidRDefault="005B7B0B" w:rsidP="005B7B0B">
      <w:pPr>
        <w:shd w:val="clear" w:color="auto" w:fill="FFFFFF"/>
        <w:rPr>
          <w:rFonts w:ascii="Arial" w:hAnsi="Arial" w:cs="Arial"/>
          <w:color w:val="575757"/>
          <w:sz w:val="17"/>
          <w:szCs w:val="17"/>
        </w:rPr>
      </w:pPr>
      <w:r>
        <w:rPr>
          <w:rFonts w:ascii="Arial" w:hAnsi="Arial" w:cs="Arial"/>
          <w:color w:val="575757"/>
          <w:sz w:val="17"/>
          <w:szCs w:val="17"/>
        </w:rPr>
        <w:t>DOI:</w:t>
      </w:r>
      <w:r>
        <w:rPr>
          <w:rFonts w:ascii="Arial" w:hAnsi="Arial" w:cs="Arial"/>
          <w:color w:val="575757"/>
          <w:sz w:val="17"/>
          <w:szCs w:val="17"/>
        </w:rPr>
        <w:t xml:space="preserve"> </w:t>
      </w:r>
      <w:hyperlink r:id="rId7" w:tgtFrame="_blank" w:history="1">
        <w:r>
          <w:rPr>
            <w:rStyle w:val="Hyperlink"/>
            <w:rFonts w:ascii="Arial" w:hAnsi="Arial" w:cs="Arial"/>
            <w:color w:val="333333"/>
            <w:sz w:val="17"/>
            <w:szCs w:val="17"/>
          </w:rPr>
          <w:t>10.1097/YIC.0b013e328014822a</w:t>
        </w:r>
      </w:hyperlink>
    </w:p>
    <w:p w14:paraId="71C1CE36" w14:textId="619CBB98" w:rsidR="005B7B0B" w:rsidRDefault="005B7B0B">
      <w:r w:rsidRPr="005B7B0B">
        <w:t>During treatment with selective serotonin reuptake inhibitors, some patients experience adverse events whereas others do not. This study evaluates the association between adverse events during selective serotonin reuptake inhibitor treatment and two polymorphisms in the serotonin transporter (5-HTTLPR) gene. Patients with the 5-HTTLPR s/s or s/l genotype appeared to have an increased risk of adverse events, especially general adverse events (dermatologic reactions, weight change and fatigue); odds ratio 1.77 (95% confidence interval 0.80-3.92) for the s/s genotype, odds ratio 2.37 (95% confidence interval 1.13-4.96) for the s/l genotype. Our findings indicate that patients with the 5-HTTLPR s/s or s/l genotype have an increased risk of developing adverse events during selective serotonin reuptake inhibitor treatment.</w:t>
      </w:r>
    </w:p>
    <w:p w14:paraId="54D5B2C0" w14:textId="77777777" w:rsidR="005B7B0B" w:rsidRDefault="005B7B0B"/>
    <w:p w14:paraId="72A96F89" w14:textId="4CEE00AD" w:rsidR="005B7B0B" w:rsidRDefault="005B7B0B">
      <w:hyperlink r:id="rId8" w:history="1">
        <w:r w:rsidRPr="007D6FA7">
          <w:rPr>
            <w:rStyle w:val="Hyperlink"/>
          </w:rPr>
          <w:t>https://www.ncbi.nlm.nih.gov/pubmed/18079067</w:t>
        </w:r>
      </w:hyperlink>
    </w:p>
    <w:p w14:paraId="51EA03E7" w14:textId="07BF97E9" w:rsidR="005B7B0B" w:rsidRDefault="005B7B0B">
      <w:r w:rsidRPr="005B7B0B">
        <w:t>Genetic evaluation of the serotonergic system in chronic fatigue syndrome.</w:t>
      </w:r>
    </w:p>
    <w:p w14:paraId="7191F6A2" w14:textId="12D264C1" w:rsidR="005B7B0B" w:rsidRDefault="005B7B0B" w:rsidP="005B7B0B">
      <w:pPr>
        <w:shd w:val="clear" w:color="auto" w:fill="FFFFFF"/>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18079067</w:t>
      </w:r>
    </w:p>
    <w:p w14:paraId="46ACAE79" w14:textId="73BBBD51" w:rsidR="005B7B0B" w:rsidRDefault="005B7B0B" w:rsidP="005B7B0B">
      <w:pPr>
        <w:shd w:val="clear" w:color="auto" w:fill="FFFFFF"/>
        <w:rPr>
          <w:rFonts w:ascii="Arial" w:hAnsi="Arial" w:cs="Arial"/>
          <w:color w:val="575757"/>
          <w:sz w:val="17"/>
          <w:szCs w:val="17"/>
        </w:rPr>
      </w:pPr>
      <w:r>
        <w:rPr>
          <w:rFonts w:ascii="Arial" w:hAnsi="Arial" w:cs="Arial"/>
          <w:color w:val="575757"/>
          <w:sz w:val="17"/>
          <w:szCs w:val="17"/>
        </w:rPr>
        <w:t>DOI:</w:t>
      </w:r>
      <w:r>
        <w:rPr>
          <w:rFonts w:ascii="Arial" w:hAnsi="Arial" w:cs="Arial"/>
          <w:color w:val="575757"/>
          <w:sz w:val="17"/>
          <w:szCs w:val="17"/>
        </w:rPr>
        <w:t xml:space="preserve"> </w:t>
      </w:r>
      <w:hyperlink r:id="rId9" w:tgtFrame="_blank" w:history="1">
        <w:r>
          <w:rPr>
            <w:rStyle w:val="Hyperlink"/>
            <w:rFonts w:ascii="Arial" w:hAnsi="Arial" w:cs="Arial"/>
            <w:color w:val="333333"/>
            <w:sz w:val="17"/>
            <w:szCs w:val="17"/>
          </w:rPr>
          <w:t>10.1016/j.psyneuen.2007.11.001</w:t>
        </w:r>
      </w:hyperlink>
    </w:p>
    <w:p w14:paraId="5C338448" w14:textId="5E46A647" w:rsidR="005B7B0B" w:rsidRDefault="005B7B0B">
      <w:r w:rsidRPr="005B7B0B">
        <w:t xml:space="preserve">Chronic fatigue syndrome (CFS) is a debilitating disorder of unknown etiology with no known lesions, diagnostic </w:t>
      </w:r>
      <w:proofErr w:type="gramStart"/>
      <w:r w:rsidRPr="005B7B0B">
        <w:t>markers</w:t>
      </w:r>
      <w:proofErr w:type="gramEnd"/>
      <w:r w:rsidRPr="005B7B0B">
        <w:t xml:space="preserve"> or therapeutic intervention. The pathophysiology of CFS remains elusive, although abnormalities in the central nervous system (CNS) have </w:t>
      </w:r>
      <w:proofErr w:type="gramStart"/>
      <w:r w:rsidRPr="005B7B0B">
        <w:t>been implicated</w:t>
      </w:r>
      <w:proofErr w:type="gramEnd"/>
      <w:r w:rsidRPr="005B7B0B">
        <w:t xml:space="preserve">, particularly hyperactivity of the serotonergic (5-hydroxytryptamine; 5-HT) system and hypoactivity of the hypothalamic-pituitary-adrenal (HPA) axis. Since alterations in 5-HT signaling can lead to physiologic and behavioral changes, a genetic evaluation of the 5-HT system </w:t>
      </w:r>
      <w:proofErr w:type="gramStart"/>
      <w:r w:rsidRPr="005B7B0B">
        <w:t>was undertaken</w:t>
      </w:r>
      <w:proofErr w:type="gramEnd"/>
      <w:r w:rsidRPr="005B7B0B">
        <w:t xml:space="preserve"> to identify serotonergic markers associated with CFS and potential mechanisms for CNS abnormality. A total of 77 polymorphisms in genes related to serotonin synthesis (TPH2), signaling (HTR1A, HTR1E, HTR2A, HTR2B, HTR2C, HTR3A, HTR3B, HTR4, HTR5A, HTR6, and HTR7), transport (SLC6A4), and catabolism (MAOA) were examined in 137 clinically evaluated subjects (40 CFS, 55 with insufficient fatigue, and 42 non-</w:t>
      </w:r>
      <w:r w:rsidRPr="005B7B0B">
        <w:lastRenderedPageBreak/>
        <w:t xml:space="preserve">fatigued, NF, controls) derived from a population-based CFS surveillance study in Wichita, Kansas. Of the polymorphisms examined, three markers (-1438G/A, C102T, and rs1923884) all located in the 5-HT receptor subtype HTR2A were associated with CFS when compared to NF controls. Additionally, consistent associations </w:t>
      </w:r>
      <w:proofErr w:type="gramStart"/>
      <w:r w:rsidRPr="005B7B0B">
        <w:t>were observed</w:t>
      </w:r>
      <w:proofErr w:type="gramEnd"/>
      <w:r w:rsidRPr="005B7B0B">
        <w:t xml:space="preserve"> between HTR2A variants and quantitative measures of disability and fatigue in all subjects. The most compelling of these associations was with the A allele of -1438G/A (rs6311) which </w:t>
      </w:r>
      <w:proofErr w:type="gramStart"/>
      <w:r w:rsidRPr="005B7B0B">
        <w:t>is suggested</w:t>
      </w:r>
      <w:proofErr w:type="gramEnd"/>
      <w:r w:rsidRPr="005B7B0B">
        <w:t xml:space="preserve"> to have increased promoter activity in functional studies. Further, in silico analysis revealed that the -1438 A allele creates a consensus binding site for Th1/E47, a transcription factor implicated in the development of the nervous system. Electrophoretic mobility shift assay supports allele-specific binding of E47 to the A allele but not the G allele at this locus. These data indicate that sequence variation in HTR2A, potentially resulting in its enhanced activity, may be involved in the pathophysiology of CFS.</w:t>
      </w:r>
    </w:p>
    <w:p w14:paraId="5765D79F" w14:textId="790DC2D4" w:rsidR="004D2D4F" w:rsidRDefault="004D2D4F"/>
    <w:p w14:paraId="1FF83794" w14:textId="0F6F57FD" w:rsidR="004D2D4F" w:rsidRDefault="004D2D4F">
      <w:hyperlink r:id="rId10" w:history="1">
        <w:r w:rsidRPr="007D6FA7">
          <w:rPr>
            <w:rStyle w:val="Hyperlink"/>
          </w:rPr>
          <w:t>https://www.ncbi.nlm.nih.gov/pubmed/19704949</w:t>
        </w:r>
      </w:hyperlink>
    </w:p>
    <w:p w14:paraId="600EECA6" w14:textId="7D500B02" w:rsidR="005B7B0B" w:rsidRDefault="004D2D4F">
      <w:r w:rsidRPr="004D2D4F">
        <w:t>Gender effects on association of serotonin transporter gene polymorphism with symptoms of central fatigue.</w:t>
      </w:r>
    </w:p>
    <w:p w14:paraId="0D4FBCE1" w14:textId="7EBA4633" w:rsidR="004D2D4F" w:rsidRDefault="004D2D4F" w:rsidP="004D2D4F">
      <w:pPr>
        <w:shd w:val="clear" w:color="auto" w:fill="FFFFFF"/>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19704949</w:t>
      </w:r>
    </w:p>
    <w:p w14:paraId="156A5A36" w14:textId="3C1BC618" w:rsidR="005B7B0B" w:rsidRDefault="004D2D4F">
      <w:proofErr w:type="gramStart"/>
      <w:r w:rsidRPr="004D2D4F">
        <w:t>In order to</w:t>
      </w:r>
      <w:proofErr w:type="gramEnd"/>
      <w:r w:rsidRPr="004D2D4F">
        <w:t xml:space="preserve"> test the "serotonin" hypothesis of the genesis of central fatigue, we studied association between genotype and fatigue (3-hour mental workload consisting of information processing and logical task solution) using analysis of variance for different indices (well-being, activity, mood, mental fatigue index). It </w:t>
      </w:r>
      <w:proofErr w:type="gramStart"/>
      <w:r w:rsidRPr="004D2D4F">
        <w:t>was concluded</w:t>
      </w:r>
      <w:proofErr w:type="gramEnd"/>
      <w:r w:rsidRPr="004D2D4F">
        <w:t xml:space="preserve"> that young men with serotonin deficit (LL genotype) and girls with serotonin excess (S genotype) were less tolerant to long-lasting mental workload. Thus, we confirmed that the degree of central fatigue depends on the function of the serotonin system and revealed gender differences in adaptive capacities of carriers of different variants of serotonin transporter.</w:t>
      </w:r>
    </w:p>
    <w:p w14:paraId="108B53D3" w14:textId="4C1B759B" w:rsidR="004D2D4F" w:rsidRDefault="004D2D4F"/>
    <w:p w14:paraId="547B9EBD" w14:textId="47A98BAA" w:rsidR="004D2D4F" w:rsidRDefault="004D2D4F">
      <w:hyperlink r:id="rId11" w:history="1">
        <w:r w:rsidRPr="007D6FA7">
          <w:rPr>
            <w:rStyle w:val="Hyperlink"/>
          </w:rPr>
          <w:t>https://www.ncbi.nlm.nih.gov/pubmed/25040499</w:t>
        </w:r>
      </w:hyperlink>
    </w:p>
    <w:p w14:paraId="6A670BF3" w14:textId="04B02406" w:rsidR="004D2D4F" w:rsidRDefault="004D2D4F">
      <w:r w:rsidRPr="004D2D4F">
        <w:t>Induction of interleukin-1β by activated microglia is a prerequisite for immunologically induced fatigue.</w:t>
      </w:r>
    </w:p>
    <w:p w14:paraId="641A9506" w14:textId="1C7F03A5" w:rsidR="004D2D4F" w:rsidRPr="004D2D4F" w:rsidRDefault="004D2D4F" w:rsidP="004D2D4F">
      <w:pPr>
        <w:shd w:val="clear" w:color="auto" w:fill="FFFFFF"/>
        <w:rPr>
          <w:rFonts w:ascii="Arial" w:hAnsi="Arial" w:cs="Arial"/>
          <w:color w:val="575757"/>
          <w:sz w:val="17"/>
          <w:szCs w:val="17"/>
        </w:rPr>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25040499</w:t>
      </w:r>
    </w:p>
    <w:p w14:paraId="7F85A3E3" w14:textId="641C36AF" w:rsidR="004D2D4F" w:rsidRDefault="004D2D4F" w:rsidP="004D2D4F">
      <w:pPr>
        <w:shd w:val="clear" w:color="auto" w:fill="FFFFFF"/>
        <w:rPr>
          <w:rFonts w:ascii="Arial" w:hAnsi="Arial" w:cs="Arial"/>
          <w:color w:val="575757"/>
          <w:sz w:val="17"/>
          <w:szCs w:val="17"/>
        </w:rPr>
      </w:pPr>
      <w:r>
        <w:rPr>
          <w:rFonts w:ascii="Arial" w:hAnsi="Arial" w:cs="Arial"/>
          <w:color w:val="575757"/>
          <w:sz w:val="17"/>
          <w:szCs w:val="17"/>
        </w:rPr>
        <w:t>DOI:</w:t>
      </w:r>
      <w:r>
        <w:rPr>
          <w:rFonts w:ascii="Arial" w:hAnsi="Arial" w:cs="Arial"/>
          <w:color w:val="575757"/>
          <w:sz w:val="17"/>
          <w:szCs w:val="17"/>
        </w:rPr>
        <w:t xml:space="preserve"> </w:t>
      </w:r>
      <w:hyperlink r:id="rId12" w:tgtFrame="_blank" w:history="1">
        <w:r>
          <w:rPr>
            <w:rStyle w:val="Hyperlink"/>
            <w:rFonts w:ascii="Arial" w:hAnsi="Arial" w:cs="Arial"/>
            <w:color w:val="333333"/>
            <w:sz w:val="17"/>
            <w:szCs w:val="17"/>
          </w:rPr>
          <w:t>10.1111/ejn.12668</w:t>
        </w:r>
      </w:hyperlink>
    </w:p>
    <w:p w14:paraId="74629DC5" w14:textId="4DAE8D1E" w:rsidR="004D2D4F" w:rsidRDefault="004D2D4F">
      <w:r w:rsidRPr="004D2D4F">
        <w:t xml:space="preserve">The poly-I:C-induced fatigue was associated with serotonin transporter (5-HTT) overexpression in the prefrontal cortex (PFC), a brain region that has </w:t>
      </w:r>
      <w:proofErr w:type="gramStart"/>
      <w:r w:rsidRPr="004D2D4F">
        <w:t>been suggested</w:t>
      </w:r>
      <w:proofErr w:type="gramEnd"/>
      <w:r w:rsidRPr="004D2D4F">
        <w:t xml:space="preserve"> to be critical for fatigue sensation. We therefore propose that poly-I:C-induced microglial activation, which may </w:t>
      </w:r>
      <w:proofErr w:type="gramStart"/>
      <w:r w:rsidRPr="004D2D4F">
        <w:t>be at least partly caused</w:t>
      </w:r>
      <w:proofErr w:type="gramEnd"/>
      <w:r w:rsidRPr="004D2D4F">
        <w:t xml:space="preserve"> by a direct action of poly-I:C, enhances IL-1β expression. Then, IL-1β induces 5-HTT expression in astrocytes, resulting in the immunologically induced fatigue.</w:t>
      </w:r>
    </w:p>
    <w:p w14:paraId="040EA3BF" w14:textId="3C689748" w:rsidR="005B7B0B" w:rsidRDefault="005B7B0B"/>
    <w:p w14:paraId="138087C4" w14:textId="7BF9B5B5" w:rsidR="004D2D4F" w:rsidRDefault="004D2D4F">
      <w:hyperlink r:id="rId13" w:history="1">
        <w:r w:rsidRPr="007D6FA7">
          <w:rPr>
            <w:rStyle w:val="Hyperlink"/>
          </w:rPr>
          <w:t>https://www.ncbi.nlm.nih.gov/pubmed/26473596</w:t>
        </w:r>
      </w:hyperlink>
    </w:p>
    <w:p w14:paraId="0E37040F" w14:textId="68FA3A6B" w:rsidR="004D2D4F" w:rsidRDefault="004D2D4F">
      <w:r w:rsidRPr="004D2D4F">
        <w:t>Maintenance of Chronic Fatigue Syndrome (CFS) in Young CFS Patients Is Associated with the 5-HTTLPR and SNP rs25531 A &gt; G Genotype.</w:t>
      </w:r>
    </w:p>
    <w:p w14:paraId="45D08EEB" w14:textId="08863FEB" w:rsidR="004D2D4F" w:rsidRDefault="004D2D4F" w:rsidP="004D2D4F">
      <w:pPr>
        <w:shd w:val="clear" w:color="auto" w:fill="FFFFFF"/>
      </w:pPr>
      <w:r>
        <w:rPr>
          <w:rFonts w:ascii="Arial" w:hAnsi="Arial" w:cs="Arial"/>
          <w:color w:val="575757"/>
          <w:sz w:val="17"/>
          <w:szCs w:val="17"/>
        </w:rPr>
        <w:t>PMID:</w:t>
      </w:r>
      <w:r>
        <w:rPr>
          <w:rFonts w:ascii="Arial" w:hAnsi="Arial" w:cs="Arial"/>
          <w:color w:val="575757"/>
          <w:sz w:val="17"/>
          <w:szCs w:val="17"/>
        </w:rPr>
        <w:t xml:space="preserve"> </w:t>
      </w:r>
      <w:r>
        <w:rPr>
          <w:rFonts w:ascii="Arial" w:hAnsi="Arial" w:cs="Arial"/>
          <w:color w:val="575757"/>
          <w:sz w:val="17"/>
          <w:szCs w:val="17"/>
        </w:rPr>
        <w:t>26473596</w:t>
      </w:r>
      <w:r>
        <w:rPr>
          <w:rFonts w:ascii="Arial" w:hAnsi="Arial" w:cs="Arial"/>
          <w:color w:val="575757"/>
          <w:sz w:val="17"/>
          <w:szCs w:val="17"/>
          <w:shd w:val="clear" w:color="auto" w:fill="FFFFFF"/>
        </w:rPr>
        <w:t> </w:t>
      </w:r>
    </w:p>
    <w:p w14:paraId="5FB96FFC" w14:textId="1090B4D4" w:rsidR="004D2D4F" w:rsidRDefault="004D2D4F" w:rsidP="004D2D4F">
      <w:pPr>
        <w:shd w:val="clear" w:color="auto" w:fill="FFFFFF"/>
      </w:pPr>
      <w:r>
        <w:rPr>
          <w:rFonts w:ascii="Arial" w:hAnsi="Arial" w:cs="Arial"/>
          <w:color w:val="575757"/>
          <w:sz w:val="17"/>
          <w:szCs w:val="17"/>
        </w:rPr>
        <w:t>PMCID:</w:t>
      </w:r>
      <w:r>
        <w:rPr>
          <w:rFonts w:ascii="Arial" w:hAnsi="Arial" w:cs="Arial"/>
          <w:color w:val="575757"/>
          <w:sz w:val="17"/>
          <w:szCs w:val="17"/>
        </w:rPr>
        <w:t xml:space="preserve"> </w:t>
      </w:r>
      <w:hyperlink r:id="rId14" w:history="1">
        <w:r>
          <w:rPr>
            <w:rStyle w:val="Hyperlink"/>
            <w:rFonts w:ascii="Arial" w:hAnsi="Arial" w:cs="Arial"/>
            <w:color w:val="333333"/>
            <w:sz w:val="17"/>
            <w:szCs w:val="17"/>
          </w:rPr>
          <w:t>PMC4608737</w:t>
        </w:r>
      </w:hyperlink>
      <w:r>
        <w:rPr>
          <w:rFonts w:ascii="Arial" w:hAnsi="Arial" w:cs="Arial"/>
          <w:color w:val="575757"/>
          <w:sz w:val="17"/>
          <w:szCs w:val="17"/>
          <w:shd w:val="clear" w:color="auto" w:fill="FFFFFF"/>
        </w:rPr>
        <w:t> </w:t>
      </w:r>
    </w:p>
    <w:p w14:paraId="62A0027F" w14:textId="41A19D5F" w:rsidR="004D2D4F" w:rsidRDefault="004D2D4F" w:rsidP="004D2D4F">
      <w:pPr>
        <w:shd w:val="clear" w:color="auto" w:fill="FFFFFF"/>
        <w:rPr>
          <w:rFonts w:ascii="Arial" w:hAnsi="Arial" w:cs="Arial"/>
          <w:color w:val="575757"/>
          <w:sz w:val="17"/>
          <w:szCs w:val="17"/>
        </w:rPr>
      </w:pPr>
      <w:r>
        <w:rPr>
          <w:rFonts w:ascii="Arial" w:hAnsi="Arial" w:cs="Arial"/>
          <w:color w:val="575757"/>
          <w:sz w:val="17"/>
          <w:szCs w:val="17"/>
        </w:rPr>
        <w:t>DOI:</w:t>
      </w:r>
      <w:r>
        <w:rPr>
          <w:rFonts w:ascii="Arial" w:hAnsi="Arial" w:cs="Arial"/>
          <w:color w:val="575757"/>
          <w:sz w:val="17"/>
          <w:szCs w:val="17"/>
        </w:rPr>
        <w:t xml:space="preserve"> </w:t>
      </w:r>
      <w:hyperlink r:id="rId15" w:tgtFrame="_blank" w:history="1">
        <w:r>
          <w:rPr>
            <w:rStyle w:val="Hyperlink"/>
            <w:rFonts w:ascii="Arial" w:hAnsi="Arial" w:cs="Arial"/>
            <w:color w:val="333333"/>
            <w:sz w:val="17"/>
            <w:szCs w:val="17"/>
          </w:rPr>
          <w:t>10.1371/journal.pone.0140883</w:t>
        </w:r>
      </w:hyperlink>
    </w:p>
    <w:p w14:paraId="701F1B27" w14:textId="7461989B" w:rsidR="004D2D4F" w:rsidRPr="004D2D4F" w:rsidRDefault="004D2D4F" w:rsidP="004D2D4F"/>
    <w:p w14:paraId="5F2872CF" w14:textId="3FDF7230" w:rsidR="004D2D4F" w:rsidRDefault="004D2D4F" w:rsidP="004D2D4F">
      <w:r w:rsidRPr="004D2D4F">
        <w:t xml:space="preserve">Earlier studies have shown that genetic variability in the SLC6A4 gene encoding the serotonin transporter (5-HTT) may be important for the re-uptake of serotonin (5-HT) in the central nervous system. In the present study we investigated how the 5-HTT genotype i.e. the short (S) versus long (L) 5-HTTLPR allele and the SNP rs25531 A &gt; G affect the physical and </w:t>
      </w:r>
      <w:r w:rsidRPr="004D2D4F">
        <w:lastRenderedPageBreak/>
        <w:t>psychosocial functioning in patients with chronic fatigue syndrome (CFS). Patients with the 5-HTT SS or SLG genotype had a significantly lower number of steps per day than patients with the 5-HTT LALG, SLA or LALA genotype. Patients with the 5-HTT SS or SLG genotype also had a significantly higher FDI score than patients with the 5-HTT LALG, SLA or LALA genotype. Thus, CFS patients with the 5-HTT SS or SLG genotype had worse 30 weeks outcome than CFS patients with the 5-HTT LALG, SLA or LALA genotype. The present study suggests that the 5-HTT genotype may be a factor that contributes to maintenance of CFS.</w:t>
      </w:r>
    </w:p>
    <w:p w14:paraId="7A2C73ED" w14:textId="166838CC" w:rsidR="006016D8" w:rsidRDefault="006016D8" w:rsidP="004D2D4F"/>
    <w:p w14:paraId="7B87F7C0" w14:textId="77777777" w:rsidR="006016D8" w:rsidRDefault="006016D8" w:rsidP="006016D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SLC6A4 gene encodes the serotonin transporter, a membrane protein that takes up serotonin in pre-synaptic neurons. SLC6A4 is also known as SERT or 5-HTT, since serotonin is known chemically as 5-hydroxytryptamine. The serotonin system has </w:t>
      </w:r>
      <w:proofErr w:type="gramStart"/>
      <w:r>
        <w:rPr>
          <w:rFonts w:ascii="Helvetica" w:hAnsi="Helvetica" w:cs="Helvetica"/>
          <w:color w:val="333333"/>
          <w:sz w:val="21"/>
          <w:szCs w:val="21"/>
        </w:rPr>
        <w:t>been studied</w:t>
      </w:r>
      <w:proofErr w:type="gramEnd"/>
      <w:r>
        <w:rPr>
          <w:rFonts w:ascii="Helvetica" w:hAnsi="Helvetica" w:cs="Helvetica"/>
          <w:color w:val="333333"/>
          <w:sz w:val="21"/>
          <w:szCs w:val="21"/>
        </w:rPr>
        <w:t xml:space="preserve"> in many </w:t>
      </w:r>
      <w:proofErr w:type="spellStart"/>
      <w:r>
        <w:rPr>
          <w:rFonts w:ascii="Helvetica" w:hAnsi="Helvetica" w:cs="Helvetica"/>
          <w:color w:val="333333"/>
          <w:sz w:val="21"/>
          <w:szCs w:val="21"/>
        </w:rPr>
        <w:t>behavioural</w:t>
      </w:r>
      <w:proofErr w:type="spellEnd"/>
      <w:r>
        <w:rPr>
          <w:rFonts w:ascii="Helvetica" w:hAnsi="Helvetica" w:cs="Helvetica"/>
          <w:color w:val="333333"/>
          <w:sz w:val="21"/>
          <w:szCs w:val="21"/>
        </w:rPr>
        <w:t xml:space="preserve"> and physiological conditions.</w:t>
      </w:r>
    </w:p>
    <w:p w14:paraId="2A386861" w14:textId="77777777" w:rsidR="006016D8" w:rsidRDefault="006016D8" w:rsidP="006016D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 wide range of psychiatric disorders or conditions may involve serotonin processing. The main variants of the SLC6A4 gene that have </w:t>
      </w:r>
      <w:proofErr w:type="gramStart"/>
      <w:r>
        <w:rPr>
          <w:rFonts w:ascii="Helvetica" w:hAnsi="Helvetica" w:cs="Helvetica"/>
          <w:color w:val="333333"/>
          <w:sz w:val="21"/>
          <w:szCs w:val="21"/>
        </w:rPr>
        <w:t>been studied</w:t>
      </w:r>
      <w:proofErr w:type="gramEnd"/>
      <w:r>
        <w:rPr>
          <w:rFonts w:ascii="Helvetica" w:hAnsi="Helvetica" w:cs="Helvetica"/>
          <w:color w:val="333333"/>
          <w:sz w:val="21"/>
          <w:szCs w:val="21"/>
        </w:rPr>
        <w:t xml:space="preserve">, however, are not SNPs - they are short tandem repeats, also known as VNTRs (variable number tandem repeats). A review of the two VNTR polymorphisms and their potential links to human </w:t>
      </w:r>
      <w:proofErr w:type="spellStart"/>
      <w:r>
        <w:rPr>
          <w:rFonts w:ascii="Helvetica" w:hAnsi="Helvetica" w:cs="Helvetica"/>
          <w:color w:val="333333"/>
          <w:sz w:val="21"/>
          <w:szCs w:val="21"/>
        </w:rPr>
        <w:t>behaviour</w:t>
      </w:r>
      <w:proofErr w:type="spellEnd"/>
      <w:r>
        <w:rPr>
          <w:rFonts w:ascii="Helvetica" w:hAnsi="Helvetica" w:cs="Helvetica"/>
          <w:color w:val="333333"/>
          <w:sz w:val="21"/>
          <w:szCs w:val="21"/>
        </w:rPr>
        <w:t xml:space="preserve"> is available. [</w:t>
      </w:r>
      <w:hyperlink r:id="rId16" w:history="1">
        <w:r>
          <w:rPr>
            <w:rStyle w:val="Hyperlink"/>
            <w:rFonts w:ascii="Helvetica" w:hAnsi="Helvetica" w:cs="Helvetica"/>
            <w:color w:val="1D4568"/>
            <w:sz w:val="21"/>
            <w:szCs w:val="21"/>
            <w:u w:val="none"/>
          </w:rPr>
          <w:t>PMID 17168841</w:t>
        </w:r>
      </w:hyperlink>
      <w:r>
        <w:rPr>
          <w:rFonts w:ascii="Helvetica" w:hAnsi="Helvetica" w:cs="Helvetica"/>
          <w:color w:val="333333"/>
          <w:sz w:val="21"/>
          <w:szCs w:val="21"/>
        </w:rPr>
        <w:t>]</w:t>
      </w:r>
    </w:p>
    <w:p w14:paraId="51090CCE" w14:textId="77777777" w:rsidR="006016D8" w:rsidRDefault="006016D8" w:rsidP="006016D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One such polymorphism is known as the </w:t>
      </w:r>
      <w:bookmarkStart w:id="0" w:name="_GoBack"/>
      <w:r>
        <w:rPr>
          <w:rFonts w:ascii="Helvetica" w:hAnsi="Helvetica" w:cs="Helvetica"/>
          <w:color w:val="333333"/>
          <w:sz w:val="21"/>
          <w:szCs w:val="21"/>
        </w:rPr>
        <w:t xml:space="preserve">5-HTTLPR </w:t>
      </w:r>
      <w:bookmarkEnd w:id="0"/>
      <w:r>
        <w:rPr>
          <w:rFonts w:ascii="Helvetica" w:hAnsi="Helvetica" w:cs="Helvetica"/>
          <w:color w:val="333333"/>
          <w:sz w:val="21"/>
          <w:szCs w:val="21"/>
        </w:rPr>
        <w:t xml:space="preserve">variant, where the L allele consists of a 44bp insertion as compared to the S (short or deletion) allele. Another polymorphism is the STin2 (intron 2) VNTR, which involves different alleles that correspond to 12-, 10-, 9-, or 7-repeat units of 17bp. </w:t>
      </w:r>
      <w:proofErr w:type="gramStart"/>
      <w:r>
        <w:rPr>
          <w:rFonts w:ascii="Helvetica" w:hAnsi="Helvetica" w:cs="Helvetica"/>
          <w:color w:val="333333"/>
          <w:sz w:val="21"/>
          <w:szCs w:val="21"/>
        </w:rPr>
        <w:t>Both of these</w:t>
      </w:r>
      <w:proofErr w:type="gramEnd"/>
      <w:r>
        <w:rPr>
          <w:rFonts w:ascii="Helvetica" w:hAnsi="Helvetica" w:cs="Helvetica"/>
          <w:color w:val="333333"/>
          <w:sz w:val="21"/>
          <w:szCs w:val="21"/>
        </w:rPr>
        <w:t xml:space="preserve"> polymorphisms have been associated in some cases (but not others) with obsessive-compulsive disorder (OCD). Most recently, the STin2.12 carriers were reported to be at over 3x risk of OCD based on a study of ~100 OCD patients.[</w:t>
      </w:r>
      <w:hyperlink r:id="rId17" w:history="1">
        <w:r>
          <w:rPr>
            <w:rStyle w:val="Hyperlink"/>
            <w:rFonts w:ascii="Helvetica" w:hAnsi="Helvetica" w:cs="Helvetica"/>
            <w:color w:val="1D4568"/>
            <w:sz w:val="21"/>
            <w:szCs w:val="21"/>
            <w:u w:val="none"/>
          </w:rPr>
          <w:t>PMID 18191318</w:t>
        </w:r>
      </w:hyperlink>
      <w:r>
        <w:rPr>
          <w:rFonts w:ascii="Helvetica" w:hAnsi="Helvetica" w:cs="Helvetica"/>
          <w:color w:val="333333"/>
          <w:sz w:val="21"/>
          <w:szCs w:val="21"/>
        </w:rPr>
        <w:t>]</w:t>
      </w:r>
    </w:p>
    <w:p w14:paraId="633D242F" w14:textId="77777777" w:rsidR="006016D8" w:rsidRDefault="006016D8" w:rsidP="006016D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efficacy of commonly prescribed antidepressant drugs, such as </w:t>
      </w:r>
      <w:hyperlink r:id="rId18" w:tooltip="Paroxetine" w:history="1">
        <w:r>
          <w:rPr>
            <w:rStyle w:val="Hyperlink"/>
            <w:rFonts w:ascii="Helvetica" w:hAnsi="Helvetica" w:cs="Helvetica"/>
            <w:color w:val="1D4568"/>
            <w:sz w:val="21"/>
            <w:szCs w:val="21"/>
            <w:u w:val="none"/>
          </w:rPr>
          <w:t>paroxetine</w:t>
        </w:r>
      </w:hyperlink>
      <w:r>
        <w:rPr>
          <w:rFonts w:ascii="Helvetica" w:hAnsi="Helvetica" w:cs="Helvetica"/>
          <w:color w:val="333333"/>
          <w:sz w:val="21"/>
          <w:szCs w:val="21"/>
        </w:rPr>
        <w:t>, has also been linked to SLC6A4 VNTR variants.</w:t>
      </w:r>
      <w:hyperlink r:id="rId19" w:history="1">
        <w:r>
          <w:rPr>
            <w:rStyle w:val="Hyperlink"/>
            <w:rFonts w:ascii="Helvetica" w:hAnsi="Helvetica" w:cs="Helvetica"/>
            <w:color w:val="1D4568"/>
            <w:sz w:val="21"/>
            <w:szCs w:val="21"/>
            <w:u w:val="none"/>
          </w:rPr>
          <w:t>10.1038/sj.tpj.6500491</w:t>
        </w:r>
      </w:hyperlink>
    </w:p>
    <w:p w14:paraId="3BA207C0" w14:textId="77777777" w:rsidR="006016D8" w:rsidRDefault="006016D8" w:rsidP="006016D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A few SNPs have </w:t>
      </w:r>
      <w:proofErr w:type="gramStart"/>
      <w:r>
        <w:rPr>
          <w:rFonts w:ascii="Helvetica" w:hAnsi="Helvetica" w:cs="Helvetica"/>
          <w:color w:val="333333"/>
          <w:sz w:val="21"/>
          <w:szCs w:val="21"/>
        </w:rPr>
        <w:t>been studied</w:t>
      </w:r>
      <w:proofErr w:type="gramEnd"/>
      <w:r>
        <w:rPr>
          <w:rFonts w:ascii="Helvetica" w:hAnsi="Helvetica" w:cs="Helvetica"/>
          <w:color w:val="333333"/>
          <w:sz w:val="21"/>
          <w:szCs w:val="21"/>
        </w:rPr>
        <w:t>; these include:</w:t>
      </w:r>
    </w:p>
    <w:p w14:paraId="52102113" w14:textId="2876EFE0" w:rsidR="006016D8" w:rsidRDefault="006016D8" w:rsidP="006016D8">
      <w:pPr>
        <w:numPr>
          <w:ilvl w:val="0"/>
          <w:numId w:val="1"/>
        </w:numPr>
        <w:shd w:val="clear" w:color="auto" w:fill="FFFFFF"/>
        <w:spacing w:before="100" w:beforeAutospacing="1" w:after="100" w:afterAutospacing="1"/>
        <w:ind w:left="0"/>
        <w:rPr>
          <w:rFonts w:ascii="Helvetica" w:hAnsi="Helvetica" w:cs="Helvetica"/>
          <w:color w:val="333333"/>
          <w:sz w:val="21"/>
          <w:szCs w:val="21"/>
        </w:rPr>
      </w:pPr>
      <w:hyperlink r:id="rId20" w:tooltip="Rs25531" w:history="1">
        <w:r>
          <w:rPr>
            <w:rStyle w:val="Hyperlink"/>
            <w:rFonts w:ascii="Helvetica" w:hAnsi="Helvetica" w:cs="Helvetica"/>
            <w:color w:val="1D4568"/>
            <w:sz w:val="21"/>
            <w:szCs w:val="21"/>
            <w:u w:val="none"/>
          </w:rPr>
          <w:t>rs25531</w:t>
        </w:r>
      </w:hyperlink>
    </w:p>
    <w:p w14:paraId="75DD33F2" w14:textId="52CBF96F" w:rsidR="00C52EC2" w:rsidRDefault="00C52EC2" w:rsidP="006016D8">
      <w:pPr>
        <w:numPr>
          <w:ilvl w:val="0"/>
          <w:numId w:val="1"/>
        </w:numPr>
        <w:shd w:val="clear" w:color="auto" w:fill="FFFFFF"/>
        <w:spacing w:before="100" w:beforeAutospacing="1" w:after="100" w:afterAutospacing="1"/>
        <w:ind w:left="0"/>
        <w:rPr>
          <w:rFonts w:ascii="Helvetica" w:hAnsi="Helvetica" w:cs="Helvetica"/>
          <w:color w:val="333333"/>
          <w:sz w:val="21"/>
          <w:szCs w:val="21"/>
        </w:rPr>
      </w:pPr>
      <w:r>
        <w:rPr>
          <w:rFonts w:ascii="Arial" w:hAnsi="Arial" w:cs="Arial"/>
          <w:color w:val="000000"/>
          <w:sz w:val="20"/>
          <w:szCs w:val="20"/>
          <w:shd w:val="clear" w:color="auto" w:fill="F1F1F1"/>
        </w:rPr>
        <w:t>C=0.1376/689</w:t>
      </w:r>
    </w:p>
    <w:p w14:paraId="54B492DB" w14:textId="5BDF8179" w:rsidR="00C52EC2" w:rsidRDefault="00C52EC2" w:rsidP="006016D8">
      <w:pPr>
        <w:numPr>
          <w:ilvl w:val="0"/>
          <w:numId w:val="1"/>
        </w:numPr>
        <w:shd w:val="clear" w:color="auto" w:fill="FFFFFF"/>
        <w:spacing w:before="100" w:beforeAutospacing="1" w:after="100" w:afterAutospacing="1"/>
        <w:ind w:left="0"/>
        <w:rPr>
          <w:rFonts w:ascii="Helvetica" w:hAnsi="Helvetica" w:cs="Helvetica"/>
          <w:color w:val="333333"/>
          <w:sz w:val="21"/>
          <w:szCs w:val="21"/>
        </w:rPr>
      </w:pPr>
      <w:r>
        <w:rPr>
          <w:rFonts w:ascii="Arial" w:hAnsi="Arial" w:cs="Arial"/>
          <w:color w:val="000000"/>
          <w:sz w:val="20"/>
          <w:szCs w:val="20"/>
          <w:shd w:val="clear" w:color="auto" w:fill="F1F1F1"/>
        </w:rPr>
        <w:t>3609A&gt;G</w:t>
      </w:r>
    </w:p>
    <w:p w14:paraId="2F733D5A" w14:textId="77777777" w:rsidR="00C52EC2" w:rsidRDefault="00C52EC2" w:rsidP="00C52EC2">
      <w:pPr>
        <w:pStyle w:val="NormalWeb"/>
        <w:numPr>
          <w:ilvl w:val="0"/>
          <w:numId w:val="1"/>
        </w:numPr>
        <w:shd w:val="clear" w:color="auto" w:fill="F1F8FD"/>
        <w:rPr>
          <w:color w:val="000000"/>
          <w:sz w:val="27"/>
          <w:szCs w:val="27"/>
        </w:rPr>
      </w:pPr>
      <w:r>
        <w:rPr>
          <w:color w:val="000000"/>
          <w:sz w:val="27"/>
          <w:szCs w:val="27"/>
        </w:rPr>
        <w:t xml:space="preserve">The 16-repeat promoter VNTR allele was originally called the long allele (L) and the 14-repeat allele the short allele(S) and these are further divided into six and four kinds of allelic variants respectively as per the naming convention in Nakamura et al. (14-A, 14-B, 14-C, 14-D,16-A, 16-B, 16-C, 16-D, 16-E, 16-F) Various other repeat alleles were observed in this study. More detailed explanation regarding the methods used and the allele naming convention can </w:t>
      </w:r>
      <w:proofErr w:type="gramStart"/>
      <w:r>
        <w:rPr>
          <w:color w:val="000000"/>
          <w:sz w:val="27"/>
          <w:szCs w:val="27"/>
        </w:rPr>
        <w:t>be found</w:t>
      </w:r>
      <w:proofErr w:type="gramEnd"/>
      <w:r>
        <w:rPr>
          <w:color w:val="000000"/>
          <w:sz w:val="27"/>
          <w:szCs w:val="27"/>
        </w:rPr>
        <w:t xml:space="preserve"> in the supplemental section of Murdoch et al (reference given below).</w:t>
      </w:r>
    </w:p>
    <w:p w14:paraId="213D777A" w14:textId="77777777" w:rsidR="00C52EC2" w:rsidRDefault="00C52EC2" w:rsidP="006016D8">
      <w:pPr>
        <w:numPr>
          <w:ilvl w:val="0"/>
          <w:numId w:val="1"/>
        </w:numPr>
        <w:shd w:val="clear" w:color="auto" w:fill="FFFFFF"/>
        <w:spacing w:before="100" w:beforeAutospacing="1" w:after="100" w:afterAutospacing="1"/>
        <w:ind w:left="0"/>
        <w:rPr>
          <w:rFonts w:ascii="Helvetica" w:hAnsi="Helvetica" w:cs="Helvetica"/>
          <w:color w:val="333333"/>
          <w:sz w:val="21"/>
          <w:szCs w:val="21"/>
        </w:rPr>
      </w:pPr>
    </w:p>
    <w:p w14:paraId="4FD1A4F3" w14:textId="210B2F24" w:rsidR="006016D8" w:rsidRDefault="006016D8" w:rsidP="006016D8">
      <w:pPr>
        <w:numPr>
          <w:ilvl w:val="0"/>
          <w:numId w:val="1"/>
        </w:numPr>
        <w:shd w:val="clear" w:color="auto" w:fill="FFFFFF"/>
        <w:spacing w:before="100" w:beforeAutospacing="1" w:after="100" w:afterAutospacing="1"/>
        <w:ind w:left="0"/>
        <w:rPr>
          <w:rFonts w:ascii="Helvetica" w:hAnsi="Helvetica" w:cs="Helvetica"/>
          <w:color w:val="333333"/>
          <w:sz w:val="21"/>
          <w:szCs w:val="21"/>
        </w:rPr>
      </w:pPr>
      <w:hyperlink r:id="rId21" w:tooltip="Rs1042173" w:history="1">
        <w:r>
          <w:rPr>
            <w:rStyle w:val="Hyperlink"/>
            <w:rFonts w:ascii="Helvetica" w:hAnsi="Helvetica" w:cs="Helvetica"/>
            <w:color w:val="1D4568"/>
            <w:sz w:val="21"/>
            <w:szCs w:val="21"/>
            <w:u w:val="none"/>
          </w:rPr>
          <w:t>rs1042173</w:t>
        </w:r>
      </w:hyperlink>
      <w:r>
        <w:rPr>
          <w:rFonts w:ascii="Helvetica" w:hAnsi="Helvetica" w:cs="Helvetica"/>
          <w:color w:val="333333"/>
          <w:sz w:val="21"/>
          <w:szCs w:val="21"/>
        </w:rPr>
        <w:t>, implicated in heavier drinking alcoholics</w:t>
      </w:r>
    </w:p>
    <w:p w14:paraId="451C4A46" w14:textId="5F15BFC4" w:rsidR="006016D8" w:rsidRPr="00C52EC2" w:rsidRDefault="00C52EC2" w:rsidP="00C52EC2">
      <w:r>
        <w:br/>
        <w:t>0.379</w:t>
      </w:r>
      <w:r>
        <w:t xml:space="preserve"> </w:t>
      </w:r>
      <w:r w:rsidR="006016D8">
        <w:rPr>
          <w:rFonts w:ascii="Arial" w:hAnsi="Arial" w:cs="Arial"/>
          <w:color w:val="000000"/>
          <w:sz w:val="30"/>
          <w:szCs w:val="30"/>
        </w:rPr>
        <w:t>463T&gt;G</w:t>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998"/>
        <w:gridCol w:w="222"/>
        <w:gridCol w:w="8140"/>
      </w:tblGrid>
      <w:tr w:rsidR="006016D8" w14:paraId="460E6218" w14:textId="77777777" w:rsidTr="006016D8">
        <w:tc>
          <w:tcPr>
            <w:tcW w:w="0" w:type="auto"/>
            <w:shd w:val="clear" w:color="auto" w:fill="FFFFFF"/>
            <w:tcMar>
              <w:top w:w="0" w:type="dxa"/>
              <w:left w:w="0" w:type="dxa"/>
              <w:bottom w:w="0" w:type="dxa"/>
              <w:right w:w="0" w:type="dxa"/>
            </w:tcMar>
            <w:vAlign w:val="center"/>
            <w:hideMark/>
          </w:tcPr>
          <w:p w14:paraId="066E41BC" w14:textId="77777777" w:rsidR="006016D8" w:rsidRDefault="006016D8">
            <w:pPr>
              <w:rPr>
                <w:rFonts w:ascii="Helvetica" w:hAnsi="Helvetica" w:cs="Helvetica"/>
                <w:color w:val="333333"/>
                <w:sz w:val="21"/>
                <w:szCs w:val="21"/>
              </w:rPr>
            </w:pPr>
            <w:hyperlink r:id="rId22" w:tooltip="Rs1042173(G;G)" w:history="1">
              <w:r>
                <w:rPr>
                  <w:rStyle w:val="Hyperlink"/>
                  <w:rFonts w:ascii="Helvetica" w:hAnsi="Helvetica" w:cs="Helvetica"/>
                  <w:color w:val="122B40"/>
                  <w:sz w:val="21"/>
                  <w:szCs w:val="21"/>
                </w:rPr>
                <w:t>(</w:t>
              </w:r>
              <w:proofErr w:type="gramStart"/>
              <w:r>
                <w:rPr>
                  <w:rStyle w:val="Hyperlink"/>
                  <w:rFonts w:ascii="Helvetica" w:hAnsi="Helvetica" w:cs="Helvetica"/>
                  <w:color w:val="122B40"/>
                  <w:sz w:val="21"/>
                  <w:szCs w:val="21"/>
                </w:rPr>
                <w:t>G;G</w:t>
              </w:r>
              <w:proofErr w:type="gramEnd"/>
              <w:r>
                <w:rPr>
                  <w:rStyle w:val="Hyperlink"/>
                  <w:rFonts w:ascii="Helvetica" w:hAnsi="Helvetica" w:cs="Helvetica"/>
                  <w:color w:val="122B40"/>
                  <w:sz w:val="21"/>
                  <w:szCs w:val="21"/>
                </w:rPr>
                <w:t>)</w:t>
              </w:r>
            </w:hyperlink>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4EDC6DDC" w14:textId="77777777" w:rsidR="006016D8" w:rsidRDefault="006016D8">
            <w:pPr>
              <w:rPr>
                <w:rFonts w:ascii="Helvetica" w:hAnsi="Helvetica" w:cs="Helvetica"/>
                <w:color w:val="333333"/>
                <w:sz w:val="21"/>
                <w:szCs w:val="21"/>
              </w:rPr>
            </w:pP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796F8356" w14:textId="77777777" w:rsidR="006016D8" w:rsidRDefault="006016D8">
            <w:pPr>
              <w:rPr>
                <w:rFonts w:ascii="Helvetica" w:hAnsi="Helvetica" w:cs="Helvetica"/>
                <w:color w:val="333333"/>
                <w:sz w:val="21"/>
                <w:szCs w:val="21"/>
              </w:rPr>
            </w:pPr>
            <w:r>
              <w:rPr>
                <w:rFonts w:ascii="Helvetica" w:hAnsi="Helvetica" w:cs="Helvetica"/>
                <w:color w:val="333333"/>
                <w:sz w:val="21"/>
                <w:szCs w:val="21"/>
              </w:rPr>
              <w:t>normal</w:t>
            </w:r>
          </w:p>
        </w:tc>
      </w:tr>
      <w:tr w:rsidR="006016D8" w14:paraId="7911593F" w14:textId="77777777" w:rsidTr="006016D8">
        <w:tc>
          <w:tcPr>
            <w:tcW w:w="0" w:type="auto"/>
            <w:shd w:val="clear" w:color="auto" w:fill="FFFFFF"/>
            <w:tcMar>
              <w:top w:w="0" w:type="dxa"/>
              <w:left w:w="0" w:type="dxa"/>
              <w:bottom w:w="0" w:type="dxa"/>
              <w:right w:w="0" w:type="dxa"/>
            </w:tcMar>
            <w:vAlign w:val="center"/>
            <w:hideMark/>
          </w:tcPr>
          <w:p w14:paraId="30D60345" w14:textId="77777777" w:rsidR="006016D8" w:rsidRDefault="006016D8">
            <w:pPr>
              <w:rPr>
                <w:rFonts w:ascii="Helvetica" w:hAnsi="Helvetica" w:cs="Helvetica"/>
                <w:color w:val="333333"/>
                <w:sz w:val="21"/>
                <w:szCs w:val="21"/>
              </w:rPr>
            </w:pPr>
            <w:hyperlink r:id="rId23" w:tooltip="Rs1042173(G;T)"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G;T</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1D482BA9" w14:textId="77777777" w:rsidR="006016D8" w:rsidRDefault="006016D8">
            <w:pPr>
              <w:rPr>
                <w:rFonts w:ascii="Helvetica" w:hAnsi="Helvetica" w:cs="Helvetica"/>
                <w:color w:val="333333"/>
                <w:sz w:val="21"/>
                <w:szCs w:val="21"/>
              </w:rPr>
            </w:pP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74BFB1B5" w14:textId="77777777" w:rsidR="006016D8" w:rsidRDefault="006016D8">
            <w:pPr>
              <w:rPr>
                <w:rFonts w:ascii="Helvetica" w:hAnsi="Helvetica" w:cs="Helvetica"/>
                <w:color w:val="333333"/>
                <w:sz w:val="21"/>
                <w:szCs w:val="21"/>
              </w:rPr>
            </w:pPr>
            <w:r>
              <w:rPr>
                <w:rFonts w:ascii="Helvetica" w:hAnsi="Helvetica" w:cs="Helvetica"/>
                <w:color w:val="333333"/>
                <w:sz w:val="21"/>
                <w:szCs w:val="21"/>
              </w:rPr>
              <w:t>normal</w:t>
            </w:r>
          </w:p>
        </w:tc>
      </w:tr>
      <w:tr w:rsidR="006016D8" w14:paraId="2A8DFD90" w14:textId="77777777" w:rsidTr="006016D8">
        <w:tc>
          <w:tcPr>
            <w:tcW w:w="0" w:type="auto"/>
            <w:shd w:val="clear" w:color="auto" w:fill="FFFFFF"/>
            <w:tcMar>
              <w:top w:w="0" w:type="dxa"/>
              <w:left w:w="0" w:type="dxa"/>
              <w:bottom w:w="0" w:type="dxa"/>
              <w:right w:w="0" w:type="dxa"/>
            </w:tcMar>
            <w:vAlign w:val="center"/>
            <w:hideMark/>
          </w:tcPr>
          <w:p w14:paraId="2999C6B1" w14:textId="77777777" w:rsidR="006016D8" w:rsidRDefault="006016D8">
            <w:pPr>
              <w:rPr>
                <w:rFonts w:ascii="Helvetica" w:hAnsi="Helvetica" w:cs="Helvetica"/>
                <w:color w:val="333333"/>
                <w:sz w:val="21"/>
                <w:szCs w:val="21"/>
              </w:rPr>
            </w:pPr>
            <w:hyperlink r:id="rId24" w:tooltip="Rs1042173(T;T)" w:history="1">
              <w:r>
                <w:rPr>
                  <w:rStyle w:val="Hyperlink"/>
                  <w:rFonts w:ascii="Helvetica" w:hAnsi="Helvetica" w:cs="Helvetica"/>
                  <w:color w:val="1D4568"/>
                  <w:sz w:val="21"/>
                  <w:szCs w:val="21"/>
                </w:rPr>
                <w:t>(</w:t>
              </w:r>
              <w:proofErr w:type="gramStart"/>
              <w:r>
                <w:rPr>
                  <w:rStyle w:val="Hyperlink"/>
                  <w:rFonts w:ascii="Helvetica" w:hAnsi="Helvetica" w:cs="Helvetica"/>
                  <w:color w:val="1D4568"/>
                  <w:sz w:val="21"/>
                  <w:szCs w:val="21"/>
                </w:rPr>
                <w:t>T;T</w:t>
              </w:r>
              <w:proofErr w:type="gramEnd"/>
              <w:r>
                <w:rPr>
                  <w:rStyle w:val="Hyperlink"/>
                  <w:rFonts w:ascii="Helvetica" w:hAnsi="Helvetica" w:cs="Helvetica"/>
                  <w:color w:val="1D4568"/>
                  <w:sz w:val="21"/>
                  <w:szCs w:val="21"/>
                </w:rPr>
                <w:t>)</w:t>
              </w:r>
            </w:hyperlink>
          </w:p>
        </w:tc>
        <w:tc>
          <w:tcPr>
            <w:tcW w:w="0" w:type="auto"/>
            <w:tcBorders>
              <w:bottom w:val="threeDEngrave" w:sz="12" w:space="0" w:color="auto"/>
            </w:tcBorders>
            <w:shd w:val="clear" w:color="auto" w:fill="FF8080"/>
            <w:tcMar>
              <w:top w:w="0" w:type="dxa"/>
              <w:left w:w="0" w:type="dxa"/>
              <w:bottom w:w="0" w:type="dxa"/>
              <w:right w:w="0" w:type="dxa"/>
            </w:tcMar>
            <w:vAlign w:val="center"/>
            <w:hideMark/>
          </w:tcPr>
          <w:p w14:paraId="0B683112" w14:textId="77777777" w:rsidR="006016D8" w:rsidRDefault="006016D8">
            <w:pPr>
              <w:rPr>
                <w:rFonts w:ascii="Helvetica" w:hAnsi="Helvetica" w:cs="Helvetica"/>
                <w:color w:val="333333"/>
                <w:sz w:val="21"/>
                <w:szCs w:val="21"/>
              </w:rPr>
            </w:pPr>
            <w:r>
              <w:rPr>
                <w:rFonts w:ascii="Helvetica" w:hAnsi="Helvetica" w:cs="Helvetica"/>
                <w:color w:val="333333"/>
                <w:sz w:val="21"/>
                <w:szCs w:val="21"/>
              </w:rPr>
              <w:t>0</w:t>
            </w:r>
          </w:p>
        </w:tc>
        <w:tc>
          <w:tcPr>
            <w:tcW w:w="0" w:type="auto"/>
            <w:tcBorders>
              <w:bottom w:val="threeDEngrave" w:sz="12" w:space="0" w:color="auto"/>
            </w:tcBorders>
            <w:shd w:val="clear" w:color="auto" w:fill="FFFFFF"/>
            <w:tcMar>
              <w:top w:w="0" w:type="dxa"/>
              <w:left w:w="0" w:type="dxa"/>
              <w:bottom w:w="0" w:type="dxa"/>
              <w:right w:w="0" w:type="dxa"/>
            </w:tcMar>
            <w:vAlign w:val="center"/>
            <w:hideMark/>
          </w:tcPr>
          <w:p w14:paraId="372F3EEE" w14:textId="77777777" w:rsidR="006016D8" w:rsidRDefault="006016D8">
            <w:pPr>
              <w:rPr>
                <w:rFonts w:ascii="Helvetica" w:hAnsi="Helvetica" w:cs="Helvetica"/>
                <w:color w:val="333333"/>
                <w:sz w:val="21"/>
                <w:szCs w:val="21"/>
              </w:rPr>
            </w:pPr>
            <w:r>
              <w:rPr>
                <w:rFonts w:ascii="Helvetica" w:hAnsi="Helvetica" w:cs="Helvetica"/>
                <w:color w:val="333333"/>
                <w:sz w:val="21"/>
                <w:szCs w:val="21"/>
              </w:rPr>
              <w:t>among alcoholics, likely to be heavier drinkers</w:t>
            </w:r>
          </w:p>
        </w:tc>
      </w:tr>
    </w:tbl>
    <w:p w14:paraId="4BB04B74" w14:textId="77777777" w:rsidR="006016D8" w:rsidRDefault="006016D8" w:rsidP="006016D8">
      <w:pPr>
        <w:pStyle w:val="ListParagraph"/>
        <w:numPr>
          <w:ilvl w:val="0"/>
          <w:numId w:val="1"/>
        </w:numPr>
      </w:pPr>
      <w:r>
        <w:t>rs1042173</w:t>
      </w:r>
      <w:r w:rsidRPr="006016D8">
        <w:rPr>
          <w:rFonts w:ascii="Helvetica" w:hAnsi="Helvetica" w:cs="Helvetica"/>
          <w:color w:val="333333"/>
          <w:sz w:val="21"/>
          <w:szCs w:val="21"/>
          <w:shd w:val="clear" w:color="auto" w:fill="FFFFFF"/>
        </w:rPr>
        <w:t> is a SNP in the solute carrier family 6 (neurotransmitter transporter, serotonin), member 4 </w:t>
      </w:r>
      <w:hyperlink r:id="rId25" w:tooltip="SLC6A4" w:history="1">
        <w:r w:rsidRPr="006016D8">
          <w:rPr>
            <w:rStyle w:val="Hyperlink"/>
            <w:rFonts w:ascii="Helvetica" w:hAnsi="Helvetica" w:cs="Helvetica"/>
            <w:color w:val="1D4568"/>
            <w:sz w:val="21"/>
            <w:szCs w:val="21"/>
            <w:shd w:val="clear" w:color="auto" w:fill="FFFFFF"/>
          </w:rPr>
          <w:t>SLC6A4</w:t>
        </w:r>
      </w:hyperlink>
      <w:r w:rsidRPr="006016D8">
        <w:rPr>
          <w:rFonts w:ascii="Helvetica" w:hAnsi="Helvetica" w:cs="Helvetica"/>
          <w:color w:val="333333"/>
          <w:sz w:val="21"/>
          <w:szCs w:val="21"/>
          <w:shd w:val="clear" w:color="auto" w:fill="FFFFFF"/>
        </w:rPr>
        <w:t> gene.</w:t>
      </w:r>
    </w:p>
    <w:p w14:paraId="454B8060" w14:textId="0F305E89" w:rsidR="006016D8" w:rsidRDefault="006016D8" w:rsidP="006016D8">
      <w:pPr>
        <w:pStyle w:val="NormalWeb"/>
        <w:numPr>
          <w:ilvl w:val="0"/>
          <w:numId w:val="1"/>
        </w:numPr>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A study of 275 patients seeking treatment for </w:t>
      </w:r>
      <w:hyperlink r:id="rId26" w:tooltip="Alcoholism" w:history="1">
        <w:r>
          <w:rPr>
            <w:rStyle w:val="Hyperlink"/>
            <w:rFonts w:ascii="Helvetica" w:hAnsi="Helvetica" w:cs="Helvetica"/>
            <w:color w:val="1D4568"/>
            <w:sz w:val="21"/>
            <w:szCs w:val="21"/>
          </w:rPr>
          <w:t>alcoholism</w:t>
        </w:r>
      </w:hyperlink>
      <w:r>
        <w:rPr>
          <w:rFonts w:ascii="Helvetica" w:hAnsi="Helvetica" w:cs="Helvetica"/>
          <w:color w:val="333333"/>
          <w:sz w:val="21"/>
          <w:szCs w:val="21"/>
        </w:rPr>
        <w:t xml:space="preserve"> concluded that Caucasians of with the rs1042173(T;T) genotype consumed an average of 11.17 drinks per drinking day, compared with an average of 8.58 for carriers of a rs1042173(G) allele (p = 0.0034). While this held true for both men and women, this association </w:t>
      </w:r>
      <w:proofErr w:type="gramStart"/>
      <w:r>
        <w:rPr>
          <w:rFonts w:ascii="Helvetica" w:hAnsi="Helvetica" w:cs="Helvetica"/>
          <w:color w:val="333333"/>
          <w:sz w:val="21"/>
          <w:szCs w:val="21"/>
        </w:rPr>
        <w:t>was not seen</w:t>
      </w:r>
      <w:proofErr w:type="gramEnd"/>
      <w:r>
        <w:rPr>
          <w:rFonts w:ascii="Helvetica" w:hAnsi="Helvetica" w:cs="Helvetica"/>
          <w:color w:val="333333"/>
          <w:sz w:val="21"/>
          <w:szCs w:val="21"/>
        </w:rPr>
        <w:t xml:space="preserve"> in Hispanics. [</w:t>
      </w:r>
      <w:hyperlink r:id="rId27" w:history="1">
        <w:r>
          <w:rPr>
            <w:rStyle w:val="Hyperlink"/>
            <w:rFonts w:ascii="Helvetica" w:hAnsi="Helvetica" w:cs="Helvetica"/>
            <w:color w:val="1D4568"/>
            <w:sz w:val="21"/>
            <w:szCs w:val="21"/>
          </w:rPr>
          <w:t>PMID 19032574</w:t>
        </w:r>
      </w:hyperlink>
      <w:r>
        <w:rPr>
          <w:rFonts w:ascii="Helvetica" w:hAnsi="Helvetica" w:cs="Helvetica"/>
          <w:noProof/>
          <w:color w:val="1D4568"/>
          <w:sz w:val="21"/>
          <w:szCs w:val="21"/>
        </w:rPr>
        <w:drawing>
          <wp:inline distT="0" distB="0" distL="0" distR="0" wp14:anchorId="44249D38" wp14:editId="538E250E">
            <wp:extent cx="142875" cy="142875"/>
            <wp:effectExtent l="0" t="0" r="9525" b="9525"/>
            <wp:docPr id="1" name="Picture 1" descr="OA-icon.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icon.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Fonts w:ascii="Helvetica" w:hAnsi="Helvetica" w:cs="Helvetica"/>
          <w:color w:val="333333"/>
          <w:sz w:val="21"/>
          <w:szCs w:val="21"/>
        </w:rPr>
        <w:t>]</w:t>
      </w:r>
    </w:p>
    <w:p w14:paraId="1D3EFD1D" w14:textId="77777777" w:rsidR="006016D8" w:rsidRDefault="006016D8" w:rsidP="006016D8">
      <w:pPr>
        <w:numPr>
          <w:ilvl w:val="0"/>
          <w:numId w:val="1"/>
        </w:numPr>
        <w:shd w:val="clear" w:color="auto" w:fill="FFFFFF"/>
        <w:spacing w:before="100" w:beforeAutospacing="1" w:after="100" w:afterAutospacing="1"/>
        <w:ind w:left="0"/>
        <w:rPr>
          <w:rFonts w:ascii="Helvetica" w:hAnsi="Helvetica" w:cs="Helvetica"/>
          <w:color w:val="333333"/>
          <w:sz w:val="21"/>
          <w:szCs w:val="21"/>
        </w:rPr>
      </w:pPr>
    </w:p>
    <w:p w14:paraId="38B1F052" w14:textId="77777777" w:rsidR="006016D8" w:rsidRDefault="006016D8" w:rsidP="006016D8">
      <w:pPr>
        <w:pStyle w:val="NormalWeb"/>
        <w:shd w:val="clear" w:color="auto" w:fill="FFFFFF"/>
        <w:spacing w:before="0" w:beforeAutospacing="0" w:after="150" w:afterAutospacing="0"/>
        <w:rPr>
          <w:rFonts w:ascii="Helvetica" w:hAnsi="Helvetica" w:cs="Helvetica"/>
          <w:color w:val="333333"/>
          <w:sz w:val="21"/>
          <w:szCs w:val="21"/>
        </w:rPr>
      </w:pPr>
      <w:hyperlink r:id="rId30" w:history="1">
        <w:r>
          <w:rPr>
            <w:rStyle w:val="Hyperlink"/>
            <w:rFonts w:ascii="Helvetica" w:hAnsi="Helvetica" w:cs="Helvetica"/>
            <w:color w:val="1D4568"/>
            <w:sz w:val="21"/>
            <w:szCs w:val="21"/>
            <w:u w:val="none"/>
          </w:rPr>
          <w:t>AVPR1a and SLC6A4 Gene Polymorphisms Are Associated with Creative Dance Performance</w:t>
        </w:r>
      </w:hyperlink>
    </w:p>
    <w:p w14:paraId="37579A97" w14:textId="77777777" w:rsidR="006016D8" w:rsidRPr="004D2D4F" w:rsidRDefault="006016D8" w:rsidP="004D2D4F"/>
    <w:sectPr w:rsidR="006016D8" w:rsidRPr="004D2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B513E1"/>
    <w:multiLevelType w:val="multilevel"/>
    <w:tmpl w:val="A656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66"/>
    <w:rsid w:val="00204593"/>
    <w:rsid w:val="00210623"/>
    <w:rsid w:val="002D0870"/>
    <w:rsid w:val="003E5C3D"/>
    <w:rsid w:val="004145FF"/>
    <w:rsid w:val="004D2D4F"/>
    <w:rsid w:val="00501B14"/>
    <w:rsid w:val="005B7B0B"/>
    <w:rsid w:val="006016D8"/>
    <w:rsid w:val="00701E2E"/>
    <w:rsid w:val="00894C8E"/>
    <w:rsid w:val="00A317A0"/>
    <w:rsid w:val="00A76811"/>
    <w:rsid w:val="00C3349A"/>
    <w:rsid w:val="00C52EC2"/>
    <w:rsid w:val="00E341DF"/>
    <w:rsid w:val="00EA0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5611C4"/>
  <w15:chartTrackingRefBased/>
  <w15:docId w15:val="{F6114C25-454C-4BA4-AED1-D806CCC2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C334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16D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E341D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0A66"/>
    <w:pPr>
      <w:spacing w:before="100" w:beforeAutospacing="1" w:after="100" w:afterAutospacing="1"/>
    </w:pPr>
  </w:style>
  <w:style w:type="character" w:customStyle="1" w:styleId="apple-tab-span">
    <w:name w:val="apple-tab-span"/>
    <w:basedOn w:val="DefaultParagraphFont"/>
    <w:rsid w:val="00EA0A66"/>
  </w:style>
  <w:style w:type="character" w:styleId="Hyperlink">
    <w:name w:val="Hyperlink"/>
    <w:basedOn w:val="DefaultParagraphFont"/>
    <w:uiPriority w:val="99"/>
    <w:unhideWhenUsed/>
    <w:rsid w:val="00EA0A66"/>
    <w:rPr>
      <w:color w:val="0000FF"/>
      <w:u w:val="single"/>
    </w:rPr>
  </w:style>
  <w:style w:type="character" w:styleId="UnresolvedMention">
    <w:name w:val="Unresolved Mention"/>
    <w:basedOn w:val="DefaultParagraphFont"/>
    <w:uiPriority w:val="99"/>
    <w:semiHidden/>
    <w:unhideWhenUsed/>
    <w:rsid w:val="00E341DF"/>
    <w:rPr>
      <w:color w:val="808080"/>
      <w:shd w:val="clear" w:color="auto" w:fill="E6E6E6"/>
    </w:rPr>
  </w:style>
  <w:style w:type="character" w:customStyle="1" w:styleId="Heading4Char">
    <w:name w:val="Heading 4 Char"/>
    <w:basedOn w:val="DefaultParagraphFont"/>
    <w:link w:val="Heading4"/>
    <w:uiPriority w:val="9"/>
    <w:rsid w:val="00E341DF"/>
    <w:rPr>
      <w:b/>
      <w:bCs/>
      <w:sz w:val="24"/>
      <w:szCs w:val="24"/>
    </w:rPr>
  </w:style>
  <w:style w:type="paragraph" w:customStyle="1" w:styleId="copyright">
    <w:name w:val="copyright"/>
    <w:basedOn w:val="Normal"/>
    <w:rsid w:val="002D0870"/>
    <w:pPr>
      <w:spacing w:before="100" w:beforeAutospacing="1" w:after="100" w:afterAutospacing="1"/>
    </w:pPr>
  </w:style>
  <w:style w:type="character" w:customStyle="1" w:styleId="Heading1Char">
    <w:name w:val="Heading 1 Char"/>
    <w:basedOn w:val="DefaultParagraphFont"/>
    <w:link w:val="Heading1"/>
    <w:uiPriority w:val="9"/>
    <w:rsid w:val="00C334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16D8"/>
    <w:pPr>
      <w:ind w:left="720"/>
      <w:contextualSpacing/>
    </w:pPr>
  </w:style>
  <w:style w:type="character" w:customStyle="1" w:styleId="Heading2Char">
    <w:name w:val="Heading 2 Char"/>
    <w:basedOn w:val="DefaultParagraphFont"/>
    <w:link w:val="Heading2"/>
    <w:uiPriority w:val="9"/>
    <w:rsid w:val="006016D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40573">
      <w:bodyDiv w:val="1"/>
      <w:marLeft w:val="0"/>
      <w:marRight w:val="0"/>
      <w:marTop w:val="0"/>
      <w:marBottom w:val="0"/>
      <w:divBdr>
        <w:top w:val="none" w:sz="0" w:space="0" w:color="auto"/>
        <w:left w:val="none" w:sz="0" w:space="0" w:color="auto"/>
        <w:bottom w:val="none" w:sz="0" w:space="0" w:color="auto"/>
        <w:right w:val="none" w:sz="0" w:space="0" w:color="auto"/>
      </w:divBdr>
    </w:div>
    <w:div w:id="104276213">
      <w:bodyDiv w:val="1"/>
      <w:marLeft w:val="0"/>
      <w:marRight w:val="0"/>
      <w:marTop w:val="0"/>
      <w:marBottom w:val="0"/>
      <w:divBdr>
        <w:top w:val="none" w:sz="0" w:space="0" w:color="auto"/>
        <w:left w:val="none" w:sz="0" w:space="0" w:color="auto"/>
        <w:bottom w:val="none" w:sz="0" w:space="0" w:color="auto"/>
        <w:right w:val="none" w:sz="0" w:space="0" w:color="auto"/>
      </w:divBdr>
    </w:div>
    <w:div w:id="134416435">
      <w:bodyDiv w:val="1"/>
      <w:marLeft w:val="0"/>
      <w:marRight w:val="0"/>
      <w:marTop w:val="0"/>
      <w:marBottom w:val="0"/>
      <w:divBdr>
        <w:top w:val="none" w:sz="0" w:space="0" w:color="auto"/>
        <w:left w:val="none" w:sz="0" w:space="0" w:color="auto"/>
        <w:bottom w:val="none" w:sz="0" w:space="0" w:color="auto"/>
        <w:right w:val="none" w:sz="0" w:space="0" w:color="auto"/>
      </w:divBdr>
    </w:div>
    <w:div w:id="149298234">
      <w:bodyDiv w:val="1"/>
      <w:marLeft w:val="0"/>
      <w:marRight w:val="0"/>
      <w:marTop w:val="0"/>
      <w:marBottom w:val="0"/>
      <w:divBdr>
        <w:top w:val="none" w:sz="0" w:space="0" w:color="auto"/>
        <w:left w:val="none" w:sz="0" w:space="0" w:color="auto"/>
        <w:bottom w:val="none" w:sz="0" w:space="0" w:color="auto"/>
        <w:right w:val="none" w:sz="0" w:space="0" w:color="auto"/>
      </w:divBdr>
    </w:div>
    <w:div w:id="197739969">
      <w:bodyDiv w:val="1"/>
      <w:marLeft w:val="0"/>
      <w:marRight w:val="0"/>
      <w:marTop w:val="0"/>
      <w:marBottom w:val="0"/>
      <w:divBdr>
        <w:top w:val="none" w:sz="0" w:space="0" w:color="auto"/>
        <w:left w:val="none" w:sz="0" w:space="0" w:color="auto"/>
        <w:bottom w:val="none" w:sz="0" w:space="0" w:color="auto"/>
        <w:right w:val="none" w:sz="0" w:space="0" w:color="auto"/>
      </w:divBdr>
    </w:div>
    <w:div w:id="231084819">
      <w:bodyDiv w:val="1"/>
      <w:marLeft w:val="0"/>
      <w:marRight w:val="0"/>
      <w:marTop w:val="0"/>
      <w:marBottom w:val="0"/>
      <w:divBdr>
        <w:top w:val="none" w:sz="0" w:space="0" w:color="auto"/>
        <w:left w:val="none" w:sz="0" w:space="0" w:color="auto"/>
        <w:bottom w:val="none" w:sz="0" w:space="0" w:color="auto"/>
        <w:right w:val="none" w:sz="0" w:space="0" w:color="auto"/>
      </w:divBdr>
    </w:div>
    <w:div w:id="635453796">
      <w:bodyDiv w:val="1"/>
      <w:marLeft w:val="0"/>
      <w:marRight w:val="0"/>
      <w:marTop w:val="0"/>
      <w:marBottom w:val="0"/>
      <w:divBdr>
        <w:top w:val="none" w:sz="0" w:space="0" w:color="auto"/>
        <w:left w:val="none" w:sz="0" w:space="0" w:color="auto"/>
        <w:bottom w:val="none" w:sz="0" w:space="0" w:color="auto"/>
        <w:right w:val="none" w:sz="0" w:space="0" w:color="auto"/>
      </w:divBdr>
    </w:div>
    <w:div w:id="720596469">
      <w:bodyDiv w:val="1"/>
      <w:marLeft w:val="0"/>
      <w:marRight w:val="0"/>
      <w:marTop w:val="0"/>
      <w:marBottom w:val="0"/>
      <w:divBdr>
        <w:top w:val="none" w:sz="0" w:space="0" w:color="auto"/>
        <w:left w:val="none" w:sz="0" w:space="0" w:color="auto"/>
        <w:bottom w:val="none" w:sz="0" w:space="0" w:color="auto"/>
        <w:right w:val="none" w:sz="0" w:space="0" w:color="auto"/>
      </w:divBdr>
    </w:div>
    <w:div w:id="822620557">
      <w:bodyDiv w:val="1"/>
      <w:marLeft w:val="0"/>
      <w:marRight w:val="0"/>
      <w:marTop w:val="0"/>
      <w:marBottom w:val="0"/>
      <w:divBdr>
        <w:top w:val="none" w:sz="0" w:space="0" w:color="auto"/>
        <w:left w:val="none" w:sz="0" w:space="0" w:color="auto"/>
        <w:bottom w:val="none" w:sz="0" w:space="0" w:color="auto"/>
        <w:right w:val="none" w:sz="0" w:space="0" w:color="auto"/>
      </w:divBdr>
    </w:div>
    <w:div w:id="895899181">
      <w:bodyDiv w:val="1"/>
      <w:marLeft w:val="0"/>
      <w:marRight w:val="0"/>
      <w:marTop w:val="0"/>
      <w:marBottom w:val="0"/>
      <w:divBdr>
        <w:top w:val="none" w:sz="0" w:space="0" w:color="auto"/>
        <w:left w:val="none" w:sz="0" w:space="0" w:color="auto"/>
        <w:bottom w:val="none" w:sz="0" w:space="0" w:color="auto"/>
        <w:right w:val="none" w:sz="0" w:space="0" w:color="auto"/>
      </w:divBdr>
    </w:div>
    <w:div w:id="926504319">
      <w:bodyDiv w:val="1"/>
      <w:marLeft w:val="0"/>
      <w:marRight w:val="0"/>
      <w:marTop w:val="0"/>
      <w:marBottom w:val="0"/>
      <w:divBdr>
        <w:top w:val="none" w:sz="0" w:space="0" w:color="auto"/>
        <w:left w:val="none" w:sz="0" w:space="0" w:color="auto"/>
        <w:bottom w:val="none" w:sz="0" w:space="0" w:color="auto"/>
        <w:right w:val="none" w:sz="0" w:space="0" w:color="auto"/>
      </w:divBdr>
    </w:div>
    <w:div w:id="981689225">
      <w:bodyDiv w:val="1"/>
      <w:marLeft w:val="0"/>
      <w:marRight w:val="0"/>
      <w:marTop w:val="0"/>
      <w:marBottom w:val="0"/>
      <w:divBdr>
        <w:top w:val="none" w:sz="0" w:space="0" w:color="auto"/>
        <w:left w:val="none" w:sz="0" w:space="0" w:color="auto"/>
        <w:bottom w:val="none" w:sz="0" w:space="0" w:color="auto"/>
        <w:right w:val="none" w:sz="0" w:space="0" w:color="auto"/>
      </w:divBdr>
    </w:div>
    <w:div w:id="1199972233">
      <w:bodyDiv w:val="1"/>
      <w:marLeft w:val="0"/>
      <w:marRight w:val="0"/>
      <w:marTop w:val="0"/>
      <w:marBottom w:val="0"/>
      <w:divBdr>
        <w:top w:val="none" w:sz="0" w:space="0" w:color="auto"/>
        <w:left w:val="none" w:sz="0" w:space="0" w:color="auto"/>
        <w:bottom w:val="none" w:sz="0" w:space="0" w:color="auto"/>
        <w:right w:val="none" w:sz="0" w:space="0" w:color="auto"/>
      </w:divBdr>
    </w:div>
    <w:div w:id="1378624158">
      <w:bodyDiv w:val="1"/>
      <w:marLeft w:val="0"/>
      <w:marRight w:val="0"/>
      <w:marTop w:val="0"/>
      <w:marBottom w:val="0"/>
      <w:divBdr>
        <w:top w:val="none" w:sz="0" w:space="0" w:color="auto"/>
        <w:left w:val="none" w:sz="0" w:space="0" w:color="auto"/>
        <w:bottom w:val="none" w:sz="0" w:space="0" w:color="auto"/>
        <w:right w:val="none" w:sz="0" w:space="0" w:color="auto"/>
      </w:divBdr>
    </w:div>
    <w:div w:id="1398162875">
      <w:bodyDiv w:val="1"/>
      <w:marLeft w:val="0"/>
      <w:marRight w:val="0"/>
      <w:marTop w:val="0"/>
      <w:marBottom w:val="0"/>
      <w:divBdr>
        <w:top w:val="none" w:sz="0" w:space="0" w:color="auto"/>
        <w:left w:val="none" w:sz="0" w:space="0" w:color="auto"/>
        <w:bottom w:val="none" w:sz="0" w:space="0" w:color="auto"/>
        <w:right w:val="none" w:sz="0" w:space="0" w:color="auto"/>
      </w:divBdr>
    </w:div>
    <w:div w:id="1496804316">
      <w:bodyDiv w:val="1"/>
      <w:marLeft w:val="0"/>
      <w:marRight w:val="0"/>
      <w:marTop w:val="0"/>
      <w:marBottom w:val="0"/>
      <w:divBdr>
        <w:top w:val="none" w:sz="0" w:space="0" w:color="auto"/>
        <w:left w:val="none" w:sz="0" w:space="0" w:color="auto"/>
        <w:bottom w:val="none" w:sz="0" w:space="0" w:color="auto"/>
        <w:right w:val="none" w:sz="0" w:space="0" w:color="auto"/>
      </w:divBdr>
    </w:div>
    <w:div w:id="1578857965">
      <w:bodyDiv w:val="1"/>
      <w:marLeft w:val="0"/>
      <w:marRight w:val="0"/>
      <w:marTop w:val="0"/>
      <w:marBottom w:val="0"/>
      <w:divBdr>
        <w:top w:val="none" w:sz="0" w:space="0" w:color="auto"/>
        <w:left w:val="none" w:sz="0" w:space="0" w:color="auto"/>
        <w:bottom w:val="none" w:sz="0" w:space="0" w:color="auto"/>
        <w:right w:val="none" w:sz="0" w:space="0" w:color="auto"/>
      </w:divBdr>
    </w:div>
    <w:div w:id="1634821257">
      <w:bodyDiv w:val="1"/>
      <w:marLeft w:val="0"/>
      <w:marRight w:val="0"/>
      <w:marTop w:val="0"/>
      <w:marBottom w:val="0"/>
      <w:divBdr>
        <w:top w:val="none" w:sz="0" w:space="0" w:color="auto"/>
        <w:left w:val="none" w:sz="0" w:space="0" w:color="auto"/>
        <w:bottom w:val="none" w:sz="0" w:space="0" w:color="auto"/>
        <w:right w:val="none" w:sz="0" w:space="0" w:color="auto"/>
      </w:divBdr>
    </w:div>
    <w:div w:id="1637293572">
      <w:bodyDiv w:val="1"/>
      <w:marLeft w:val="0"/>
      <w:marRight w:val="0"/>
      <w:marTop w:val="0"/>
      <w:marBottom w:val="0"/>
      <w:divBdr>
        <w:top w:val="none" w:sz="0" w:space="0" w:color="auto"/>
        <w:left w:val="none" w:sz="0" w:space="0" w:color="auto"/>
        <w:bottom w:val="none" w:sz="0" w:space="0" w:color="auto"/>
        <w:right w:val="none" w:sz="0" w:space="0" w:color="auto"/>
      </w:divBdr>
    </w:div>
    <w:div w:id="1648238088">
      <w:bodyDiv w:val="1"/>
      <w:marLeft w:val="0"/>
      <w:marRight w:val="0"/>
      <w:marTop w:val="0"/>
      <w:marBottom w:val="0"/>
      <w:divBdr>
        <w:top w:val="none" w:sz="0" w:space="0" w:color="auto"/>
        <w:left w:val="none" w:sz="0" w:space="0" w:color="auto"/>
        <w:bottom w:val="none" w:sz="0" w:space="0" w:color="auto"/>
        <w:right w:val="none" w:sz="0" w:space="0" w:color="auto"/>
      </w:divBdr>
    </w:div>
    <w:div w:id="1736658954">
      <w:bodyDiv w:val="1"/>
      <w:marLeft w:val="0"/>
      <w:marRight w:val="0"/>
      <w:marTop w:val="0"/>
      <w:marBottom w:val="0"/>
      <w:divBdr>
        <w:top w:val="none" w:sz="0" w:space="0" w:color="auto"/>
        <w:left w:val="none" w:sz="0" w:space="0" w:color="auto"/>
        <w:bottom w:val="none" w:sz="0" w:space="0" w:color="auto"/>
        <w:right w:val="none" w:sz="0" w:space="0" w:color="auto"/>
      </w:divBdr>
    </w:div>
    <w:div w:id="1792355882">
      <w:bodyDiv w:val="1"/>
      <w:marLeft w:val="0"/>
      <w:marRight w:val="0"/>
      <w:marTop w:val="0"/>
      <w:marBottom w:val="0"/>
      <w:divBdr>
        <w:top w:val="none" w:sz="0" w:space="0" w:color="auto"/>
        <w:left w:val="none" w:sz="0" w:space="0" w:color="auto"/>
        <w:bottom w:val="none" w:sz="0" w:space="0" w:color="auto"/>
        <w:right w:val="none" w:sz="0" w:space="0" w:color="auto"/>
      </w:divBdr>
    </w:div>
    <w:div w:id="1815634238">
      <w:bodyDiv w:val="1"/>
      <w:marLeft w:val="0"/>
      <w:marRight w:val="0"/>
      <w:marTop w:val="0"/>
      <w:marBottom w:val="0"/>
      <w:divBdr>
        <w:top w:val="none" w:sz="0" w:space="0" w:color="auto"/>
        <w:left w:val="none" w:sz="0" w:space="0" w:color="auto"/>
        <w:bottom w:val="none" w:sz="0" w:space="0" w:color="auto"/>
        <w:right w:val="none" w:sz="0" w:space="0" w:color="auto"/>
      </w:divBdr>
    </w:div>
    <w:div w:id="1905295346">
      <w:bodyDiv w:val="1"/>
      <w:marLeft w:val="0"/>
      <w:marRight w:val="0"/>
      <w:marTop w:val="0"/>
      <w:marBottom w:val="0"/>
      <w:divBdr>
        <w:top w:val="none" w:sz="0" w:space="0" w:color="auto"/>
        <w:left w:val="none" w:sz="0" w:space="0" w:color="auto"/>
        <w:bottom w:val="none" w:sz="0" w:space="0" w:color="auto"/>
        <w:right w:val="none" w:sz="0" w:space="0" w:color="auto"/>
      </w:divBdr>
    </w:div>
    <w:div w:id="1968857637">
      <w:bodyDiv w:val="1"/>
      <w:marLeft w:val="0"/>
      <w:marRight w:val="0"/>
      <w:marTop w:val="0"/>
      <w:marBottom w:val="0"/>
      <w:divBdr>
        <w:top w:val="none" w:sz="0" w:space="0" w:color="auto"/>
        <w:left w:val="none" w:sz="0" w:space="0" w:color="auto"/>
        <w:bottom w:val="none" w:sz="0" w:space="0" w:color="auto"/>
        <w:right w:val="none" w:sz="0" w:space="0" w:color="auto"/>
      </w:divBdr>
    </w:div>
    <w:div w:id="2044209604">
      <w:bodyDiv w:val="1"/>
      <w:marLeft w:val="0"/>
      <w:marRight w:val="0"/>
      <w:marTop w:val="0"/>
      <w:marBottom w:val="0"/>
      <w:divBdr>
        <w:top w:val="none" w:sz="0" w:space="0" w:color="auto"/>
        <w:left w:val="none" w:sz="0" w:space="0" w:color="auto"/>
        <w:bottom w:val="none" w:sz="0" w:space="0" w:color="auto"/>
        <w:right w:val="none" w:sz="0" w:space="0" w:color="auto"/>
      </w:divBdr>
    </w:div>
    <w:div w:id="204786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18079067" TargetMode="External"/><Relationship Id="rId13" Type="http://schemas.openxmlformats.org/officeDocument/2006/relationships/hyperlink" Target="https://www.ncbi.nlm.nih.gov/pubmed/26473596" TargetMode="External"/><Relationship Id="rId18" Type="http://schemas.openxmlformats.org/officeDocument/2006/relationships/hyperlink" Target="https://www.snpedia.com/index.php/Paroxetine" TargetMode="External"/><Relationship Id="rId26" Type="http://schemas.openxmlformats.org/officeDocument/2006/relationships/hyperlink" Target="https://www.snpedia.com/index.php/Alcoholism" TargetMode="External"/><Relationship Id="rId3" Type="http://schemas.openxmlformats.org/officeDocument/2006/relationships/settings" Target="settings.xml"/><Relationship Id="rId21" Type="http://schemas.openxmlformats.org/officeDocument/2006/relationships/hyperlink" Target="https://www.snpedia.com/index.php/Rs1042173" TargetMode="External"/><Relationship Id="rId7" Type="http://schemas.openxmlformats.org/officeDocument/2006/relationships/hyperlink" Target="https://doi.org/10.1097/YIC.0b013e328014822a" TargetMode="External"/><Relationship Id="rId12" Type="http://schemas.openxmlformats.org/officeDocument/2006/relationships/hyperlink" Target="https://doi.org/10.1111/ejn.12668" TargetMode="External"/><Relationship Id="rId17" Type="http://schemas.openxmlformats.org/officeDocument/2006/relationships/hyperlink" Target="https://www.ncbi.nlm.nih.gov/pubmed/18191318?dopt=Abstract" TargetMode="External"/><Relationship Id="rId25" Type="http://schemas.openxmlformats.org/officeDocument/2006/relationships/hyperlink" Target="https://www.snpedia.com/index.php/SLC6A4" TargetMode="External"/><Relationship Id="rId2" Type="http://schemas.openxmlformats.org/officeDocument/2006/relationships/styles" Target="styles.xml"/><Relationship Id="rId16" Type="http://schemas.openxmlformats.org/officeDocument/2006/relationships/hyperlink" Target="https://www.ncbi.nlm.nih.gov/pubmed/17168841?dopt=Abstract" TargetMode="External"/><Relationship Id="rId20" Type="http://schemas.openxmlformats.org/officeDocument/2006/relationships/hyperlink" Target="https://www.snpedia.com/index.php/Rs25531"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www.ncbi.nlm.nih.gov/pubmed/17414739" TargetMode="External"/><Relationship Id="rId11" Type="http://schemas.openxmlformats.org/officeDocument/2006/relationships/hyperlink" Target="https://www.ncbi.nlm.nih.gov/pubmed/25040499" TargetMode="External"/><Relationship Id="rId24" Type="http://schemas.openxmlformats.org/officeDocument/2006/relationships/hyperlink" Target="https://www.snpedia.com/index.php/Rs1042173(T;T)" TargetMode="External"/><Relationship Id="rId32" Type="http://schemas.openxmlformats.org/officeDocument/2006/relationships/theme" Target="theme/theme1.xml"/><Relationship Id="rId5" Type="http://schemas.openxmlformats.org/officeDocument/2006/relationships/hyperlink" Target="https://www.ncbi.nlm.nih.gov/pubmed/14592408" TargetMode="External"/><Relationship Id="rId15" Type="http://schemas.openxmlformats.org/officeDocument/2006/relationships/hyperlink" Target="https://doi.org/10.1371/journal.pone.0140883" TargetMode="External"/><Relationship Id="rId23" Type="http://schemas.openxmlformats.org/officeDocument/2006/relationships/hyperlink" Target="https://www.snpedia.com/index.php/Rs1042173(G;T)" TargetMode="External"/><Relationship Id="rId28" Type="http://schemas.openxmlformats.org/officeDocument/2006/relationships/hyperlink" Target="https://www.snpedia.com/index.php/File:OA-icon.png" TargetMode="External"/><Relationship Id="rId10" Type="http://schemas.openxmlformats.org/officeDocument/2006/relationships/hyperlink" Target="https://www.ncbi.nlm.nih.gov/pubmed/19704949" TargetMode="External"/><Relationship Id="rId19" Type="http://schemas.openxmlformats.org/officeDocument/2006/relationships/hyperlink" Target="http://dx.doi.org/10.1038/sj.tpj.6500491"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psyneuen.2007.11.001" TargetMode="External"/><Relationship Id="rId14" Type="http://schemas.openxmlformats.org/officeDocument/2006/relationships/hyperlink" Target="https://www.ncbi.nlm.nih.gov/pmc/articles/PMC4608737/" TargetMode="External"/><Relationship Id="rId22" Type="http://schemas.openxmlformats.org/officeDocument/2006/relationships/hyperlink" Target="https://www.snpedia.com/index.php/Rs1042173(G;G)" TargetMode="External"/><Relationship Id="rId27" Type="http://schemas.openxmlformats.org/officeDocument/2006/relationships/hyperlink" Target="https://www.ncbi.nlm.nih.gov/pubmed/19032574?dopt=Abstract" TargetMode="External"/><Relationship Id="rId30" Type="http://schemas.openxmlformats.org/officeDocument/2006/relationships/hyperlink" Target="http://www.plosgenetics.org/article/info:doi%2F10.1371%2Fjournal.pgen.00100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1157</TotalTime>
  <Pages>5</Pages>
  <Words>1974</Words>
  <Characters>11254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dc:creator>
  <cp:keywords/>
  <dc:description/>
  <cp:lastModifiedBy>Elizabeth</cp:lastModifiedBy>
  <cp:revision>6</cp:revision>
  <dcterms:created xsi:type="dcterms:W3CDTF">2018-02-22T09:08:00Z</dcterms:created>
  <dcterms:modified xsi:type="dcterms:W3CDTF">2018-02-23T06:10:00Z</dcterms:modified>
</cp:coreProperties>
</file>