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28012" w14:textId="1729C937" w:rsidR="004605A8" w:rsidRDefault="005A503F">
      <w:pPr>
        <w:rPr>
          <w:color w:val="000000"/>
          <w:shd w:val="clear" w:color="auto" w:fill="FFFFFF"/>
        </w:rPr>
      </w:pPr>
      <w:r>
        <w:rPr>
          <w:color w:val="000000"/>
          <w:shd w:val="clear" w:color="auto" w:fill="FFFFFF"/>
        </w:rPr>
        <w:fldChar w:fldCharType="begin"/>
      </w:r>
      <w:r>
        <w:rPr>
          <w:color w:val="000000"/>
          <w:shd w:val="clear" w:color="auto" w:fill="FFFFFF"/>
        </w:rPr>
        <w:instrText xml:space="preserve"> HYPERLINK "</w:instrText>
      </w:r>
      <w:r w:rsidRPr="005A503F">
        <w:rPr>
          <w:color w:val="000000"/>
          <w:shd w:val="clear" w:color="auto" w:fill="FFFFFF"/>
        </w:rPr>
        <w:instrText>https://www.ncbi.nlm.nih.gov/pubmed/21559498</w:instrText>
      </w:r>
      <w:r>
        <w:rPr>
          <w:color w:val="000000"/>
          <w:shd w:val="clear" w:color="auto" w:fill="FFFFFF"/>
        </w:rPr>
        <w:instrText xml:space="preserve">" </w:instrText>
      </w:r>
      <w:r>
        <w:rPr>
          <w:color w:val="000000"/>
          <w:shd w:val="clear" w:color="auto" w:fill="FFFFFF"/>
        </w:rPr>
        <w:fldChar w:fldCharType="separate"/>
      </w:r>
      <w:r w:rsidRPr="00FB1B95">
        <w:rPr>
          <w:rStyle w:val="Hyperlink"/>
          <w:shd w:val="clear" w:color="auto" w:fill="FFFFFF"/>
        </w:rPr>
        <w:t>https://www.ncbi.nlm.nih.gov/pubmed/21559498</w:t>
      </w:r>
      <w:r>
        <w:rPr>
          <w:color w:val="000000"/>
          <w:shd w:val="clear" w:color="auto" w:fill="FFFFFF"/>
        </w:rPr>
        <w:fldChar w:fldCharType="end"/>
      </w:r>
    </w:p>
    <w:p w14:paraId="008A5A96" w14:textId="77777777" w:rsidR="005A503F" w:rsidRDefault="005A503F">
      <w:pPr>
        <w:rPr>
          <w:color w:val="000000"/>
          <w:shd w:val="clear" w:color="auto" w:fill="FFFFFF"/>
        </w:rPr>
      </w:pPr>
    </w:p>
    <w:p w14:paraId="2395A943" w14:textId="39190EA9" w:rsidR="004605A8" w:rsidRDefault="004605A8">
      <w:pPr>
        <w:rPr>
          <w:color w:val="000000"/>
          <w:shd w:val="clear" w:color="auto" w:fill="FFFFFF"/>
        </w:rPr>
      </w:pPr>
      <w:r>
        <w:rPr>
          <w:color w:val="000000"/>
          <w:shd w:val="clear" w:color="auto" w:fill="FFFFFF"/>
        </w:rPr>
        <w:t xml:space="preserve">A strong association between rs12914385 and rs8042374, and lung cancer risk </w:t>
      </w:r>
      <w:proofErr w:type="gramStart"/>
      <w:r>
        <w:rPr>
          <w:color w:val="000000"/>
          <w:shd w:val="clear" w:color="auto" w:fill="FFFFFF"/>
        </w:rPr>
        <w:t>was shown</w:t>
      </w:r>
      <w:proofErr w:type="gramEnd"/>
      <w:r>
        <w:rPr>
          <w:color w:val="000000"/>
          <w:shd w:val="clear" w:color="auto" w:fill="FFFFFF"/>
        </w:rPr>
        <w:t>, odds ratios (OR) were 1.44, (95% confidence interval (CI): 1.29–1.62, </w:t>
      </w:r>
      <w:r>
        <w:rPr>
          <w:rStyle w:val="Emphasis"/>
          <w:color w:val="000000"/>
          <w:shd w:val="clear" w:color="auto" w:fill="FFFFFF"/>
        </w:rPr>
        <w:t>P</w:t>
      </w:r>
      <w:r>
        <w:rPr>
          <w:color w:val="000000"/>
          <w:shd w:val="clear" w:color="auto" w:fill="FFFFFF"/>
        </w:rPr>
        <w:t> = 3.69×10</w:t>
      </w:r>
      <w:r>
        <w:rPr>
          <w:color w:val="000000"/>
          <w:sz w:val="20"/>
          <w:szCs w:val="20"/>
          <w:shd w:val="clear" w:color="auto" w:fill="FFFFFF"/>
          <w:vertAlign w:val="superscript"/>
        </w:rPr>
        <w:t>−10</w:t>
      </w:r>
      <w:r>
        <w:rPr>
          <w:color w:val="000000"/>
          <w:shd w:val="clear" w:color="auto" w:fill="FFFFFF"/>
        </w:rPr>
        <w:t>) and 1.35 (95% CI: 1.18–1.55, </w:t>
      </w:r>
      <w:r>
        <w:rPr>
          <w:rStyle w:val="Emphasis"/>
          <w:color w:val="000000"/>
          <w:shd w:val="clear" w:color="auto" w:fill="FFFFFF"/>
        </w:rPr>
        <w:t>P</w:t>
      </w:r>
      <w:r>
        <w:rPr>
          <w:color w:val="000000"/>
          <w:shd w:val="clear" w:color="auto" w:fill="FFFFFF"/>
        </w:rPr>
        <w:t> = 9.99×10</w:t>
      </w:r>
      <w:r>
        <w:rPr>
          <w:color w:val="000000"/>
          <w:sz w:val="20"/>
          <w:szCs w:val="20"/>
          <w:shd w:val="clear" w:color="auto" w:fill="FFFFFF"/>
          <w:vertAlign w:val="superscript"/>
        </w:rPr>
        <w:t>−6</w:t>
      </w:r>
      <w:r>
        <w:rPr>
          <w:color w:val="000000"/>
          <w:shd w:val="clear" w:color="auto" w:fill="FFFFFF"/>
        </w:rPr>
        <w:t>) respectively. Each copy of risk alleles at rs12914385 and rs8042374 was associated with increased cigarette consumption of 1.0 and 0.9 cigarettes per day (CPD) (</w:t>
      </w:r>
      <w:r>
        <w:rPr>
          <w:rStyle w:val="Emphasis"/>
          <w:color w:val="000000"/>
          <w:shd w:val="clear" w:color="auto" w:fill="FFFFFF"/>
        </w:rPr>
        <w:t>P</w:t>
      </w:r>
      <w:r>
        <w:rPr>
          <w:color w:val="000000"/>
          <w:shd w:val="clear" w:color="auto" w:fill="FFFFFF"/>
        </w:rPr>
        <w:t> = 5.18×10</w:t>
      </w:r>
      <w:r>
        <w:rPr>
          <w:color w:val="000000"/>
          <w:sz w:val="20"/>
          <w:szCs w:val="20"/>
          <w:shd w:val="clear" w:color="auto" w:fill="FFFFFF"/>
          <w:vertAlign w:val="superscript"/>
        </w:rPr>
        <w:t>−5</w:t>
      </w:r>
      <w:r>
        <w:rPr>
          <w:color w:val="000000"/>
          <w:shd w:val="clear" w:color="auto" w:fill="FFFFFF"/>
        </w:rPr>
        <w:t> and </w:t>
      </w:r>
      <w:r>
        <w:rPr>
          <w:rStyle w:val="Emphasis"/>
          <w:color w:val="000000"/>
          <w:shd w:val="clear" w:color="auto" w:fill="FFFFFF"/>
        </w:rPr>
        <w:t>P</w:t>
      </w:r>
      <w:r>
        <w:rPr>
          <w:color w:val="000000"/>
          <w:shd w:val="clear" w:color="auto" w:fill="FFFFFF"/>
        </w:rPr>
        <w:t> = 5.65×10</w:t>
      </w:r>
      <w:r>
        <w:rPr>
          <w:color w:val="000000"/>
          <w:sz w:val="20"/>
          <w:szCs w:val="20"/>
          <w:shd w:val="clear" w:color="auto" w:fill="FFFFFF"/>
          <w:vertAlign w:val="superscript"/>
        </w:rPr>
        <w:t>−3</w:t>
      </w:r>
      <w:r>
        <w:rPr>
          <w:color w:val="000000"/>
          <w:shd w:val="clear" w:color="auto" w:fill="FFFFFF"/>
        </w:rPr>
        <w:t>). </w:t>
      </w:r>
    </w:p>
    <w:p w14:paraId="11542E68" w14:textId="26611903" w:rsidR="005A503F" w:rsidRDefault="005A503F">
      <w:hyperlink r:id="rId5" w:history="1">
        <w:r w:rsidRPr="00FB1B95">
          <w:rPr>
            <w:rStyle w:val="Hyperlink"/>
          </w:rPr>
          <w:t>https://www.ncbi.nlm.nih.gov/pubmed/21436384</w:t>
        </w:r>
      </w:hyperlink>
    </w:p>
    <w:p w14:paraId="45CD7B21" w14:textId="77777777" w:rsidR="005A503F" w:rsidRDefault="005A503F"/>
    <w:p w14:paraId="6951AE2A" w14:textId="7609500E" w:rsidR="005A503F" w:rsidRDefault="005A503F">
      <w:pPr>
        <w:rPr>
          <w:color w:val="000000"/>
          <w:shd w:val="clear" w:color="auto" w:fill="FFFFFF"/>
        </w:rPr>
      </w:pPr>
      <w:r>
        <w:rPr>
          <w:color w:val="000000"/>
          <w:shd w:val="clear" w:color="auto" w:fill="FFFFFF"/>
        </w:rPr>
        <w:t>while the major C allele of rs12914385 in </w:t>
      </w:r>
      <w:r>
        <w:rPr>
          <w:rStyle w:val="Emphasis"/>
          <w:color w:val="000000"/>
          <w:shd w:val="clear" w:color="auto" w:fill="FFFFFF"/>
        </w:rPr>
        <w:t>CHRNA3</w:t>
      </w:r>
      <w:r>
        <w:rPr>
          <w:color w:val="000000"/>
          <w:shd w:val="clear" w:color="auto" w:fill="FFFFFF"/>
        </w:rPr>
        <w:t> was associated with a decrease of 3.25 (SE=0.82; p=7.62×10</w:t>
      </w:r>
      <w:r>
        <w:rPr>
          <w:color w:val="000000"/>
          <w:sz w:val="20"/>
          <w:szCs w:val="20"/>
          <w:shd w:val="clear" w:color="auto" w:fill="FFFFFF"/>
          <w:vertAlign w:val="superscript"/>
        </w:rPr>
        <w:t>−5</w:t>
      </w:r>
      <w:r>
        <w:rPr>
          <w:color w:val="000000"/>
          <w:shd w:val="clear" w:color="auto" w:fill="FFFFFF"/>
        </w:rPr>
        <w:t>) pack years per allele.</w:t>
      </w:r>
    </w:p>
    <w:p w14:paraId="5E5127FA" w14:textId="3443ACE9" w:rsidR="005A503F" w:rsidRDefault="005A503F">
      <w:hyperlink r:id="rId6" w:history="1">
        <w:r w:rsidRPr="00FB1B95">
          <w:rPr>
            <w:rStyle w:val="Hyperlink"/>
          </w:rPr>
          <w:t>https://www.ncbi.nlm.nih.gov/pubmed/25233467</w:t>
        </w:r>
      </w:hyperlink>
    </w:p>
    <w:p w14:paraId="3BD7ACFC" w14:textId="77777777" w:rsidR="005A503F" w:rsidRDefault="005A503F"/>
    <w:p w14:paraId="0570CCD4" w14:textId="234D315A" w:rsidR="005A503F" w:rsidRDefault="005A503F">
      <w:pPr>
        <w:rPr>
          <w:color w:val="000000"/>
          <w:shd w:val="clear" w:color="auto" w:fill="FFFFFF"/>
        </w:rPr>
      </w:pPr>
      <w:r>
        <w:rPr>
          <w:color w:val="000000"/>
          <w:shd w:val="clear" w:color="auto" w:fill="FFFFFF"/>
        </w:rPr>
        <w:t>Results show that nicotine dependence is a mediator of the association between lung adenocarcinoma and gene variations in the regions of </w:t>
      </w:r>
      <w:r>
        <w:rPr>
          <w:rStyle w:val="Emphasis"/>
          <w:color w:val="000000"/>
          <w:shd w:val="clear" w:color="auto" w:fill="FFFFFF"/>
        </w:rPr>
        <w:t>CHRNA5/A3/B4</w:t>
      </w:r>
      <w:r>
        <w:rPr>
          <w:color w:val="000000"/>
          <w:shd w:val="clear" w:color="auto" w:fill="FFFFFF"/>
        </w:rPr>
        <w:t xml:space="preserve"> and accounts for </w:t>
      </w:r>
      <w:proofErr w:type="gramStart"/>
      <w:r>
        <w:rPr>
          <w:color w:val="000000"/>
          <w:shd w:val="clear" w:color="auto" w:fill="FFFFFF"/>
        </w:rPr>
        <w:t>approximately 15%</w:t>
      </w:r>
      <w:proofErr w:type="gramEnd"/>
      <w:r>
        <w:rPr>
          <w:color w:val="000000"/>
          <w:shd w:val="clear" w:color="auto" w:fill="FFFFFF"/>
        </w:rPr>
        <w:t xml:space="preserve"> of this relationship. The top two </w:t>
      </w:r>
      <w:r>
        <w:rPr>
          <w:rStyle w:val="Emphasis"/>
          <w:color w:val="000000"/>
          <w:shd w:val="clear" w:color="auto" w:fill="FFFFFF"/>
        </w:rPr>
        <w:t>CHRNA3</w:t>
      </w:r>
      <w:r>
        <w:rPr>
          <w:color w:val="000000"/>
          <w:shd w:val="clear" w:color="auto" w:fill="FFFFFF"/>
        </w:rPr>
        <w:t> SNPs associated with the risk for lung adenocarcinoma were rs1051730 and rs12914385 (p-value = 1.9×10</w:t>
      </w:r>
      <w:r>
        <w:rPr>
          <w:color w:val="000000"/>
          <w:sz w:val="20"/>
          <w:szCs w:val="20"/>
          <w:shd w:val="clear" w:color="auto" w:fill="FFFFFF"/>
          <w:vertAlign w:val="superscript"/>
        </w:rPr>
        <w:t>−10</w:t>
      </w:r>
      <w:r>
        <w:rPr>
          <w:color w:val="000000"/>
          <w:shd w:val="clear" w:color="auto" w:fill="FFFFFF"/>
        </w:rPr>
        <w:t> and 1.1×10</w:t>
      </w:r>
      <w:r>
        <w:rPr>
          <w:color w:val="000000"/>
          <w:sz w:val="20"/>
          <w:szCs w:val="20"/>
          <w:shd w:val="clear" w:color="auto" w:fill="FFFFFF"/>
          <w:vertAlign w:val="superscript"/>
        </w:rPr>
        <w:t>−10</w:t>
      </w:r>
      <w:r>
        <w:rPr>
          <w:color w:val="000000"/>
          <w:shd w:val="clear" w:color="auto" w:fill="FFFFFF"/>
        </w:rPr>
        <w:t>, respectively). Also, these two SNPs had significant indirect effects on lung adenocarcinoma risk through nicotine dependence (p = 0.003 and 0.007). </w:t>
      </w:r>
    </w:p>
    <w:p w14:paraId="636B00D7" w14:textId="28368B15" w:rsidR="005A503F" w:rsidRDefault="005A503F">
      <w:hyperlink r:id="rId7" w:history="1">
        <w:r w:rsidRPr="00FB1B95">
          <w:rPr>
            <w:rStyle w:val="Hyperlink"/>
          </w:rPr>
          <w:t>https://www.ncbi.nlm.nih.gov/pubmed/19654303</w:t>
        </w:r>
      </w:hyperlink>
    </w:p>
    <w:p w14:paraId="4F8274E0" w14:textId="5B16A7C5" w:rsidR="00572A62" w:rsidRDefault="00572A62">
      <w:r>
        <w:rPr>
          <w:rFonts w:ascii="Arial" w:hAnsi="Arial" w:cs="Arial"/>
          <w:color w:val="000000"/>
          <w:sz w:val="20"/>
          <w:szCs w:val="20"/>
          <w:shd w:val="clear" w:color="auto" w:fill="FFFFFF"/>
        </w:rPr>
        <w:t xml:space="preserve">the strongest associations identified </w:t>
      </w:r>
      <w:proofErr w:type="gramStart"/>
      <w:r>
        <w:rPr>
          <w:rFonts w:ascii="Arial" w:hAnsi="Arial" w:cs="Arial"/>
          <w:color w:val="000000"/>
          <w:sz w:val="20"/>
          <w:szCs w:val="20"/>
          <w:shd w:val="clear" w:color="auto" w:fill="FFFFFF"/>
        </w:rPr>
        <w:t>were defined</w:t>
      </w:r>
      <w:proofErr w:type="gramEnd"/>
      <w:r>
        <w:rPr>
          <w:rFonts w:ascii="Arial" w:hAnsi="Arial" w:cs="Arial"/>
          <w:color w:val="000000"/>
          <w:sz w:val="20"/>
          <w:szCs w:val="20"/>
          <w:shd w:val="clear" w:color="auto" w:fill="FFFFFF"/>
        </w:rPr>
        <w:t xml:space="preserve"> by SNPs mapping to 15q25.1 (</w:t>
      </w:r>
      <w:r>
        <w:rPr>
          <w:rStyle w:val="highlight"/>
          <w:rFonts w:ascii="Arial" w:hAnsi="Arial" w:cs="Arial"/>
          <w:color w:val="000000"/>
          <w:sz w:val="20"/>
          <w:szCs w:val="20"/>
          <w:shd w:val="clear" w:color="auto" w:fill="FFFFFF"/>
        </w:rPr>
        <w:t>rs12914385</w:t>
      </w:r>
      <w:r>
        <w:rPr>
          <w:rFonts w:ascii="Arial" w:hAnsi="Arial" w:cs="Arial"/>
          <w:color w:val="000000"/>
          <w:sz w:val="20"/>
          <w:szCs w:val="20"/>
          <w:shd w:val="clear" w:color="auto" w:fill="FFFFFF"/>
        </w:rPr>
        <w:t>; P = 3.19 x 10(-16)), 5p15.33 (rs4975616; P = 6.66 x 10(-7)), and 6p21.33 (rs3117582; P = 9.13 x 10(-7)). Variation at 15q25.1, but not 5p15.33 or 6p21.33, </w:t>
      </w:r>
    </w:p>
    <w:p w14:paraId="7F54CC19" w14:textId="3306A9FD" w:rsidR="005A503F" w:rsidRDefault="005A503F">
      <w:pPr>
        <w:rPr>
          <w:color w:val="000000"/>
          <w:shd w:val="clear" w:color="auto" w:fill="FFFFFF"/>
        </w:rPr>
      </w:pPr>
      <w:proofErr w:type="spellStart"/>
      <w:r>
        <w:rPr>
          <w:color w:val="000000"/>
          <w:shd w:val="clear" w:color="auto" w:fill="FFFFFF"/>
        </w:rPr>
        <w:t>ecently</w:t>
      </w:r>
      <w:proofErr w:type="spellEnd"/>
      <w:r>
        <w:rPr>
          <w:color w:val="000000"/>
          <w:shd w:val="clear" w:color="auto" w:fill="FFFFFF"/>
        </w:rPr>
        <w:t xml:space="preserve"> genome-wide association (GWA) studies of lung cancer have shown common variation at 15q24−25.1 as a determinant of risk(</w:t>
      </w:r>
      <w:hyperlink r:id="rId8" w:anchor="R1" w:history="1">
        <w:r>
          <w:rPr>
            <w:rStyle w:val="Hyperlink"/>
            <w:color w:val="642A8F"/>
            <w:shd w:val="clear" w:color="auto" w:fill="FFFFFF"/>
          </w:rPr>
          <w:t>1</w:t>
        </w:r>
      </w:hyperlink>
      <w:r>
        <w:rPr>
          <w:color w:val="000000"/>
          <w:shd w:val="clear" w:color="auto" w:fill="FFFFFF"/>
        </w:rPr>
        <w:t>–</w:t>
      </w:r>
      <w:hyperlink r:id="rId9" w:anchor="R3" w:history="1">
        <w:r>
          <w:rPr>
            <w:rStyle w:val="Hyperlink"/>
            <w:color w:val="642A8F"/>
            <w:shd w:val="clear" w:color="auto" w:fill="FFFFFF"/>
          </w:rPr>
          <w:t>3</w:t>
        </w:r>
      </w:hyperlink>
      <w:r>
        <w:rPr>
          <w:color w:val="000000"/>
          <w:shd w:val="clear" w:color="auto" w:fill="FFFFFF"/>
        </w:rPr>
        <w:t xml:space="preserve">). Two studies found that the same alleles at this locus increased risk of lung cancer and influenced tobacco smoking </w:t>
      </w:r>
      <w:proofErr w:type="spellStart"/>
      <w:r>
        <w:rPr>
          <w:color w:val="000000"/>
          <w:shd w:val="clear" w:color="auto" w:fill="FFFFFF"/>
        </w:rPr>
        <w:t>behaviour</w:t>
      </w:r>
      <w:proofErr w:type="spellEnd"/>
      <w:r>
        <w:rPr>
          <w:color w:val="000000"/>
          <w:shd w:val="clear" w:color="auto" w:fill="FFFFFF"/>
        </w:rPr>
        <w:t>. Genes mapping to this region of association include </w:t>
      </w:r>
      <w:r>
        <w:rPr>
          <w:rStyle w:val="Emphasis"/>
          <w:color w:val="000000"/>
          <w:shd w:val="clear" w:color="auto" w:fill="FFFFFF"/>
        </w:rPr>
        <w:t>CHRNA3, CHRNA4</w:t>
      </w:r>
      <w:r>
        <w:rPr>
          <w:color w:val="000000"/>
          <w:shd w:val="clear" w:color="auto" w:fill="FFFFFF"/>
        </w:rPr>
        <w:t>, </w:t>
      </w:r>
      <w:r>
        <w:rPr>
          <w:rStyle w:val="Emphasis"/>
          <w:color w:val="000000"/>
          <w:shd w:val="clear" w:color="auto" w:fill="FFFFFF"/>
        </w:rPr>
        <w:t>CHRNA5, PSM4</w:t>
      </w:r>
      <w:r>
        <w:rPr>
          <w:color w:val="000000"/>
          <w:shd w:val="clear" w:color="auto" w:fill="FFFFFF"/>
        </w:rPr>
        <w:t>, </w:t>
      </w:r>
      <w:r>
        <w:rPr>
          <w:rStyle w:val="Emphasis"/>
          <w:color w:val="000000"/>
          <w:shd w:val="clear" w:color="auto" w:fill="FFFFFF"/>
        </w:rPr>
        <w:t>LOC123688</w:t>
      </w:r>
      <w:r>
        <w:rPr>
          <w:color w:val="000000"/>
          <w:shd w:val="clear" w:color="auto" w:fill="FFFFFF"/>
        </w:rPr>
        <w:t>, and </w:t>
      </w:r>
      <w:r>
        <w:rPr>
          <w:rStyle w:val="Emphasis"/>
          <w:color w:val="000000"/>
          <w:shd w:val="clear" w:color="auto" w:fill="FFFFFF"/>
        </w:rPr>
        <w:t>IREB2</w:t>
      </w:r>
      <w:r>
        <w:rPr>
          <w:color w:val="000000"/>
          <w:shd w:val="clear" w:color="auto" w:fill="FFFFFF"/>
        </w:rPr>
        <w:t>. The </w:t>
      </w:r>
      <w:r>
        <w:rPr>
          <w:rStyle w:val="Emphasis"/>
          <w:color w:val="000000"/>
          <w:shd w:val="clear" w:color="auto" w:fill="FFFFFF"/>
        </w:rPr>
        <w:t>CHRNA</w:t>
      </w:r>
      <w:r>
        <w:rPr>
          <w:color w:val="000000"/>
          <w:shd w:val="clear" w:color="auto" w:fill="FFFFFF"/>
        </w:rPr>
        <w:t> genes encode the nicotinic receptor subunits; in addition to playing a role in development of nicotine dependence, nicotine receptors also influence cell proliferation and apoptosis. Hence these genes represent strong candidates for combined lung cancer susceptibility and predilection to smoking. </w:t>
      </w:r>
      <w:r>
        <w:rPr>
          <w:rStyle w:val="Emphasis"/>
          <w:color w:val="000000"/>
          <w:shd w:val="clear" w:color="auto" w:fill="FFFFFF"/>
        </w:rPr>
        <w:t>PSMA4</w:t>
      </w:r>
      <w:r>
        <w:rPr>
          <w:color w:val="000000"/>
          <w:shd w:val="clear" w:color="auto" w:fill="FFFFFF"/>
        </w:rPr>
        <w:t> encodes the fourth component of the proteasome which plays a role in protein degradation and </w:t>
      </w:r>
      <w:r>
        <w:rPr>
          <w:rStyle w:val="Emphasis"/>
          <w:color w:val="000000"/>
          <w:shd w:val="clear" w:color="auto" w:fill="FFFFFF"/>
        </w:rPr>
        <w:t>IREB2</w:t>
      </w:r>
      <w:r>
        <w:rPr>
          <w:color w:val="000000"/>
          <w:shd w:val="clear" w:color="auto" w:fill="FFFFFF"/>
        </w:rPr>
        <w:t> is involved in iron metabolism which may thus impact on oxidative damage. A second lung cancer locus identified through the GWA studies maps to 5p and includes the genes encoding TERT and CLMPTL1. In addition to these loci we and others have found statistically significant evidence implicating a third locus at 6p as a risk factor for lung cancer(</w:t>
      </w:r>
      <w:hyperlink r:id="rId10" w:anchor="R4" w:history="1">
        <w:r>
          <w:rPr>
            <w:rStyle w:val="Hyperlink"/>
            <w:color w:val="642A8F"/>
            <w:shd w:val="clear" w:color="auto" w:fill="FFFFFF"/>
          </w:rPr>
          <w:t>4</w:t>
        </w:r>
      </w:hyperlink>
      <w:r>
        <w:rPr>
          <w:color w:val="000000"/>
          <w:shd w:val="clear" w:color="auto" w:fill="FFFFFF"/>
        </w:rPr>
        <w:t>, </w:t>
      </w:r>
      <w:hyperlink r:id="rId11" w:anchor="R5" w:history="1">
        <w:r>
          <w:rPr>
            <w:rStyle w:val="Hyperlink"/>
            <w:color w:val="642A8F"/>
            <w:shd w:val="clear" w:color="auto" w:fill="FFFFFF"/>
          </w:rPr>
          <w:t>5</w:t>
        </w:r>
      </w:hyperlink>
      <w:r>
        <w:rPr>
          <w:color w:val="000000"/>
          <w:shd w:val="clear" w:color="auto" w:fill="FFFFFF"/>
        </w:rPr>
        <w:t>).</w:t>
      </w:r>
    </w:p>
    <w:p w14:paraId="21B41B14" w14:textId="77777777" w:rsidR="005A503F" w:rsidRDefault="005A503F"/>
    <w:tbl>
      <w:tblPr>
        <w:tblW w:w="15048" w:type="dxa"/>
        <w:tblInd w:w="93" w:type="dxa"/>
        <w:tblLayout w:type="fixed"/>
        <w:tblLook w:val="04A0" w:firstRow="1" w:lastRow="0" w:firstColumn="1" w:lastColumn="0" w:noHBand="0" w:noVBand="1"/>
      </w:tblPr>
      <w:tblGrid>
        <w:gridCol w:w="1539"/>
        <w:gridCol w:w="1098"/>
        <w:gridCol w:w="1098"/>
        <w:gridCol w:w="240"/>
        <w:gridCol w:w="717"/>
        <w:gridCol w:w="1373"/>
        <w:gridCol w:w="1762"/>
        <w:gridCol w:w="720"/>
        <w:gridCol w:w="236"/>
        <w:gridCol w:w="1306"/>
        <w:gridCol w:w="1312"/>
        <w:gridCol w:w="38"/>
        <w:gridCol w:w="198"/>
        <w:gridCol w:w="38"/>
        <w:gridCol w:w="717"/>
        <w:gridCol w:w="1306"/>
        <w:gridCol w:w="1312"/>
        <w:gridCol w:w="38"/>
      </w:tblGrid>
      <w:tr w:rsidR="005A503F" w14:paraId="6A752183" w14:textId="77777777" w:rsidTr="00572A62">
        <w:trPr>
          <w:gridAfter w:val="1"/>
          <w:wAfter w:w="38" w:type="dxa"/>
          <w:trHeight w:val="340"/>
        </w:trPr>
        <w:tc>
          <w:tcPr>
            <w:tcW w:w="3735" w:type="dxa"/>
            <w:gridSpan w:val="3"/>
            <w:noWrap/>
            <w:vAlign w:val="center"/>
            <w:hideMark/>
          </w:tcPr>
          <w:p w14:paraId="3CC2D7D5" w14:textId="77777777" w:rsidR="005A503F" w:rsidRDefault="005A503F">
            <w:pPr>
              <w:rPr>
                <w:rFonts w:ascii="Arial" w:hAnsi="Arial" w:cs="Arial"/>
                <w:b/>
                <w:bCs/>
                <w:sz w:val="20"/>
                <w:szCs w:val="20"/>
              </w:rPr>
            </w:pPr>
            <w:r>
              <w:rPr>
                <w:rFonts w:ascii="Arial" w:hAnsi="Arial" w:cs="Arial"/>
                <w:b/>
                <w:sz w:val="20"/>
                <w:szCs w:val="20"/>
              </w:rPr>
              <w:t>rs12914385</w:t>
            </w:r>
          </w:p>
        </w:tc>
        <w:tc>
          <w:tcPr>
            <w:tcW w:w="240" w:type="dxa"/>
            <w:hideMark/>
          </w:tcPr>
          <w:p w14:paraId="19DEDA4D" w14:textId="77777777" w:rsidR="005A503F" w:rsidRDefault="005A503F">
            <w:pPr>
              <w:jc w:val="center"/>
              <w:rPr>
                <w:rFonts w:ascii="Arial" w:hAnsi="Arial" w:cs="Arial"/>
                <w:b/>
                <w:sz w:val="20"/>
                <w:szCs w:val="20"/>
              </w:rPr>
            </w:pPr>
          </w:p>
        </w:tc>
        <w:tc>
          <w:tcPr>
            <w:tcW w:w="3852" w:type="dxa"/>
            <w:gridSpan w:val="3"/>
            <w:tcBorders>
              <w:top w:val="nil"/>
              <w:left w:val="nil"/>
              <w:bottom w:val="single" w:sz="4" w:space="0" w:color="auto"/>
              <w:right w:val="nil"/>
            </w:tcBorders>
            <w:noWrap/>
            <w:vAlign w:val="center"/>
            <w:hideMark/>
          </w:tcPr>
          <w:p w14:paraId="1569803C" w14:textId="77777777" w:rsidR="005A503F" w:rsidRDefault="005A503F">
            <w:pPr>
              <w:jc w:val="center"/>
              <w:rPr>
                <w:rFonts w:ascii="Arial" w:hAnsi="Arial" w:cs="Arial"/>
                <w:b/>
                <w:i/>
                <w:iCs/>
                <w:sz w:val="20"/>
                <w:szCs w:val="20"/>
              </w:rPr>
            </w:pPr>
            <w:r>
              <w:rPr>
                <w:rFonts w:ascii="Arial" w:hAnsi="Arial" w:cs="Arial"/>
                <w:b/>
                <w:bCs/>
                <w:iCs/>
                <w:sz w:val="20"/>
                <w:szCs w:val="20"/>
              </w:rPr>
              <w:t>Per Allele</w:t>
            </w:r>
          </w:p>
        </w:tc>
        <w:tc>
          <w:tcPr>
            <w:tcW w:w="720" w:type="dxa"/>
            <w:hideMark/>
          </w:tcPr>
          <w:p w14:paraId="0B69437C" w14:textId="77777777" w:rsidR="005A503F" w:rsidRDefault="005A503F">
            <w:pPr>
              <w:jc w:val="center"/>
              <w:rPr>
                <w:rFonts w:ascii="Arial" w:hAnsi="Arial" w:cs="Arial"/>
                <w:b/>
                <w:sz w:val="20"/>
                <w:szCs w:val="20"/>
              </w:rPr>
            </w:pPr>
          </w:p>
        </w:tc>
        <w:tc>
          <w:tcPr>
            <w:tcW w:w="2854" w:type="dxa"/>
            <w:gridSpan w:val="3"/>
            <w:tcBorders>
              <w:top w:val="nil"/>
              <w:left w:val="nil"/>
              <w:bottom w:val="single" w:sz="4" w:space="0" w:color="auto"/>
              <w:right w:val="nil"/>
            </w:tcBorders>
            <w:noWrap/>
            <w:vAlign w:val="center"/>
            <w:hideMark/>
          </w:tcPr>
          <w:p w14:paraId="604E9CAC" w14:textId="77777777" w:rsidR="005A503F" w:rsidRDefault="005A503F">
            <w:pPr>
              <w:jc w:val="center"/>
              <w:rPr>
                <w:rFonts w:ascii="Arial" w:hAnsi="Arial" w:cs="Arial"/>
                <w:b/>
                <w:i/>
                <w:iCs/>
                <w:sz w:val="20"/>
                <w:szCs w:val="20"/>
              </w:rPr>
            </w:pPr>
            <w:r>
              <w:rPr>
                <w:rFonts w:ascii="Arial" w:hAnsi="Arial" w:cs="Arial"/>
                <w:b/>
                <w:bCs/>
                <w:iCs/>
                <w:sz w:val="20"/>
                <w:szCs w:val="20"/>
              </w:rPr>
              <w:t>Heterozygous</w:t>
            </w:r>
          </w:p>
        </w:tc>
        <w:tc>
          <w:tcPr>
            <w:tcW w:w="236" w:type="dxa"/>
            <w:gridSpan w:val="2"/>
            <w:hideMark/>
          </w:tcPr>
          <w:p w14:paraId="42DD6E44" w14:textId="77777777" w:rsidR="005A503F" w:rsidRDefault="005A503F">
            <w:pPr>
              <w:jc w:val="center"/>
              <w:rPr>
                <w:rFonts w:ascii="Arial" w:hAnsi="Arial" w:cs="Arial"/>
                <w:b/>
                <w:sz w:val="20"/>
                <w:szCs w:val="20"/>
              </w:rPr>
            </w:pPr>
          </w:p>
        </w:tc>
        <w:tc>
          <w:tcPr>
            <w:tcW w:w="3373" w:type="dxa"/>
            <w:gridSpan w:val="4"/>
            <w:tcBorders>
              <w:top w:val="nil"/>
              <w:left w:val="nil"/>
              <w:bottom w:val="single" w:sz="4" w:space="0" w:color="auto"/>
              <w:right w:val="nil"/>
            </w:tcBorders>
            <w:noWrap/>
            <w:vAlign w:val="center"/>
            <w:hideMark/>
          </w:tcPr>
          <w:p w14:paraId="43DC033D" w14:textId="77777777" w:rsidR="005A503F" w:rsidRDefault="005A503F">
            <w:pPr>
              <w:jc w:val="center"/>
              <w:rPr>
                <w:rFonts w:ascii="Arial" w:hAnsi="Arial" w:cs="Arial"/>
                <w:b/>
                <w:i/>
                <w:iCs/>
                <w:sz w:val="20"/>
                <w:szCs w:val="20"/>
              </w:rPr>
            </w:pPr>
            <w:r>
              <w:rPr>
                <w:rFonts w:ascii="Arial" w:hAnsi="Arial" w:cs="Arial"/>
                <w:b/>
                <w:bCs/>
                <w:iCs/>
                <w:sz w:val="20"/>
                <w:szCs w:val="20"/>
              </w:rPr>
              <w:t>Homozygous</w:t>
            </w:r>
          </w:p>
        </w:tc>
      </w:tr>
      <w:tr w:rsidR="005A503F" w14:paraId="4271CB3D" w14:textId="77777777" w:rsidTr="00572A62">
        <w:trPr>
          <w:trHeight w:val="340"/>
        </w:trPr>
        <w:tc>
          <w:tcPr>
            <w:tcW w:w="1539" w:type="dxa"/>
            <w:tcBorders>
              <w:top w:val="nil"/>
              <w:left w:val="nil"/>
              <w:bottom w:val="single" w:sz="4" w:space="0" w:color="auto"/>
              <w:right w:val="nil"/>
            </w:tcBorders>
            <w:noWrap/>
            <w:vAlign w:val="center"/>
            <w:hideMark/>
          </w:tcPr>
          <w:p w14:paraId="2A937D13" w14:textId="77777777" w:rsidR="005A503F" w:rsidRDefault="005A503F">
            <w:pPr>
              <w:jc w:val="center"/>
              <w:rPr>
                <w:rFonts w:ascii="Arial" w:hAnsi="Arial" w:cs="Arial"/>
                <w:b/>
                <w:bCs/>
                <w:sz w:val="20"/>
                <w:szCs w:val="20"/>
              </w:rPr>
            </w:pPr>
            <w:r>
              <w:rPr>
                <w:rFonts w:ascii="Arial" w:hAnsi="Arial" w:cs="Arial"/>
                <w:b/>
                <w:bCs/>
                <w:sz w:val="20"/>
                <w:szCs w:val="20"/>
              </w:rPr>
              <w:lastRenderedPageBreak/>
              <w:t>Study</w:t>
            </w:r>
          </w:p>
        </w:tc>
        <w:tc>
          <w:tcPr>
            <w:tcW w:w="1098" w:type="dxa"/>
            <w:tcBorders>
              <w:top w:val="nil"/>
              <w:left w:val="nil"/>
              <w:bottom w:val="single" w:sz="4" w:space="0" w:color="auto"/>
              <w:right w:val="nil"/>
            </w:tcBorders>
            <w:noWrap/>
            <w:vAlign w:val="center"/>
            <w:hideMark/>
          </w:tcPr>
          <w:p w14:paraId="77321D9D" w14:textId="77777777" w:rsidR="005A503F" w:rsidRDefault="005A503F">
            <w:pPr>
              <w:jc w:val="center"/>
              <w:rPr>
                <w:rFonts w:ascii="Arial" w:hAnsi="Arial" w:cs="Arial"/>
                <w:b/>
                <w:bCs/>
                <w:sz w:val="20"/>
                <w:szCs w:val="20"/>
              </w:rPr>
            </w:pPr>
            <w:r>
              <w:rPr>
                <w:rFonts w:ascii="Arial" w:hAnsi="Arial" w:cs="Arial"/>
                <w:b/>
                <w:bCs/>
                <w:sz w:val="20"/>
                <w:szCs w:val="20"/>
              </w:rPr>
              <w:t>Cases</w:t>
            </w:r>
          </w:p>
        </w:tc>
        <w:tc>
          <w:tcPr>
            <w:tcW w:w="1098" w:type="dxa"/>
            <w:tcBorders>
              <w:top w:val="nil"/>
              <w:left w:val="nil"/>
              <w:bottom w:val="single" w:sz="4" w:space="0" w:color="auto"/>
              <w:right w:val="nil"/>
            </w:tcBorders>
            <w:noWrap/>
            <w:vAlign w:val="center"/>
            <w:hideMark/>
          </w:tcPr>
          <w:p w14:paraId="58A6F676" w14:textId="77777777" w:rsidR="005A503F" w:rsidRDefault="005A503F">
            <w:pPr>
              <w:jc w:val="center"/>
              <w:rPr>
                <w:rFonts w:ascii="Arial" w:hAnsi="Arial" w:cs="Arial"/>
                <w:b/>
                <w:bCs/>
                <w:sz w:val="20"/>
                <w:szCs w:val="20"/>
              </w:rPr>
            </w:pPr>
            <w:r>
              <w:rPr>
                <w:rFonts w:ascii="Arial" w:hAnsi="Arial" w:cs="Arial"/>
                <w:b/>
                <w:bCs/>
                <w:sz w:val="20"/>
                <w:szCs w:val="20"/>
              </w:rPr>
              <w:t>Controls</w:t>
            </w:r>
          </w:p>
        </w:tc>
        <w:tc>
          <w:tcPr>
            <w:tcW w:w="240" w:type="dxa"/>
            <w:tcBorders>
              <w:top w:val="nil"/>
              <w:left w:val="nil"/>
              <w:bottom w:val="single" w:sz="4" w:space="0" w:color="auto"/>
              <w:right w:val="nil"/>
            </w:tcBorders>
            <w:vAlign w:val="center"/>
            <w:hideMark/>
          </w:tcPr>
          <w:p w14:paraId="1849F266" w14:textId="77777777" w:rsidR="005A503F" w:rsidRDefault="005A503F">
            <w:pPr>
              <w:jc w:val="center"/>
              <w:rPr>
                <w:rFonts w:ascii="Arial" w:hAnsi="Arial" w:cs="Arial"/>
                <w:b/>
                <w:sz w:val="20"/>
                <w:szCs w:val="20"/>
              </w:rPr>
            </w:pPr>
          </w:p>
        </w:tc>
        <w:tc>
          <w:tcPr>
            <w:tcW w:w="717" w:type="dxa"/>
            <w:tcBorders>
              <w:top w:val="single" w:sz="4" w:space="0" w:color="auto"/>
              <w:left w:val="nil"/>
              <w:bottom w:val="single" w:sz="4" w:space="0" w:color="auto"/>
              <w:right w:val="nil"/>
            </w:tcBorders>
            <w:noWrap/>
            <w:vAlign w:val="center"/>
            <w:hideMark/>
          </w:tcPr>
          <w:p w14:paraId="67E4EB40" w14:textId="77777777" w:rsidR="005A503F" w:rsidRDefault="005A503F">
            <w:pPr>
              <w:jc w:val="center"/>
              <w:rPr>
                <w:rFonts w:ascii="Arial" w:hAnsi="Arial" w:cs="Arial"/>
                <w:b/>
                <w:sz w:val="20"/>
                <w:szCs w:val="20"/>
              </w:rPr>
            </w:pPr>
            <w:r>
              <w:rPr>
                <w:rFonts w:ascii="Arial" w:hAnsi="Arial" w:cs="Arial"/>
                <w:b/>
                <w:sz w:val="20"/>
                <w:szCs w:val="20"/>
              </w:rPr>
              <w:t>OR</w:t>
            </w:r>
          </w:p>
        </w:tc>
        <w:tc>
          <w:tcPr>
            <w:tcW w:w="1373" w:type="dxa"/>
            <w:tcBorders>
              <w:top w:val="single" w:sz="4" w:space="0" w:color="auto"/>
              <w:left w:val="nil"/>
              <w:bottom w:val="single" w:sz="4" w:space="0" w:color="auto"/>
              <w:right w:val="nil"/>
            </w:tcBorders>
            <w:noWrap/>
            <w:vAlign w:val="center"/>
            <w:hideMark/>
          </w:tcPr>
          <w:p w14:paraId="5421D8EE" w14:textId="77777777" w:rsidR="005A503F" w:rsidRDefault="005A503F">
            <w:pPr>
              <w:jc w:val="center"/>
              <w:rPr>
                <w:rFonts w:ascii="Arial" w:hAnsi="Arial" w:cs="Arial"/>
                <w:b/>
                <w:sz w:val="20"/>
                <w:szCs w:val="20"/>
              </w:rPr>
            </w:pPr>
            <w:r>
              <w:rPr>
                <w:rFonts w:ascii="Arial" w:hAnsi="Arial" w:cs="Arial"/>
                <w:b/>
                <w:sz w:val="20"/>
                <w:szCs w:val="20"/>
              </w:rPr>
              <w:t>95% CI</w:t>
            </w:r>
          </w:p>
        </w:tc>
        <w:tc>
          <w:tcPr>
            <w:tcW w:w="1762" w:type="dxa"/>
            <w:tcBorders>
              <w:top w:val="single" w:sz="4" w:space="0" w:color="auto"/>
              <w:left w:val="nil"/>
              <w:bottom w:val="single" w:sz="4" w:space="0" w:color="auto"/>
              <w:right w:val="nil"/>
            </w:tcBorders>
            <w:noWrap/>
            <w:vAlign w:val="center"/>
            <w:hideMark/>
          </w:tcPr>
          <w:p w14:paraId="318C04C5" w14:textId="77777777" w:rsidR="005A503F" w:rsidRDefault="005A503F">
            <w:pPr>
              <w:jc w:val="center"/>
              <w:rPr>
                <w:rFonts w:ascii="Arial" w:hAnsi="Arial" w:cs="Arial"/>
                <w:b/>
                <w:i/>
                <w:iCs/>
                <w:sz w:val="20"/>
                <w:szCs w:val="20"/>
              </w:rPr>
            </w:pPr>
            <w:r>
              <w:rPr>
                <w:rFonts w:ascii="Arial" w:hAnsi="Arial" w:cs="Arial"/>
                <w:b/>
                <w:i/>
                <w:iCs/>
                <w:sz w:val="20"/>
                <w:szCs w:val="20"/>
              </w:rPr>
              <w:t>P</w:t>
            </w:r>
            <w:r>
              <w:rPr>
                <w:rFonts w:ascii="Arial" w:hAnsi="Arial" w:cs="Arial"/>
                <w:b/>
                <w:sz w:val="20"/>
                <w:szCs w:val="20"/>
              </w:rPr>
              <w:t>-value</w:t>
            </w:r>
          </w:p>
        </w:tc>
        <w:tc>
          <w:tcPr>
            <w:tcW w:w="720" w:type="dxa"/>
            <w:tcBorders>
              <w:top w:val="nil"/>
              <w:left w:val="nil"/>
              <w:bottom w:val="single" w:sz="4" w:space="0" w:color="auto"/>
              <w:right w:val="nil"/>
            </w:tcBorders>
            <w:vAlign w:val="center"/>
            <w:hideMark/>
          </w:tcPr>
          <w:p w14:paraId="639FB907" w14:textId="77777777" w:rsidR="005A503F" w:rsidRDefault="005A503F">
            <w:pPr>
              <w:jc w:val="center"/>
              <w:rPr>
                <w:rFonts w:ascii="Arial" w:hAnsi="Arial" w:cs="Arial"/>
                <w:b/>
                <w:sz w:val="20"/>
                <w:szCs w:val="20"/>
              </w:rPr>
            </w:pPr>
          </w:p>
        </w:tc>
        <w:tc>
          <w:tcPr>
            <w:tcW w:w="236" w:type="dxa"/>
            <w:tcBorders>
              <w:top w:val="single" w:sz="4" w:space="0" w:color="auto"/>
              <w:left w:val="nil"/>
              <w:bottom w:val="single" w:sz="4" w:space="0" w:color="auto"/>
              <w:right w:val="nil"/>
            </w:tcBorders>
            <w:noWrap/>
            <w:vAlign w:val="center"/>
            <w:hideMark/>
          </w:tcPr>
          <w:p w14:paraId="018A3BFB" w14:textId="77777777" w:rsidR="005A503F" w:rsidRDefault="005A503F">
            <w:pPr>
              <w:jc w:val="center"/>
              <w:rPr>
                <w:rFonts w:ascii="Arial" w:hAnsi="Arial" w:cs="Arial"/>
                <w:b/>
                <w:sz w:val="20"/>
                <w:szCs w:val="20"/>
              </w:rPr>
            </w:pPr>
            <w:r>
              <w:rPr>
                <w:rFonts w:ascii="Arial" w:hAnsi="Arial" w:cs="Arial"/>
                <w:b/>
                <w:sz w:val="20"/>
                <w:szCs w:val="20"/>
              </w:rPr>
              <w:t>OR</w:t>
            </w:r>
          </w:p>
        </w:tc>
        <w:tc>
          <w:tcPr>
            <w:tcW w:w="1306" w:type="dxa"/>
            <w:tcBorders>
              <w:top w:val="single" w:sz="4" w:space="0" w:color="auto"/>
              <w:left w:val="nil"/>
              <w:bottom w:val="single" w:sz="4" w:space="0" w:color="auto"/>
              <w:right w:val="nil"/>
            </w:tcBorders>
            <w:noWrap/>
            <w:vAlign w:val="center"/>
            <w:hideMark/>
          </w:tcPr>
          <w:p w14:paraId="2F2BB805" w14:textId="77777777" w:rsidR="005A503F" w:rsidRDefault="005A503F">
            <w:pPr>
              <w:jc w:val="center"/>
              <w:rPr>
                <w:rFonts w:ascii="Arial" w:hAnsi="Arial" w:cs="Arial"/>
                <w:b/>
                <w:sz w:val="20"/>
                <w:szCs w:val="20"/>
              </w:rPr>
            </w:pPr>
            <w:r>
              <w:rPr>
                <w:rFonts w:ascii="Arial" w:hAnsi="Arial" w:cs="Arial"/>
                <w:b/>
                <w:sz w:val="20"/>
                <w:szCs w:val="20"/>
              </w:rPr>
              <w:t>95% CI</w:t>
            </w:r>
          </w:p>
        </w:tc>
        <w:tc>
          <w:tcPr>
            <w:tcW w:w="1350" w:type="dxa"/>
            <w:gridSpan w:val="2"/>
            <w:tcBorders>
              <w:top w:val="single" w:sz="4" w:space="0" w:color="auto"/>
              <w:left w:val="nil"/>
              <w:bottom w:val="single" w:sz="4" w:space="0" w:color="auto"/>
              <w:right w:val="nil"/>
            </w:tcBorders>
            <w:noWrap/>
            <w:vAlign w:val="center"/>
            <w:hideMark/>
          </w:tcPr>
          <w:p w14:paraId="3B3F5542" w14:textId="77777777" w:rsidR="005A503F" w:rsidRDefault="005A503F">
            <w:pPr>
              <w:jc w:val="center"/>
              <w:rPr>
                <w:rFonts w:ascii="Arial" w:hAnsi="Arial" w:cs="Arial"/>
                <w:b/>
                <w:i/>
                <w:iCs/>
                <w:sz w:val="20"/>
                <w:szCs w:val="20"/>
              </w:rPr>
            </w:pPr>
            <w:r>
              <w:rPr>
                <w:rFonts w:ascii="Arial" w:hAnsi="Arial" w:cs="Arial"/>
                <w:b/>
                <w:i/>
                <w:iCs/>
                <w:sz w:val="20"/>
                <w:szCs w:val="20"/>
              </w:rPr>
              <w:t>P</w:t>
            </w:r>
            <w:r>
              <w:rPr>
                <w:rFonts w:ascii="Arial" w:hAnsi="Arial" w:cs="Arial"/>
                <w:b/>
                <w:sz w:val="20"/>
                <w:szCs w:val="20"/>
              </w:rPr>
              <w:t>-value</w:t>
            </w:r>
          </w:p>
        </w:tc>
        <w:tc>
          <w:tcPr>
            <w:tcW w:w="236" w:type="dxa"/>
            <w:gridSpan w:val="2"/>
            <w:tcBorders>
              <w:top w:val="nil"/>
              <w:left w:val="nil"/>
              <w:bottom w:val="single" w:sz="4" w:space="0" w:color="auto"/>
              <w:right w:val="nil"/>
            </w:tcBorders>
            <w:vAlign w:val="center"/>
            <w:hideMark/>
          </w:tcPr>
          <w:p w14:paraId="07B6A839" w14:textId="77777777" w:rsidR="005A503F" w:rsidRDefault="005A503F">
            <w:pPr>
              <w:jc w:val="center"/>
              <w:rPr>
                <w:rFonts w:ascii="Arial" w:hAnsi="Arial" w:cs="Arial"/>
                <w:b/>
                <w:sz w:val="20"/>
                <w:szCs w:val="20"/>
              </w:rPr>
            </w:pPr>
          </w:p>
        </w:tc>
        <w:tc>
          <w:tcPr>
            <w:tcW w:w="717" w:type="dxa"/>
            <w:tcBorders>
              <w:top w:val="single" w:sz="4" w:space="0" w:color="auto"/>
              <w:left w:val="nil"/>
              <w:bottom w:val="single" w:sz="4" w:space="0" w:color="auto"/>
              <w:right w:val="nil"/>
            </w:tcBorders>
            <w:noWrap/>
            <w:vAlign w:val="center"/>
            <w:hideMark/>
          </w:tcPr>
          <w:p w14:paraId="05604969" w14:textId="77777777" w:rsidR="005A503F" w:rsidRDefault="005A503F">
            <w:pPr>
              <w:jc w:val="center"/>
              <w:rPr>
                <w:rFonts w:ascii="Arial" w:hAnsi="Arial" w:cs="Arial"/>
                <w:b/>
                <w:sz w:val="20"/>
                <w:szCs w:val="20"/>
              </w:rPr>
            </w:pPr>
            <w:r>
              <w:rPr>
                <w:rFonts w:ascii="Arial" w:hAnsi="Arial" w:cs="Arial"/>
                <w:b/>
                <w:sz w:val="20"/>
                <w:szCs w:val="20"/>
              </w:rPr>
              <w:t>OR</w:t>
            </w:r>
          </w:p>
        </w:tc>
        <w:tc>
          <w:tcPr>
            <w:tcW w:w="1306" w:type="dxa"/>
            <w:tcBorders>
              <w:top w:val="single" w:sz="4" w:space="0" w:color="auto"/>
              <w:left w:val="nil"/>
              <w:bottom w:val="single" w:sz="4" w:space="0" w:color="auto"/>
              <w:right w:val="nil"/>
            </w:tcBorders>
            <w:noWrap/>
            <w:vAlign w:val="center"/>
            <w:hideMark/>
          </w:tcPr>
          <w:p w14:paraId="59ECE52F" w14:textId="77777777" w:rsidR="005A503F" w:rsidRDefault="005A503F">
            <w:pPr>
              <w:jc w:val="center"/>
              <w:rPr>
                <w:rFonts w:ascii="Arial" w:hAnsi="Arial" w:cs="Arial"/>
                <w:b/>
                <w:sz w:val="20"/>
                <w:szCs w:val="20"/>
              </w:rPr>
            </w:pPr>
            <w:r>
              <w:rPr>
                <w:rFonts w:ascii="Arial" w:hAnsi="Arial" w:cs="Arial"/>
                <w:b/>
                <w:sz w:val="20"/>
                <w:szCs w:val="20"/>
              </w:rPr>
              <w:t>95% CI</w:t>
            </w:r>
          </w:p>
        </w:tc>
        <w:tc>
          <w:tcPr>
            <w:tcW w:w="1350" w:type="dxa"/>
            <w:gridSpan w:val="2"/>
            <w:tcBorders>
              <w:top w:val="single" w:sz="4" w:space="0" w:color="auto"/>
              <w:left w:val="nil"/>
              <w:bottom w:val="single" w:sz="4" w:space="0" w:color="auto"/>
              <w:right w:val="nil"/>
            </w:tcBorders>
            <w:noWrap/>
            <w:vAlign w:val="center"/>
            <w:hideMark/>
          </w:tcPr>
          <w:p w14:paraId="70212412" w14:textId="77777777" w:rsidR="005A503F" w:rsidRDefault="005A503F">
            <w:pPr>
              <w:jc w:val="center"/>
              <w:rPr>
                <w:rFonts w:ascii="Arial" w:hAnsi="Arial" w:cs="Arial"/>
                <w:b/>
                <w:i/>
                <w:iCs/>
                <w:sz w:val="20"/>
                <w:szCs w:val="20"/>
              </w:rPr>
            </w:pPr>
            <w:r>
              <w:rPr>
                <w:rFonts w:ascii="Arial" w:hAnsi="Arial" w:cs="Arial"/>
                <w:b/>
                <w:i/>
                <w:iCs/>
                <w:sz w:val="20"/>
                <w:szCs w:val="20"/>
              </w:rPr>
              <w:t>P</w:t>
            </w:r>
            <w:r>
              <w:rPr>
                <w:rFonts w:ascii="Arial" w:hAnsi="Arial" w:cs="Arial"/>
                <w:b/>
                <w:sz w:val="20"/>
                <w:szCs w:val="20"/>
              </w:rPr>
              <w:t>-value</w:t>
            </w:r>
          </w:p>
        </w:tc>
      </w:tr>
      <w:tr w:rsidR="005A503F" w14:paraId="325A5A1D" w14:textId="77777777" w:rsidTr="00572A62">
        <w:trPr>
          <w:trHeight w:val="340"/>
        </w:trPr>
        <w:tc>
          <w:tcPr>
            <w:tcW w:w="1539" w:type="dxa"/>
            <w:noWrap/>
            <w:vAlign w:val="center"/>
            <w:hideMark/>
          </w:tcPr>
          <w:p w14:paraId="228EB103" w14:textId="77777777" w:rsidR="005A503F" w:rsidRDefault="005A503F">
            <w:pPr>
              <w:rPr>
                <w:rFonts w:ascii="Arial" w:hAnsi="Arial" w:cs="Arial"/>
                <w:sz w:val="20"/>
                <w:szCs w:val="20"/>
              </w:rPr>
            </w:pPr>
            <w:r>
              <w:rPr>
                <w:rFonts w:ascii="Arial" w:hAnsi="Arial" w:cs="Arial"/>
                <w:sz w:val="20"/>
                <w:szCs w:val="20"/>
              </w:rPr>
              <w:t>UK GWAs P1</w:t>
            </w:r>
          </w:p>
        </w:tc>
        <w:tc>
          <w:tcPr>
            <w:tcW w:w="1098" w:type="dxa"/>
            <w:noWrap/>
            <w:vAlign w:val="center"/>
            <w:hideMark/>
          </w:tcPr>
          <w:p w14:paraId="57298F5D" w14:textId="77777777" w:rsidR="005A503F" w:rsidRDefault="005A503F">
            <w:pPr>
              <w:jc w:val="center"/>
              <w:rPr>
                <w:rFonts w:ascii="Arial" w:hAnsi="Arial" w:cs="Arial"/>
                <w:sz w:val="20"/>
                <w:szCs w:val="20"/>
              </w:rPr>
            </w:pPr>
            <w:r>
              <w:rPr>
                <w:rFonts w:ascii="Arial" w:hAnsi="Arial" w:cs="Arial"/>
                <w:sz w:val="20"/>
                <w:szCs w:val="20"/>
              </w:rPr>
              <w:t>1952</w:t>
            </w:r>
          </w:p>
        </w:tc>
        <w:tc>
          <w:tcPr>
            <w:tcW w:w="1098" w:type="dxa"/>
            <w:noWrap/>
            <w:vAlign w:val="center"/>
            <w:hideMark/>
          </w:tcPr>
          <w:p w14:paraId="706DC35D" w14:textId="77777777" w:rsidR="005A503F" w:rsidRDefault="005A503F">
            <w:pPr>
              <w:jc w:val="center"/>
              <w:rPr>
                <w:rFonts w:ascii="Arial" w:hAnsi="Arial" w:cs="Arial"/>
                <w:sz w:val="20"/>
                <w:szCs w:val="20"/>
              </w:rPr>
            </w:pPr>
            <w:r>
              <w:rPr>
                <w:rFonts w:ascii="Arial" w:hAnsi="Arial" w:cs="Arial"/>
                <w:sz w:val="20"/>
                <w:szCs w:val="20"/>
              </w:rPr>
              <w:t>1438</w:t>
            </w:r>
          </w:p>
        </w:tc>
        <w:tc>
          <w:tcPr>
            <w:tcW w:w="240" w:type="dxa"/>
            <w:vAlign w:val="center"/>
            <w:hideMark/>
          </w:tcPr>
          <w:p w14:paraId="3DECCC28" w14:textId="77777777" w:rsidR="005A503F" w:rsidRDefault="005A503F">
            <w:pPr>
              <w:jc w:val="center"/>
              <w:rPr>
                <w:rFonts w:ascii="Arial" w:hAnsi="Arial" w:cs="Arial"/>
                <w:sz w:val="20"/>
                <w:szCs w:val="20"/>
              </w:rPr>
            </w:pPr>
          </w:p>
        </w:tc>
        <w:tc>
          <w:tcPr>
            <w:tcW w:w="717" w:type="dxa"/>
            <w:noWrap/>
            <w:vAlign w:val="center"/>
            <w:hideMark/>
          </w:tcPr>
          <w:p w14:paraId="406100A9" w14:textId="77777777" w:rsidR="005A503F" w:rsidRDefault="005A503F">
            <w:pPr>
              <w:jc w:val="center"/>
              <w:rPr>
                <w:rFonts w:ascii="Arial" w:hAnsi="Arial" w:cs="Arial"/>
                <w:sz w:val="20"/>
                <w:szCs w:val="20"/>
              </w:rPr>
            </w:pPr>
            <w:r>
              <w:rPr>
                <w:rFonts w:ascii="Arial" w:hAnsi="Arial" w:cs="Arial"/>
                <w:sz w:val="20"/>
                <w:szCs w:val="20"/>
              </w:rPr>
              <w:t>1.32</w:t>
            </w:r>
          </w:p>
        </w:tc>
        <w:tc>
          <w:tcPr>
            <w:tcW w:w="1373" w:type="dxa"/>
            <w:noWrap/>
            <w:vAlign w:val="center"/>
            <w:hideMark/>
          </w:tcPr>
          <w:p w14:paraId="64631CF9" w14:textId="77777777" w:rsidR="005A503F" w:rsidRDefault="005A503F">
            <w:pPr>
              <w:jc w:val="center"/>
              <w:rPr>
                <w:rFonts w:ascii="Arial" w:hAnsi="Arial" w:cs="Arial"/>
                <w:sz w:val="20"/>
                <w:szCs w:val="20"/>
              </w:rPr>
            </w:pPr>
            <w:r>
              <w:rPr>
                <w:rFonts w:ascii="Arial" w:hAnsi="Arial" w:cs="Arial"/>
                <w:sz w:val="20"/>
                <w:szCs w:val="20"/>
              </w:rPr>
              <w:t>(1.19-1.45)</w:t>
            </w:r>
          </w:p>
        </w:tc>
        <w:tc>
          <w:tcPr>
            <w:tcW w:w="1762" w:type="dxa"/>
            <w:noWrap/>
            <w:vAlign w:val="center"/>
            <w:hideMark/>
          </w:tcPr>
          <w:p w14:paraId="495B6488" w14:textId="77777777" w:rsidR="005A503F" w:rsidRDefault="005A503F">
            <w:pPr>
              <w:jc w:val="center"/>
              <w:rPr>
                <w:rFonts w:ascii="Arial" w:hAnsi="Arial" w:cs="Arial"/>
                <w:sz w:val="20"/>
                <w:szCs w:val="20"/>
              </w:rPr>
            </w:pPr>
            <w:r>
              <w:rPr>
                <w:rFonts w:ascii="Arial" w:hAnsi="Arial" w:cs="Arial"/>
                <w:sz w:val="20"/>
                <w:szCs w:val="20"/>
              </w:rPr>
              <w:t>4.47 x 10</w:t>
            </w:r>
            <w:r>
              <w:rPr>
                <w:rFonts w:ascii="Arial" w:hAnsi="Arial" w:cs="Arial"/>
                <w:sz w:val="20"/>
                <w:szCs w:val="20"/>
                <w:vertAlign w:val="superscript"/>
              </w:rPr>
              <w:t>-8</w:t>
            </w:r>
          </w:p>
        </w:tc>
        <w:tc>
          <w:tcPr>
            <w:tcW w:w="720" w:type="dxa"/>
            <w:vAlign w:val="center"/>
            <w:hideMark/>
          </w:tcPr>
          <w:p w14:paraId="522C9AB5" w14:textId="77777777" w:rsidR="005A503F" w:rsidRDefault="005A503F">
            <w:pPr>
              <w:jc w:val="center"/>
              <w:rPr>
                <w:rFonts w:ascii="Arial" w:hAnsi="Arial" w:cs="Arial"/>
                <w:sz w:val="20"/>
                <w:szCs w:val="20"/>
              </w:rPr>
            </w:pPr>
          </w:p>
        </w:tc>
        <w:tc>
          <w:tcPr>
            <w:tcW w:w="236" w:type="dxa"/>
            <w:noWrap/>
            <w:vAlign w:val="center"/>
            <w:hideMark/>
          </w:tcPr>
          <w:p w14:paraId="143801C6" w14:textId="77777777" w:rsidR="005A503F" w:rsidRDefault="005A503F">
            <w:pPr>
              <w:jc w:val="center"/>
              <w:rPr>
                <w:rFonts w:ascii="Arial" w:hAnsi="Arial" w:cs="Arial"/>
                <w:sz w:val="20"/>
                <w:szCs w:val="20"/>
              </w:rPr>
            </w:pPr>
            <w:r>
              <w:rPr>
                <w:rFonts w:ascii="Arial" w:hAnsi="Arial" w:cs="Arial"/>
                <w:sz w:val="20"/>
                <w:szCs w:val="20"/>
              </w:rPr>
              <w:t>1.31</w:t>
            </w:r>
          </w:p>
        </w:tc>
        <w:tc>
          <w:tcPr>
            <w:tcW w:w="1306" w:type="dxa"/>
            <w:noWrap/>
            <w:vAlign w:val="center"/>
            <w:hideMark/>
          </w:tcPr>
          <w:p w14:paraId="43A8D19C" w14:textId="77777777" w:rsidR="005A503F" w:rsidRDefault="005A503F">
            <w:pPr>
              <w:jc w:val="center"/>
              <w:rPr>
                <w:rFonts w:ascii="Arial" w:hAnsi="Arial" w:cs="Arial"/>
                <w:sz w:val="20"/>
                <w:szCs w:val="20"/>
              </w:rPr>
            </w:pPr>
            <w:r>
              <w:rPr>
                <w:rFonts w:ascii="Arial" w:hAnsi="Arial" w:cs="Arial"/>
                <w:sz w:val="20"/>
                <w:szCs w:val="20"/>
              </w:rPr>
              <w:t>(1.12-1.53)</w:t>
            </w:r>
          </w:p>
        </w:tc>
        <w:tc>
          <w:tcPr>
            <w:tcW w:w="1350" w:type="dxa"/>
            <w:gridSpan w:val="2"/>
            <w:noWrap/>
            <w:vAlign w:val="center"/>
            <w:hideMark/>
          </w:tcPr>
          <w:p w14:paraId="3E7E2EDB" w14:textId="77777777" w:rsidR="005A503F" w:rsidRDefault="005A503F">
            <w:pPr>
              <w:jc w:val="center"/>
              <w:rPr>
                <w:rFonts w:ascii="Arial" w:hAnsi="Arial" w:cs="Arial"/>
                <w:sz w:val="20"/>
                <w:szCs w:val="20"/>
              </w:rPr>
            </w:pPr>
            <w:r>
              <w:rPr>
                <w:rFonts w:ascii="Arial" w:hAnsi="Arial" w:cs="Arial"/>
                <w:sz w:val="20"/>
                <w:szCs w:val="20"/>
              </w:rPr>
              <w:t>5.84 x 10</w:t>
            </w:r>
            <w:r>
              <w:rPr>
                <w:rFonts w:ascii="Arial" w:hAnsi="Arial" w:cs="Arial"/>
                <w:sz w:val="20"/>
                <w:szCs w:val="20"/>
                <w:vertAlign w:val="superscript"/>
              </w:rPr>
              <w:t>-4</w:t>
            </w:r>
          </w:p>
        </w:tc>
        <w:tc>
          <w:tcPr>
            <w:tcW w:w="236" w:type="dxa"/>
            <w:gridSpan w:val="2"/>
            <w:vAlign w:val="center"/>
            <w:hideMark/>
          </w:tcPr>
          <w:p w14:paraId="09D85197" w14:textId="77777777" w:rsidR="005A503F" w:rsidRDefault="005A503F">
            <w:pPr>
              <w:jc w:val="center"/>
              <w:rPr>
                <w:rFonts w:ascii="Arial" w:hAnsi="Arial" w:cs="Arial"/>
                <w:sz w:val="20"/>
                <w:szCs w:val="20"/>
              </w:rPr>
            </w:pPr>
          </w:p>
        </w:tc>
        <w:tc>
          <w:tcPr>
            <w:tcW w:w="717" w:type="dxa"/>
            <w:noWrap/>
            <w:vAlign w:val="center"/>
            <w:hideMark/>
          </w:tcPr>
          <w:p w14:paraId="4ABED304" w14:textId="77777777" w:rsidR="005A503F" w:rsidRDefault="005A503F">
            <w:pPr>
              <w:jc w:val="center"/>
              <w:rPr>
                <w:rFonts w:ascii="Arial" w:hAnsi="Arial" w:cs="Arial"/>
                <w:sz w:val="20"/>
                <w:szCs w:val="20"/>
              </w:rPr>
            </w:pPr>
            <w:r>
              <w:rPr>
                <w:rFonts w:ascii="Arial" w:hAnsi="Arial" w:cs="Arial"/>
                <w:sz w:val="20"/>
                <w:szCs w:val="20"/>
              </w:rPr>
              <w:t>1.74</w:t>
            </w:r>
          </w:p>
        </w:tc>
        <w:tc>
          <w:tcPr>
            <w:tcW w:w="1306" w:type="dxa"/>
            <w:noWrap/>
            <w:vAlign w:val="center"/>
            <w:hideMark/>
          </w:tcPr>
          <w:p w14:paraId="15B20D08" w14:textId="77777777" w:rsidR="005A503F" w:rsidRDefault="005A503F">
            <w:pPr>
              <w:jc w:val="center"/>
              <w:rPr>
                <w:rFonts w:ascii="Arial" w:hAnsi="Arial" w:cs="Arial"/>
                <w:sz w:val="20"/>
                <w:szCs w:val="20"/>
              </w:rPr>
            </w:pPr>
            <w:r>
              <w:rPr>
                <w:rFonts w:ascii="Arial" w:hAnsi="Arial" w:cs="Arial"/>
                <w:sz w:val="20"/>
                <w:szCs w:val="20"/>
              </w:rPr>
              <w:t>(1.43-2.12)</w:t>
            </w:r>
          </w:p>
        </w:tc>
        <w:tc>
          <w:tcPr>
            <w:tcW w:w="1350" w:type="dxa"/>
            <w:gridSpan w:val="2"/>
            <w:noWrap/>
            <w:vAlign w:val="center"/>
            <w:hideMark/>
          </w:tcPr>
          <w:p w14:paraId="6AAAB7CE" w14:textId="77777777" w:rsidR="005A503F" w:rsidRDefault="005A503F">
            <w:pPr>
              <w:jc w:val="center"/>
              <w:rPr>
                <w:rFonts w:ascii="Arial" w:hAnsi="Arial" w:cs="Arial"/>
                <w:sz w:val="20"/>
                <w:szCs w:val="20"/>
              </w:rPr>
            </w:pPr>
            <w:r>
              <w:rPr>
                <w:rFonts w:ascii="Arial" w:hAnsi="Arial" w:cs="Arial"/>
                <w:sz w:val="20"/>
                <w:szCs w:val="20"/>
              </w:rPr>
              <w:t>9.48 x 10</w:t>
            </w:r>
            <w:r>
              <w:rPr>
                <w:rFonts w:ascii="Arial" w:hAnsi="Arial" w:cs="Arial"/>
                <w:sz w:val="20"/>
                <w:szCs w:val="20"/>
                <w:vertAlign w:val="superscript"/>
              </w:rPr>
              <w:t>-8</w:t>
            </w:r>
          </w:p>
        </w:tc>
      </w:tr>
      <w:tr w:rsidR="005A503F" w14:paraId="10EE5720" w14:textId="77777777" w:rsidTr="00572A62">
        <w:trPr>
          <w:trHeight w:val="340"/>
        </w:trPr>
        <w:tc>
          <w:tcPr>
            <w:tcW w:w="1539" w:type="dxa"/>
            <w:noWrap/>
            <w:vAlign w:val="center"/>
            <w:hideMark/>
          </w:tcPr>
          <w:p w14:paraId="4F3FE32D" w14:textId="77777777" w:rsidR="005A503F" w:rsidRDefault="005A503F">
            <w:pPr>
              <w:rPr>
                <w:rFonts w:ascii="Arial" w:hAnsi="Arial" w:cs="Arial"/>
                <w:sz w:val="20"/>
                <w:szCs w:val="20"/>
              </w:rPr>
            </w:pPr>
            <w:r>
              <w:rPr>
                <w:rFonts w:ascii="Arial" w:hAnsi="Arial" w:cs="Arial"/>
                <w:sz w:val="20"/>
                <w:szCs w:val="20"/>
              </w:rPr>
              <w:t>UK GWAs P2</w:t>
            </w:r>
          </w:p>
        </w:tc>
        <w:tc>
          <w:tcPr>
            <w:tcW w:w="1098" w:type="dxa"/>
            <w:noWrap/>
            <w:vAlign w:val="center"/>
            <w:hideMark/>
          </w:tcPr>
          <w:p w14:paraId="60FB0A9D" w14:textId="77777777" w:rsidR="005A503F" w:rsidRDefault="005A503F">
            <w:pPr>
              <w:jc w:val="center"/>
              <w:rPr>
                <w:rFonts w:ascii="Arial" w:hAnsi="Arial" w:cs="Arial"/>
                <w:sz w:val="20"/>
                <w:szCs w:val="20"/>
              </w:rPr>
            </w:pPr>
            <w:r>
              <w:rPr>
                <w:rFonts w:ascii="Arial" w:hAnsi="Arial" w:cs="Arial"/>
                <w:sz w:val="20"/>
                <w:szCs w:val="20"/>
              </w:rPr>
              <w:t>2465</w:t>
            </w:r>
          </w:p>
        </w:tc>
        <w:tc>
          <w:tcPr>
            <w:tcW w:w="1098" w:type="dxa"/>
            <w:noWrap/>
            <w:vAlign w:val="center"/>
            <w:hideMark/>
          </w:tcPr>
          <w:p w14:paraId="19D31E00" w14:textId="77777777" w:rsidR="005A503F" w:rsidRDefault="005A503F">
            <w:pPr>
              <w:jc w:val="center"/>
              <w:rPr>
                <w:rFonts w:ascii="Arial" w:hAnsi="Arial" w:cs="Arial"/>
                <w:sz w:val="20"/>
                <w:szCs w:val="20"/>
              </w:rPr>
            </w:pPr>
            <w:r>
              <w:rPr>
                <w:rFonts w:ascii="Arial" w:hAnsi="Arial" w:cs="Arial"/>
                <w:sz w:val="20"/>
                <w:szCs w:val="20"/>
              </w:rPr>
              <w:t>3005</w:t>
            </w:r>
          </w:p>
        </w:tc>
        <w:tc>
          <w:tcPr>
            <w:tcW w:w="240" w:type="dxa"/>
            <w:vAlign w:val="center"/>
            <w:hideMark/>
          </w:tcPr>
          <w:p w14:paraId="5332AE3B" w14:textId="77777777" w:rsidR="005A503F" w:rsidRDefault="005A503F">
            <w:pPr>
              <w:jc w:val="center"/>
              <w:rPr>
                <w:rFonts w:ascii="Arial" w:hAnsi="Arial" w:cs="Arial"/>
                <w:sz w:val="20"/>
                <w:szCs w:val="20"/>
              </w:rPr>
            </w:pPr>
          </w:p>
        </w:tc>
        <w:tc>
          <w:tcPr>
            <w:tcW w:w="717" w:type="dxa"/>
            <w:noWrap/>
            <w:vAlign w:val="center"/>
            <w:hideMark/>
          </w:tcPr>
          <w:p w14:paraId="5A52EB2B" w14:textId="77777777" w:rsidR="005A503F" w:rsidRDefault="005A503F">
            <w:pPr>
              <w:jc w:val="center"/>
              <w:rPr>
                <w:rFonts w:ascii="Arial" w:hAnsi="Arial" w:cs="Arial"/>
                <w:sz w:val="20"/>
                <w:szCs w:val="20"/>
              </w:rPr>
            </w:pPr>
            <w:r>
              <w:rPr>
                <w:rFonts w:ascii="Arial" w:hAnsi="Arial" w:cs="Arial"/>
                <w:sz w:val="20"/>
                <w:szCs w:val="20"/>
              </w:rPr>
              <w:t>1.27</w:t>
            </w:r>
          </w:p>
        </w:tc>
        <w:tc>
          <w:tcPr>
            <w:tcW w:w="1373" w:type="dxa"/>
            <w:noWrap/>
            <w:vAlign w:val="center"/>
            <w:hideMark/>
          </w:tcPr>
          <w:p w14:paraId="3A14B361" w14:textId="77777777" w:rsidR="005A503F" w:rsidRDefault="005A503F">
            <w:pPr>
              <w:jc w:val="center"/>
              <w:rPr>
                <w:rFonts w:ascii="Arial" w:hAnsi="Arial" w:cs="Arial"/>
                <w:sz w:val="20"/>
                <w:szCs w:val="20"/>
              </w:rPr>
            </w:pPr>
            <w:r>
              <w:rPr>
                <w:rFonts w:ascii="Arial" w:hAnsi="Arial" w:cs="Arial"/>
                <w:sz w:val="20"/>
                <w:szCs w:val="20"/>
              </w:rPr>
              <w:t>(1.18-1.37)</w:t>
            </w:r>
          </w:p>
        </w:tc>
        <w:tc>
          <w:tcPr>
            <w:tcW w:w="1762" w:type="dxa"/>
            <w:noWrap/>
            <w:vAlign w:val="center"/>
            <w:hideMark/>
          </w:tcPr>
          <w:p w14:paraId="47325326" w14:textId="77777777" w:rsidR="005A503F" w:rsidRDefault="005A503F">
            <w:pPr>
              <w:jc w:val="center"/>
              <w:rPr>
                <w:rFonts w:ascii="Arial" w:hAnsi="Arial" w:cs="Arial"/>
                <w:sz w:val="20"/>
                <w:szCs w:val="20"/>
              </w:rPr>
            </w:pPr>
            <w:r>
              <w:rPr>
                <w:rFonts w:ascii="Arial" w:hAnsi="Arial" w:cs="Arial"/>
                <w:sz w:val="20"/>
                <w:szCs w:val="20"/>
              </w:rPr>
              <w:t>1.08 x 10</w:t>
            </w:r>
            <w:r>
              <w:rPr>
                <w:rFonts w:ascii="Arial" w:hAnsi="Arial" w:cs="Arial"/>
                <w:sz w:val="20"/>
                <w:szCs w:val="20"/>
                <w:vertAlign w:val="superscript"/>
              </w:rPr>
              <w:t>-9</w:t>
            </w:r>
          </w:p>
        </w:tc>
        <w:tc>
          <w:tcPr>
            <w:tcW w:w="720" w:type="dxa"/>
            <w:vAlign w:val="center"/>
            <w:hideMark/>
          </w:tcPr>
          <w:p w14:paraId="70ACBA82" w14:textId="77777777" w:rsidR="005A503F" w:rsidRDefault="005A503F">
            <w:pPr>
              <w:jc w:val="center"/>
              <w:rPr>
                <w:rFonts w:ascii="Arial" w:hAnsi="Arial" w:cs="Arial"/>
                <w:sz w:val="20"/>
                <w:szCs w:val="20"/>
              </w:rPr>
            </w:pPr>
          </w:p>
        </w:tc>
        <w:tc>
          <w:tcPr>
            <w:tcW w:w="236" w:type="dxa"/>
            <w:noWrap/>
            <w:vAlign w:val="center"/>
            <w:hideMark/>
          </w:tcPr>
          <w:p w14:paraId="2D7C0809" w14:textId="77777777" w:rsidR="005A503F" w:rsidRDefault="005A503F">
            <w:pPr>
              <w:jc w:val="center"/>
              <w:rPr>
                <w:rFonts w:ascii="Arial" w:hAnsi="Arial" w:cs="Arial"/>
                <w:sz w:val="20"/>
                <w:szCs w:val="20"/>
              </w:rPr>
            </w:pPr>
            <w:r>
              <w:rPr>
                <w:rFonts w:ascii="Arial" w:hAnsi="Arial" w:cs="Arial"/>
                <w:sz w:val="20"/>
                <w:szCs w:val="20"/>
              </w:rPr>
              <w:t>1.25</w:t>
            </w:r>
          </w:p>
        </w:tc>
        <w:tc>
          <w:tcPr>
            <w:tcW w:w="1306" w:type="dxa"/>
            <w:noWrap/>
            <w:vAlign w:val="center"/>
            <w:hideMark/>
          </w:tcPr>
          <w:p w14:paraId="0A4D1006" w14:textId="77777777" w:rsidR="005A503F" w:rsidRDefault="005A503F">
            <w:pPr>
              <w:jc w:val="center"/>
              <w:rPr>
                <w:rFonts w:ascii="Arial" w:hAnsi="Arial" w:cs="Arial"/>
                <w:sz w:val="20"/>
                <w:szCs w:val="20"/>
              </w:rPr>
            </w:pPr>
            <w:r>
              <w:rPr>
                <w:rFonts w:ascii="Arial" w:hAnsi="Arial" w:cs="Arial"/>
                <w:sz w:val="20"/>
                <w:szCs w:val="20"/>
              </w:rPr>
              <w:t>(1.11-1.41)</w:t>
            </w:r>
          </w:p>
        </w:tc>
        <w:tc>
          <w:tcPr>
            <w:tcW w:w="1350" w:type="dxa"/>
            <w:gridSpan w:val="2"/>
            <w:noWrap/>
            <w:vAlign w:val="center"/>
            <w:hideMark/>
          </w:tcPr>
          <w:p w14:paraId="496C65FC" w14:textId="77777777" w:rsidR="005A503F" w:rsidRDefault="005A503F">
            <w:pPr>
              <w:jc w:val="center"/>
              <w:rPr>
                <w:rFonts w:ascii="Arial" w:hAnsi="Arial" w:cs="Arial"/>
                <w:sz w:val="20"/>
                <w:szCs w:val="20"/>
              </w:rPr>
            </w:pPr>
            <w:r>
              <w:rPr>
                <w:rFonts w:ascii="Arial" w:hAnsi="Arial" w:cs="Arial"/>
                <w:sz w:val="20"/>
                <w:szCs w:val="20"/>
              </w:rPr>
              <w:t>2.35 x 10</w:t>
            </w:r>
            <w:r>
              <w:rPr>
                <w:rFonts w:ascii="Arial" w:hAnsi="Arial" w:cs="Arial"/>
                <w:sz w:val="20"/>
                <w:szCs w:val="20"/>
                <w:vertAlign w:val="superscript"/>
              </w:rPr>
              <w:t>-4</w:t>
            </w:r>
          </w:p>
        </w:tc>
        <w:tc>
          <w:tcPr>
            <w:tcW w:w="236" w:type="dxa"/>
            <w:gridSpan w:val="2"/>
            <w:vAlign w:val="center"/>
            <w:hideMark/>
          </w:tcPr>
          <w:p w14:paraId="5E914A0A" w14:textId="77777777" w:rsidR="005A503F" w:rsidRDefault="005A503F">
            <w:pPr>
              <w:jc w:val="center"/>
              <w:rPr>
                <w:rFonts w:ascii="Arial" w:hAnsi="Arial" w:cs="Arial"/>
                <w:sz w:val="20"/>
                <w:szCs w:val="20"/>
              </w:rPr>
            </w:pPr>
          </w:p>
        </w:tc>
        <w:tc>
          <w:tcPr>
            <w:tcW w:w="717" w:type="dxa"/>
            <w:noWrap/>
            <w:vAlign w:val="center"/>
            <w:hideMark/>
          </w:tcPr>
          <w:p w14:paraId="06D24524" w14:textId="77777777" w:rsidR="005A503F" w:rsidRDefault="005A503F">
            <w:pPr>
              <w:jc w:val="center"/>
              <w:rPr>
                <w:rFonts w:ascii="Arial" w:hAnsi="Arial" w:cs="Arial"/>
                <w:sz w:val="20"/>
                <w:szCs w:val="20"/>
              </w:rPr>
            </w:pPr>
            <w:r>
              <w:rPr>
                <w:rFonts w:ascii="Arial" w:hAnsi="Arial" w:cs="Arial"/>
                <w:sz w:val="20"/>
                <w:szCs w:val="20"/>
              </w:rPr>
              <w:t>1.62</w:t>
            </w:r>
          </w:p>
        </w:tc>
        <w:tc>
          <w:tcPr>
            <w:tcW w:w="1306" w:type="dxa"/>
            <w:noWrap/>
            <w:vAlign w:val="center"/>
            <w:hideMark/>
          </w:tcPr>
          <w:p w14:paraId="4BB331F2" w14:textId="77777777" w:rsidR="005A503F" w:rsidRDefault="005A503F">
            <w:pPr>
              <w:jc w:val="center"/>
              <w:rPr>
                <w:rFonts w:ascii="Arial" w:hAnsi="Arial" w:cs="Arial"/>
                <w:sz w:val="20"/>
                <w:szCs w:val="20"/>
              </w:rPr>
            </w:pPr>
            <w:r>
              <w:rPr>
                <w:rFonts w:ascii="Arial" w:hAnsi="Arial" w:cs="Arial"/>
                <w:sz w:val="20"/>
                <w:szCs w:val="20"/>
              </w:rPr>
              <w:t>(1.38-1.90)</w:t>
            </w:r>
          </w:p>
        </w:tc>
        <w:tc>
          <w:tcPr>
            <w:tcW w:w="1350" w:type="dxa"/>
            <w:gridSpan w:val="2"/>
            <w:noWrap/>
            <w:vAlign w:val="center"/>
            <w:hideMark/>
          </w:tcPr>
          <w:p w14:paraId="348FEFC6" w14:textId="77777777" w:rsidR="005A503F" w:rsidRDefault="005A503F">
            <w:pPr>
              <w:jc w:val="center"/>
              <w:rPr>
                <w:rFonts w:ascii="Arial" w:hAnsi="Arial" w:cs="Arial"/>
                <w:sz w:val="20"/>
                <w:szCs w:val="20"/>
              </w:rPr>
            </w:pPr>
            <w:r>
              <w:rPr>
                <w:rFonts w:ascii="Arial" w:hAnsi="Arial" w:cs="Arial"/>
                <w:sz w:val="20"/>
                <w:szCs w:val="20"/>
              </w:rPr>
              <w:t>2.88 x 10</w:t>
            </w:r>
            <w:r>
              <w:rPr>
                <w:rFonts w:ascii="Arial" w:hAnsi="Arial" w:cs="Arial"/>
                <w:sz w:val="20"/>
                <w:szCs w:val="20"/>
                <w:vertAlign w:val="superscript"/>
              </w:rPr>
              <w:t>-9</w:t>
            </w:r>
          </w:p>
        </w:tc>
      </w:tr>
      <w:tr w:rsidR="005A503F" w14:paraId="0338DEBC" w14:textId="77777777" w:rsidTr="00572A62">
        <w:trPr>
          <w:trHeight w:val="340"/>
        </w:trPr>
        <w:tc>
          <w:tcPr>
            <w:tcW w:w="1539" w:type="dxa"/>
            <w:tcBorders>
              <w:top w:val="single" w:sz="4" w:space="0" w:color="auto"/>
              <w:left w:val="nil"/>
              <w:bottom w:val="single" w:sz="4" w:space="0" w:color="auto"/>
              <w:right w:val="nil"/>
            </w:tcBorders>
            <w:noWrap/>
            <w:vAlign w:val="center"/>
            <w:hideMark/>
          </w:tcPr>
          <w:p w14:paraId="22911216" w14:textId="77777777" w:rsidR="005A503F" w:rsidRDefault="005A503F">
            <w:pPr>
              <w:rPr>
                <w:rFonts w:ascii="Arial" w:hAnsi="Arial" w:cs="Arial"/>
                <w:b/>
                <w:sz w:val="20"/>
                <w:szCs w:val="20"/>
              </w:rPr>
            </w:pPr>
            <w:r>
              <w:rPr>
                <w:rFonts w:ascii="Arial" w:hAnsi="Arial" w:cs="Arial"/>
                <w:b/>
                <w:sz w:val="20"/>
                <w:szCs w:val="20"/>
              </w:rPr>
              <w:t>Combined</w:t>
            </w:r>
          </w:p>
        </w:tc>
        <w:tc>
          <w:tcPr>
            <w:tcW w:w="1098" w:type="dxa"/>
            <w:tcBorders>
              <w:top w:val="single" w:sz="4" w:space="0" w:color="auto"/>
              <w:left w:val="nil"/>
              <w:bottom w:val="single" w:sz="4" w:space="0" w:color="auto"/>
              <w:right w:val="nil"/>
            </w:tcBorders>
            <w:noWrap/>
            <w:vAlign w:val="center"/>
            <w:hideMark/>
          </w:tcPr>
          <w:p w14:paraId="326F96F5" w14:textId="77777777" w:rsidR="005A503F" w:rsidRDefault="005A503F">
            <w:pPr>
              <w:jc w:val="center"/>
              <w:rPr>
                <w:rFonts w:ascii="Arial" w:hAnsi="Arial" w:cs="Arial"/>
                <w:b/>
                <w:sz w:val="20"/>
                <w:szCs w:val="20"/>
              </w:rPr>
            </w:pPr>
            <w:r>
              <w:rPr>
                <w:rFonts w:ascii="Arial" w:hAnsi="Arial" w:cs="Arial"/>
                <w:b/>
                <w:sz w:val="20"/>
                <w:szCs w:val="20"/>
              </w:rPr>
              <w:t>4417</w:t>
            </w:r>
          </w:p>
        </w:tc>
        <w:tc>
          <w:tcPr>
            <w:tcW w:w="1098" w:type="dxa"/>
            <w:tcBorders>
              <w:top w:val="single" w:sz="4" w:space="0" w:color="auto"/>
              <w:left w:val="nil"/>
              <w:bottom w:val="single" w:sz="4" w:space="0" w:color="auto"/>
              <w:right w:val="nil"/>
            </w:tcBorders>
            <w:noWrap/>
            <w:vAlign w:val="center"/>
            <w:hideMark/>
          </w:tcPr>
          <w:p w14:paraId="7DFEFAFC" w14:textId="77777777" w:rsidR="005A503F" w:rsidRDefault="005A503F">
            <w:pPr>
              <w:jc w:val="center"/>
              <w:rPr>
                <w:rFonts w:ascii="Arial" w:hAnsi="Arial" w:cs="Arial"/>
                <w:b/>
                <w:sz w:val="20"/>
                <w:szCs w:val="20"/>
              </w:rPr>
            </w:pPr>
            <w:r>
              <w:rPr>
                <w:rFonts w:ascii="Arial" w:hAnsi="Arial" w:cs="Arial"/>
                <w:b/>
                <w:sz w:val="20"/>
                <w:szCs w:val="20"/>
              </w:rPr>
              <w:t>4443</w:t>
            </w:r>
          </w:p>
        </w:tc>
        <w:tc>
          <w:tcPr>
            <w:tcW w:w="240" w:type="dxa"/>
            <w:tcBorders>
              <w:top w:val="single" w:sz="4" w:space="0" w:color="auto"/>
              <w:left w:val="nil"/>
              <w:bottom w:val="single" w:sz="4" w:space="0" w:color="auto"/>
              <w:right w:val="nil"/>
            </w:tcBorders>
            <w:vAlign w:val="center"/>
            <w:hideMark/>
          </w:tcPr>
          <w:p w14:paraId="39EF886A" w14:textId="77777777" w:rsidR="005A503F" w:rsidRDefault="005A503F">
            <w:pPr>
              <w:jc w:val="center"/>
              <w:rPr>
                <w:rFonts w:ascii="Arial" w:hAnsi="Arial" w:cs="Arial"/>
                <w:b/>
                <w:sz w:val="20"/>
                <w:szCs w:val="20"/>
              </w:rPr>
            </w:pPr>
          </w:p>
        </w:tc>
        <w:tc>
          <w:tcPr>
            <w:tcW w:w="717" w:type="dxa"/>
            <w:tcBorders>
              <w:top w:val="single" w:sz="4" w:space="0" w:color="auto"/>
              <w:left w:val="nil"/>
              <w:bottom w:val="single" w:sz="4" w:space="0" w:color="auto"/>
              <w:right w:val="nil"/>
            </w:tcBorders>
            <w:noWrap/>
            <w:vAlign w:val="center"/>
            <w:hideMark/>
          </w:tcPr>
          <w:p w14:paraId="35510F85" w14:textId="77777777" w:rsidR="005A503F" w:rsidRDefault="005A503F">
            <w:pPr>
              <w:jc w:val="center"/>
              <w:rPr>
                <w:rFonts w:ascii="Arial" w:hAnsi="Arial" w:cs="Arial"/>
                <w:b/>
                <w:sz w:val="20"/>
                <w:szCs w:val="20"/>
              </w:rPr>
            </w:pPr>
            <w:r>
              <w:rPr>
                <w:rFonts w:ascii="Arial" w:hAnsi="Arial" w:cs="Arial"/>
                <w:b/>
                <w:sz w:val="20"/>
                <w:szCs w:val="20"/>
              </w:rPr>
              <w:t>1.29</w:t>
            </w:r>
          </w:p>
        </w:tc>
        <w:tc>
          <w:tcPr>
            <w:tcW w:w="1373" w:type="dxa"/>
            <w:tcBorders>
              <w:top w:val="single" w:sz="4" w:space="0" w:color="auto"/>
              <w:left w:val="nil"/>
              <w:bottom w:val="single" w:sz="4" w:space="0" w:color="auto"/>
              <w:right w:val="nil"/>
            </w:tcBorders>
            <w:noWrap/>
            <w:vAlign w:val="center"/>
            <w:hideMark/>
          </w:tcPr>
          <w:p w14:paraId="01CD1FF6" w14:textId="77777777" w:rsidR="005A503F" w:rsidRDefault="005A503F">
            <w:pPr>
              <w:jc w:val="center"/>
              <w:rPr>
                <w:rFonts w:ascii="Arial" w:hAnsi="Arial" w:cs="Arial"/>
                <w:b/>
                <w:sz w:val="20"/>
                <w:szCs w:val="20"/>
              </w:rPr>
            </w:pPr>
            <w:r>
              <w:rPr>
                <w:rFonts w:ascii="Arial" w:hAnsi="Arial" w:cs="Arial"/>
                <w:b/>
                <w:sz w:val="20"/>
                <w:szCs w:val="20"/>
              </w:rPr>
              <w:t>(1.21-1.37)</w:t>
            </w:r>
          </w:p>
        </w:tc>
        <w:tc>
          <w:tcPr>
            <w:tcW w:w="1762" w:type="dxa"/>
            <w:tcBorders>
              <w:top w:val="single" w:sz="4" w:space="0" w:color="auto"/>
              <w:left w:val="nil"/>
              <w:bottom w:val="single" w:sz="4" w:space="0" w:color="auto"/>
              <w:right w:val="nil"/>
            </w:tcBorders>
            <w:noWrap/>
            <w:vAlign w:val="center"/>
            <w:hideMark/>
          </w:tcPr>
          <w:p w14:paraId="354FCE26" w14:textId="77777777" w:rsidR="005A503F" w:rsidRDefault="005A503F">
            <w:pPr>
              <w:jc w:val="center"/>
              <w:rPr>
                <w:rFonts w:ascii="Arial" w:hAnsi="Arial" w:cs="Arial"/>
                <w:b/>
                <w:sz w:val="20"/>
                <w:szCs w:val="20"/>
              </w:rPr>
            </w:pPr>
            <w:r>
              <w:rPr>
                <w:rFonts w:ascii="Arial" w:hAnsi="Arial" w:cs="Arial"/>
                <w:b/>
                <w:sz w:val="20"/>
                <w:szCs w:val="20"/>
              </w:rPr>
              <w:t>3.19 x 10</w:t>
            </w:r>
            <w:r>
              <w:rPr>
                <w:rFonts w:ascii="Arial" w:hAnsi="Arial" w:cs="Arial"/>
                <w:b/>
                <w:sz w:val="20"/>
                <w:szCs w:val="20"/>
                <w:vertAlign w:val="superscript"/>
              </w:rPr>
              <w:t>-6</w:t>
            </w:r>
          </w:p>
        </w:tc>
        <w:tc>
          <w:tcPr>
            <w:tcW w:w="720" w:type="dxa"/>
            <w:tcBorders>
              <w:top w:val="single" w:sz="4" w:space="0" w:color="auto"/>
              <w:left w:val="nil"/>
              <w:bottom w:val="single" w:sz="4" w:space="0" w:color="auto"/>
              <w:right w:val="nil"/>
            </w:tcBorders>
            <w:vAlign w:val="center"/>
            <w:hideMark/>
          </w:tcPr>
          <w:p w14:paraId="51A460F9" w14:textId="77777777" w:rsidR="005A503F" w:rsidRDefault="005A503F">
            <w:pPr>
              <w:jc w:val="center"/>
              <w:rPr>
                <w:rFonts w:ascii="Arial" w:hAnsi="Arial" w:cs="Arial"/>
                <w:b/>
                <w:sz w:val="20"/>
                <w:szCs w:val="20"/>
              </w:rPr>
            </w:pPr>
          </w:p>
        </w:tc>
        <w:tc>
          <w:tcPr>
            <w:tcW w:w="236" w:type="dxa"/>
            <w:tcBorders>
              <w:top w:val="single" w:sz="4" w:space="0" w:color="auto"/>
              <w:left w:val="nil"/>
              <w:bottom w:val="single" w:sz="4" w:space="0" w:color="auto"/>
              <w:right w:val="nil"/>
            </w:tcBorders>
            <w:noWrap/>
            <w:vAlign w:val="center"/>
            <w:hideMark/>
          </w:tcPr>
          <w:p w14:paraId="2A2900C8" w14:textId="77777777" w:rsidR="005A503F" w:rsidRDefault="005A503F">
            <w:pPr>
              <w:jc w:val="center"/>
              <w:rPr>
                <w:rFonts w:ascii="Arial" w:hAnsi="Arial" w:cs="Arial"/>
                <w:b/>
                <w:sz w:val="20"/>
                <w:szCs w:val="20"/>
              </w:rPr>
            </w:pPr>
            <w:r>
              <w:rPr>
                <w:rFonts w:ascii="Arial" w:hAnsi="Arial" w:cs="Arial"/>
                <w:b/>
                <w:sz w:val="20"/>
                <w:szCs w:val="20"/>
              </w:rPr>
              <w:t>1.27</w:t>
            </w:r>
          </w:p>
        </w:tc>
        <w:tc>
          <w:tcPr>
            <w:tcW w:w="1306" w:type="dxa"/>
            <w:tcBorders>
              <w:top w:val="single" w:sz="4" w:space="0" w:color="auto"/>
              <w:left w:val="nil"/>
              <w:bottom w:val="single" w:sz="4" w:space="0" w:color="auto"/>
              <w:right w:val="nil"/>
            </w:tcBorders>
            <w:noWrap/>
            <w:vAlign w:val="center"/>
            <w:hideMark/>
          </w:tcPr>
          <w:p w14:paraId="020FC7B6" w14:textId="77777777" w:rsidR="005A503F" w:rsidRDefault="005A503F">
            <w:pPr>
              <w:jc w:val="center"/>
              <w:rPr>
                <w:rFonts w:ascii="Arial" w:hAnsi="Arial" w:cs="Arial"/>
                <w:b/>
                <w:sz w:val="20"/>
                <w:szCs w:val="20"/>
              </w:rPr>
            </w:pPr>
            <w:r>
              <w:rPr>
                <w:rFonts w:ascii="Arial" w:hAnsi="Arial" w:cs="Arial"/>
                <w:b/>
                <w:sz w:val="20"/>
                <w:szCs w:val="20"/>
              </w:rPr>
              <w:t>(1.16-1.4)</w:t>
            </w:r>
          </w:p>
        </w:tc>
        <w:tc>
          <w:tcPr>
            <w:tcW w:w="1350" w:type="dxa"/>
            <w:gridSpan w:val="2"/>
            <w:tcBorders>
              <w:top w:val="single" w:sz="4" w:space="0" w:color="auto"/>
              <w:left w:val="nil"/>
              <w:bottom w:val="single" w:sz="4" w:space="0" w:color="auto"/>
              <w:right w:val="nil"/>
            </w:tcBorders>
            <w:noWrap/>
            <w:vAlign w:val="center"/>
            <w:hideMark/>
          </w:tcPr>
          <w:p w14:paraId="326D366F" w14:textId="77777777" w:rsidR="005A503F" w:rsidRDefault="005A503F">
            <w:pPr>
              <w:jc w:val="center"/>
              <w:rPr>
                <w:rFonts w:ascii="Arial" w:hAnsi="Arial" w:cs="Arial"/>
                <w:b/>
                <w:sz w:val="20"/>
                <w:szCs w:val="20"/>
              </w:rPr>
            </w:pPr>
            <w:r>
              <w:rPr>
                <w:rFonts w:ascii="Arial" w:hAnsi="Arial" w:cs="Arial"/>
                <w:b/>
                <w:sz w:val="20"/>
                <w:szCs w:val="20"/>
              </w:rPr>
              <w:t>5.51 x 10</w:t>
            </w:r>
            <w:r>
              <w:rPr>
                <w:rFonts w:ascii="Arial" w:hAnsi="Arial" w:cs="Arial"/>
                <w:b/>
                <w:sz w:val="20"/>
                <w:szCs w:val="20"/>
                <w:vertAlign w:val="superscript"/>
              </w:rPr>
              <w:t>-7</w:t>
            </w:r>
          </w:p>
        </w:tc>
        <w:tc>
          <w:tcPr>
            <w:tcW w:w="236" w:type="dxa"/>
            <w:gridSpan w:val="2"/>
            <w:tcBorders>
              <w:top w:val="single" w:sz="4" w:space="0" w:color="auto"/>
              <w:left w:val="nil"/>
              <w:bottom w:val="single" w:sz="4" w:space="0" w:color="auto"/>
              <w:right w:val="nil"/>
            </w:tcBorders>
            <w:vAlign w:val="center"/>
            <w:hideMark/>
          </w:tcPr>
          <w:p w14:paraId="22CE0556" w14:textId="77777777" w:rsidR="005A503F" w:rsidRDefault="005A503F">
            <w:pPr>
              <w:jc w:val="center"/>
              <w:rPr>
                <w:rFonts w:ascii="Arial" w:hAnsi="Arial" w:cs="Arial"/>
                <w:b/>
                <w:sz w:val="20"/>
                <w:szCs w:val="20"/>
              </w:rPr>
            </w:pPr>
          </w:p>
        </w:tc>
        <w:tc>
          <w:tcPr>
            <w:tcW w:w="717" w:type="dxa"/>
            <w:tcBorders>
              <w:top w:val="single" w:sz="4" w:space="0" w:color="auto"/>
              <w:left w:val="nil"/>
              <w:bottom w:val="single" w:sz="4" w:space="0" w:color="auto"/>
              <w:right w:val="nil"/>
            </w:tcBorders>
            <w:noWrap/>
            <w:vAlign w:val="center"/>
            <w:hideMark/>
          </w:tcPr>
          <w:p w14:paraId="54AF89E2" w14:textId="77777777" w:rsidR="005A503F" w:rsidRDefault="005A503F">
            <w:pPr>
              <w:jc w:val="center"/>
              <w:rPr>
                <w:rFonts w:ascii="Arial" w:hAnsi="Arial" w:cs="Arial"/>
                <w:b/>
                <w:sz w:val="20"/>
                <w:szCs w:val="20"/>
              </w:rPr>
            </w:pPr>
            <w:r>
              <w:rPr>
                <w:rFonts w:ascii="Arial" w:hAnsi="Arial" w:cs="Arial"/>
                <w:b/>
                <w:sz w:val="20"/>
                <w:szCs w:val="20"/>
              </w:rPr>
              <w:t>1.66</w:t>
            </w:r>
          </w:p>
        </w:tc>
        <w:tc>
          <w:tcPr>
            <w:tcW w:w="1306" w:type="dxa"/>
            <w:tcBorders>
              <w:top w:val="single" w:sz="4" w:space="0" w:color="auto"/>
              <w:left w:val="nil"/>
              <w:bottom w:val="single" w:sz="4" w:space="0" w:color="auto"/>
              <w:right w:val="nil"/>
            </w:tcBorders>
            <w:noWrap/>
            <w:vAlign w:val="center"/>
            <w:hideMark/>
          </w:tcPr>
          <w:p w14:paraId="6D49948A" w14:textId="77777777" w:rsidR="005A503F" w:rsidRDefault="005A503F">
            <w:pPr>
              <w:jc w:val="center"/>
              <w:rPr>
                <w:rFonts w:ascii="Arial" w:hAnsi="Arial" w:cs="Arial"/>
                <w:b/>
                <w:sz w:val="20"/>
                <w:szCs w:val="20"/>
              </w:rPr>
            </w:pPr>
            <w:r>
              <w:rPr>
                <w:rFonts w:ascii="Arial" w:hAnsi="Arial" w:cs="Arial"/>
                <w:b/>
                <w:sz w:val="20"/>
                <w:szCs w:val="20"/>
              </w:rPr>
              <w:t>(1.47-1.88)</w:t>
            </w:r>
          </w:p>
        </w:tc>
        <w:tc>
          <w:tcPr>
            <w:tcW w:w="1350" w:type="dxa"/>
            <w:gridSpan w:val="2"/>
            <w:tcBorders>
              <w:top w:val="single" w:sz="4" w:space="0" w:color="auto"/>
              <w:left w:val="nil"/>
              <w:bottom w:val="single" w:sz="4" w:space="0" w:color="auto"/>
              <w:right w:val="nil"/>
            </w:tcBorders>
            <w:noWrap/>
            <w:vAlign w:val="center"/>
            <w:hideMark/>
          </w:tcPr>
          <w:p w14:paraId="3AD4727C" w14:textId="77777777" w:rsidR="005A503F" w:rsidRDefault="005A503F">
            <w:pPr>
              <w:jc w:val="center"/>
              <w:rPr>
                <w:rFonts w:ascii="Arial" w:hAnsi="Arial" w:cs="Arial"/>
                <w:b/>
                <w:sz w:val="20"/>
                <w:szCs w:val="20"/>
              </w:rPr>
            </w:pPr>
            <w:r>
              <w:rPr>
                <w:rFonts w:ascii="Arial" w:hAnsi="Arial" w:cs="Arial"/>
                <w:b/>
                <w:sz w:val="20"/>
                <w:szCs w:val="20"/>
              </w:rPr>
              <w:t>1.98 x 10</w:t>
            </w:r>
            <w:r>
              <w:rPr>
                <w:rFonts w:ascii="Arial" w:hAnsi="Arial" w:cs="Arial"/>
                <w:b/>
                <w:sz w:val="20"/>
                <w:szCs w:val="20"/>
                <w:vertAlign w:val="superscript"/>
              </w:rPr>
              <w:t>-15</w:t>
            </w:r>
          </w:p>
        </w:tc>
      </w:tr>
    </w:tbl>
    <w:p w14:paraId="2F67B194" w14:textId="71B330AE" w:rsidR="005A503F" w:rsidRDefault="005A503F"/>
    <w:p w14:paraId="025F6CA4" w14:textId="1F5C974C" w:rsidR="00572A62" w:rsidRDefault="00572A62">
      <w:hyperlink r:id="rId12" w:history="1">
        <w:r w:rsidRPr="00FB1B95">
          <w:rPr>
            <w:rStyle w:val="Hyperlink"/>
          </w:rPr>
          <w:t>https://www.ncbi.nlm.nih.gov/pubmed/24621683</w:t>
        </w:r>
      </w:hyperlink>
    </w:p>
    <w:p w14:paraId="382D4690" w14:textId="77777777" w:rsidR="00572A62" w:rsidRDefault="00572A62"/>
    <w:tbl>
      <w:tblPr>
        <w:tblW w:w="0" w:type="auto"/>
        <w:tblBorders>
          <w:top w:val="single" w:sz="6" w:space="0" w:color="000000"/>
          <w:left w:val="single" w:sz="6" w:space="0" w:color="000000"/>
          <w:bottom w:val="single" w:sz="6" w:space="0" w:color="000000"/>
          <w:right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704"/>
        <w:gridCol w:w="1497"/>
        <w:gridCol w:w="1137"/>
        <w:gridCol w:w="1120"/>
        <w:gridCol w:w="593"/>
        <w:gridCol w:w="563"/>
        <w:gridCol w:w="1552"/>
        <w:gridCol w:w="1079"/>
        <w:gridCol w:w="335"/>
        <w:gridCol w:w="563"/>
      </w:tblGrid>
      <w:tr w:rsidR="00572A62" w:rsidRPr="00572A62" w14:paraId="799C4D25" w14:textId="77777777" w:rsidTr="00572A62">
        <w:trPr>
          <w:tblHeader/>
        </w:trPr>
        <w:tc>
          <w:tcPr>
            <w:tcW w:w="0" w:type="auto"/>
            <w:vMerge w:val="restart"/>
            <w:tcBorders>
              <w:top w:val="nil"/>
              <w:left w:val="nil"/>
              <w:bottom w:val="single" w:sz="6" w:space="0" w:color="888888"/>
              <w:right w:val="single" w:sz="6" w:space="0" w:color="888888"/>
            </w:tcBorders>
            <w:shd w:val="clear" w:color="auto" w:fill="FFFCF0"/>
            <w:tcMar>
              <w:top w:w="48" w:type="dxa"/>
              <w:left w:w="96" w:type="dxa"/>
              <w:bottom w:w="48" w:type="dxa"/>
              <w:right w:w="96" w:type="dxa"/>
            </w:tcMar>
            <w:hideMark/>
          </w:tcPr>
          <w:p w14:paraId="667B0261"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Locus</w:t>
            </w:r>
          </w:p>
        </w:tc>
        <w:tc>
          <w:tcPr>
            <w:tcW w:w="0" w:type="auto"/>
            <w:vMerge w:val="restart"/>
            <w:tcBorders>
              <w:top w:val="nil"/>
              <w:left w:val="single" w:sz="6" w:space="0" w:color="888888"/>
              <w:bottom w:val="single" w:sz="6" w:space="0" w:color="888888"/>
              <w:right w:val="single" w:sz="6" w:space="0" w:color="888888"/>
            </w:tcBorders>
            <w:shd w:val="clear" w:color="auto" w:fill="FFFCF0"/>
            <w:tcMar>
              <w:top w:w="48" w:type="dxa"/>
              <w:left w:w="96" w:type="dxa"/>
              <w:bottom w:w="48" w:type="dxa"/>
              <w:right w:w="96" w:type="dxa"/>
            </w:tcMar>
            <w:hideMark/>
          </w:tcPr>
          <w:p w14:paraId="18172A31"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Nearest gene(s)</w:t>
            </w:r>
          </w:p>
        </w:tc>
        <w:tc>
          <w:tcPr>
            <w:tcW w:w="0" w:type="auto"/>
            <w:vMerge w:val="restart"/>
            <w:tcBorders>
              <w:top w:val="nil"/>
              <w:left w:val="single" w:sz="6" w:space="0" w:color="888888"/>
              <w:bottom w:val="single" w:sz="6" w:space="0" w:color="888888"/>
              <w:right w:val="single" w:sz="6" w:space="0" w:color="888888"/>
            </w:tcBorders>
            <w:shd w:val="clear" w:color="auto" w:fill="FFFCF0"/>
            <w:tcMar>
              <w:top w:w="48" w:type="dxa"/>
              <w:left w:w="96" w:type="dxa"/>
              <w:bottom w:w="48" w:type="dxa"/>
              <w:right w:w="96" w:type="dxa"/>
            </w:tcMar>
            <w:hideMark/>
          </w:tcPr>
          <w:p w14:paraId="4BBA634E"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SNP</w:t>
            </w:r>
          </w:p>
        </w:tc>
        <w:tc>
          <w:tcPr>
            <w:tcW w:w="0" w:type="auto"/>
            <w:vMerge w:val="restart"/>
            <w:tcBorders>
              <w:top w:val="nil"/>
              <w:left w:val="single" w:sz="6" w:space="0" w:color="888888"/>
              <w:bottom w:val="single" w:sz="6" w:space="0" w:color="888888"/>
              <w:right w:val="single" w:sz="6" w:space="0" w:color="888888"/>
            </w:tcBorders>
            <w:shd w:val="clear" w:color="auto" w:fill="FFFCF0"/>
            <w:tcMar>
              <w:top w:w="48" w:type="dxa"/>
              <w:left w:w="96" w:type="dxa"/>
              <w:bottom w:w="48" w:type="dxa"/>
              <w:right w:w="96" w:type="dxa"/>
            </w:tcMar>
            <w:hideMark/>
          </w:tcPr>
          <w:p w14:paraId="48808871"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Risk Allele</w:t>
            </w:r>
          </w:p>
        </w:tc>
        <w:tc>
          <w:tcPr>
            <w:tcW w:w="0" w:type="auto"/>
            <w:gridSpan w:val="2"/>
            <w:tcBorders>
              <w:top w:val="nil"/>
              <w:left w:val="single" w:sz="6" w:space="0" w:color="888888"/>
              <w:bottom w:val="single" w:sz="6" w:space="0" w:color="888888"/>
              <w:right w:val="single" w:sz="6" w:space="0" w:color="888888"/>
            </w:tcBorders>
            <w:shd w:val="clear" w:color="auto" w:fill="FFFCF0"/>
            <w:tcMar>
              <w:top w:w="48" w:type="dxa"/>
              <w:left w:w="96" w:type="dxa"/>
              <w:bottom w:w="48" w:type="dxa"/>
              <w:right w:w="96" w:type="dxa"/>
            </w:tcMar>
            <w:hideMark/>
          </w:tcPr>
          <w:p w14:paraId="05FF407B"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Frequency</w:t>
            </w:r>
          </w:p>
        </w:tc>
        <w:tc>
          <w:tcPr>
            <w:tcW w:w="0" w:type="auto"/>
            <w:gridSpan w:val="4"/>
            <w:tcBorders>
              <w:top w:val="nil"/>
              <w:left w:val="single" w:sz="6" w:space="0" w:color="888888"/>
              <w:bottom w:val="single" w:sz="6" w:space="0" w:color="888888"/>
              <w:right w:val="nil"/>
            </w:tcBorders>
            <w:shd w:val="clear" w:color="auto" w:fill="FFFCF0"/>
            <w:tcMar>
              <w:top w:w="48" w:type="dxa"/>
              <w:left w:w="96" w:type="dxa"/>
              <w:bottom w:w="48" w:type="dxa"/>
              <w:right w:w="96" w:type="dxa"/>
            </w:tcMar>
            <w:hideMark/>
          </w:tcPr>
          <w:p w14:paraId="2C59519A"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Meta-Analysis</w:t>
            </w:r>
          </w:p>
        </w:tc>
      </w:tr>
      <w:tr w:rsidR="00572A62" w:rsidRPr="00572A62" w14:paraId="340A33A9" w14:textId="77777777" w:rsidTr="00572A62">
        <w:trPr>
          <w:tblHeader/>
        </w:trPr>
        <w:tc>
          <w:tcPr>
            <w:tcW w:w="0" w:type="auto"/>
            <w:vMerge/>
            <w:tcBorders>
              <w:top w:val="nil"/>
              <w:left w:val="nil"/>
              <w:bottom w:val="single" w:sz="6" w:space="0" w:color="888888"/>
              <w:right w:val="single" w:sz="6" w:space="0" w:color="888888"/>
            </w:tcBorders>
            <w:shd w:val="clear" w:color="auto" w:fill="FFFCF0"/>
            <w:vAlign w:val="center"/>
            <w:hideMark/>
          </w:tcPr>
          <w:p w14:paraId="7C487A3A" w14:textId="77777777" w:rsidR="00572A62" w:rsidRPr="00572A62" w:rsidRDefault="00572A62" w:rsidP="00572A62">
            <w:pPr>
              <w:spacing w:before="332" w:after="332" w:line="393" w:lineRule="atLeast"/>
              <w:rPr>
                <w:rFonts w:ascii="Times New Roman" w:eastAsia="Times New Roman" w:hAnsi="Times New Roman" w:cs="Times New Roman"/>
                <w:b/>
                <w:bCs/>
                <w:color w:val="000000"/>
                <w:sz w:val="20"/>
                <w:szCs w:val="20"/>
              </w:rPr>
            </w:pPr>
          </w:p>
        </w:tc>
        <w:tc>
          <w:tcPr>
            <w:tcW w:w="0" w:type="auto"/>
            <w:vMerge/>
            <w:tcBorders>
              <w:top w:val="nil"/>
              <w:left w:val="single" w:sz="6" w:space="0" w:color="888888"/>
              <w:bottom w:val="single" w:sz="6" w:space="0" w:color="888888"/>
              <w:right w:val="single" w:sz="6" w:space="0" w:color="888888"/>
            </w:tcBorders>
            <w:shd w:val="clear" w:color="auto" w:fill="FFFCF0"/>
            <w:vAlign w:val="center"/>
            <w:hideMark/>
          </w:tcPr>
          <w:p w14:paraId="0385F198" w14:textId="77777777" w:rsidR="00572A62" w:rsidRPr="00572A62" w:rsidRDefault="00572A62" w:rsidP="00572A62">
            <w:pPr>
              <w:spacing w:before="332" w:after="332" w:line="393" w:lineRule="atLeast"/>
              <w:rPr>
                <w:rFonts w:ascii="Times New Roman" w:eastAsia="Times New Roman" w:hAnsi="Times New Roman" w:cs="Times New Roman"/>
                <w:b/>
                <w:bCs/>
                <w:color w:val="000000"/>
                <w:sz w:val="20"/>
                <w:szCs w:val="20"/>
              </w:rPr>
            </w:pPr>
          </w:p>
        </w:tc>
        <w:tc>
          <w:tcPr>
            <w:tcW w:w="0" w:type="auto"/>
            <w:vMerge/>
            <w:tcBorders>
              <w:top w:val="nil"/>
              <w:left w:val="single" w:sz="6" w:space="0" w:color="888888"/>
              <w:bottom w:val="single" w:sz="6" w:space="0" w:color="888888"/>
              <w:right w:val="single" w:sz="6" w:space="0" w:color="888888"/>
            </w:tcBorders>
            <w:shd w:val="clear" w:color="auto" w:fill="FFFCF0"/>
            <w:vAlign w:val="center"/>
            <w:hideMark/>
          </w:tcPr>
          <w:p w14:paraId="449204B3" w14:textId="77777777" w:rsidR="00572A62" w:rsidRPr="00572A62" w:rsidRDefault="00572A62" w:rsidP="00572A62">
            <w:pPr>
              <w:spacing w:before="332" w:after="332" w:line="393" w:lineRule="atLeast"/>
              <w:rPr>
                <w:rFonts w:ascii="Times New Roman" w:eastAsia="Times New Roman" w:hAnsi="Times New Roman" w:cs="Times New Roman"/>
                <w:b/>
                <w:bCs/>
                <w:color w:val="000000"/>
                <w:sz w:val="20"/>
                <w:szCs w:val="20"/>
              </w:rPr>
            </w:pPr>
          </w:p>
        </w:tc>
        <w:tc>
          <w:tcPr>
            <w:tcW w:w="0" w:type="auto"/>
            <w:vMerge/>
            <w:tcBorders>
              <w:top w:val="nil"/>
              <w:left w:val="single" w:sz="6" w:space="0" w:color="888888"/>
              <w:bottom w:val="single" w:sz="6" w:space="0" w:color="888888"/>
              <w:right w:val="single" w:sz="6" w:space="0" w:color="888888"/>
            </w:tcBorders>
            <w:shd w:val="clear" w:color="auto" w:fill="FFFCF0"/>
            <w:vAlign w:val="center"/>
            <w:hideMark/>
          </w:tcPr>
          <w:p w14:paraId="30CB0E83" w14:textId="77777777" w:rsidR="00572A62" w:rsidRPr="00572A62" w:rsidRDefault="00572A62" w:rsidP="00572A62">
            <w:pPr>
              <w:spacing w:before="332" w:after="332" w:line="393" w:lineRule="atLeast"/>
              <w:rPr>
                <w:rFonts w:ascii="Times New Roman" w:eastAsia="Times New Roman" w:hAnsi="Times New Roman" w:cs="Times New Roman"/>
                <w:b/>
                <w:bCs/>
                <w:color w:val="000000"/>
                <w:sz w:val="20"/>
                <w:szCs w:val="20"/>
              </w:rPr>
            </w:pPr>
          </w:p>
        </w:tc>
        <w:tc>
          <w:tcPr>
            <w:tcW w:w="0" w:type="auto"/>
            <w:tcBorders>
              <w:top w:val="single" w:sz="6" w:space="0" w:color="888888"/>
              <w:left w:val="nil"/>
              <w:bottom w:val="nil"/>
              <w:right w:val="single" w:sz="6" w:space="0" w:color="888888"/>
            </w:tcBorders>
            <w:shd w:val="clear" w:color="auto" w:fill="FFFCF0"/>
            <w:tcMar>
              <w:top w:w="48" w:type="dxa"/>
              <w:left w:w="96" w:type="dxa"/>
              <w:bottom w:w="48" w:type="dxa"/>
              <w:right w:w="96" w:type="dxa"/>
            </w:tcMar>
            <w:hideMark/>
          </w:tcPr>
          <w:p w14:paraId="78F87601"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proofErr w:type="spellStart"/>
            <w:r w:rsidRPr="00572A62">
              <w:rPr>
                <w:rFonts w:ascii="Times New Roman" w:eastAsia="Times New Roman" w:hAnsi="Times New Roman" w:cs="Times New Roman"/>
                <w:b/>
                <w:bCs/>
                <w:color w:val="000000"/>
                <w:sz w:val="20"/>
                <w:szCs w:val="20"/>
              </w:rPr>
              <w:t>Nhw</w:t>
            </w:r>
            <w:proofErr w:type="spellEnd"/>
          </w:p>
        </w:tc>
        <w:tc>
          <w:tcPr>
            <w:tcW w:w="0" w:type="auto"/>
            <w:tcBorders>
              <w:top w:val="single" w:sz="6" w:space="0" w:color="888888"/>
              <w:left w:val="single" w:sz="6" w:space="0" w:color="888888"/>
              <w:bottom w:val="nil"/>
              <w:right w:val="single" w:sz="6" w:space="0" w:color="888888"/>
            </w:tcBorders>
            <w:shd w:val="clear" w:color="auto" w:fill="FFFCF0"/>
            <w:tcMar>
              <w:top w:w="48" w:type="dxa"/>
              <w:left w:w="96" w:type="dxa"/>
              <w:bottom w:w="48" w:type="dxa"/>
              <w:right w:w="96" w:type="dxa"/>
            </w:tcMar>
            <w:hideMark/>
          </w:tcPr>
          <w:p w14:paraId="6ED3E9F7"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Aa</w:t>
            </w:r>
          </w:p>
        </w:tc>
        <w:tc>
          <w:tcPr>
            <w:tcW w:w="0" w:type="auto"/>
            <w:tcBorders>
              <w:top w:val="single" w:sz="6" w:space="0" w:color="888888"/>
              <w:left w:val="single" w:sz="6" w:space="0" w:color="888888"/>
              <w:bottom w:val="nil"/>
              <w:right w:val="single" w:sz="6" w:space="0" w:color="888888"/>
            </w:tcBorders>
            <w:shd w:val="clear" w:color="auto" w:fill="FFFCF0"/>
            <w:tcMar>
              <w:top w:w="48" w:type="dxa"/>
              <w:left w:w="96" w:type="dxa"/>
              <w:bottom w:w="48" w:type="dxa"/>
              <w:right w:w="96" w:type="dxa"/>
            </w:tcMar>
            <w:hideMark/>
          </w:tcPr>
          <w:p w14:paraId="52C38E42"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OR (CI)</w:t>
            </w:r>
          </w:p>
        </w:tc>
        <w:tc>
          <w:tcPr>
            <w:tcW w:w="0" w:type="auto"/>
            <w:tcBorders>
              <w:top w:val="single" w:sz="6" w:space="0" w:color="888888"/>
              <w:left w:val="single" w:sz="6" w:space="0" w:color="888888"/>
              <w:bottom w:val="nil"/>
              <w:right w:val="single" w:sz="6" w:space="0" w:color="888888"/>
            </w:tcBorders>
            <w:shd w:val="clear" w:color="auto" w:fill="FFFCF0"/>
            <w:tcMar>
              <w:top w:w="48" w:type="dxa"/>
              <w:left w:w="96" w:type="dxa"/>
              <w:bottom w:w="48" w:type="dxa"/>
              <w:right w:w="96" w:type="dxa"/>
            </w:tcMar>
            <w:hideMark/>
          </w:tcPr>
          <w:p w14:paraId="3335589D"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P</w:t>
            </w:r>
          </w:p>
        </w:tc>
        <w:tc>
          <w:tcPr>
            <w:tcW w:w="0" w:type="auto"/>
            <w:tcBorders>
              <w:top w:val="single" w:sz="6" w:space="0" w:color="888888"/>
              <w:left w:val="single" w:sz="6" w:space="0" w:color="888888"/>
              <w:bottom w:val="nil"/>
              <w:right w:val="single" w:sz="6" w:space="0" w:color="888888"/>
            </w:tcBorders>
            <w:shd w:val="clear" w:color="auto" w:fill="FFFCF0"/>
            <w:tcMar>
              <w:top w:w="48" w:type="dxa"/>
              <w:left w:w="96" w:type="dxa"/>
              <w:bottom w:w="48" w:type="dxa"/>
              <w:right w:w="96" w:type="dxa"/>
            </w:tcMar>
            <w:hideMark/>
          </w:tcPr>
          <w:p w14:paraId="20954253"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I</w:t>
            </w:r>
            <w:r w:rsidRPr="00572A62">
              <w:rPr>
                <w:rFonts w:ascii="Times New Roman" w:eastAsia="Times New Roman" w:hAnsi="Times New Roman" w:cs="Times New Roman"/>
                <w:b/>
                <w:bCs/>
                <w:color w:val="000000"/>
                <w:sz w:val="20"/>
                <w:szCs w:val="20"/>
                <w:vertAlign w:val="superscript"/>
              </w:rPr>
              <w:t>2</w:t>
            </w:r>
          </w:p>
        </w:tc>
        <w:tc>
          <w:tcPr>
            <w:tcW w:w="0" w:type="auto"/>
            <w:tcBorders>
              <w:top w:val="single" w:sz="6" w:space="0" w:color="888888"/>
              <w:left w:val="single" w:sz="6" w:space="0" w:color="888888"/>
              <w:bottom w:val="nil"/>
              <w:right w:val="nil"/>
            </w:tcBorders>
            <w:shd w:val="clear" w:color="auto" w:fill="FFFCF0"/>
            <w:tcMar>
              <w:top w:w="48" w:type="dxa"/>
              <w:left w:w="96" w:type="dxa"/>
              <w:bottom w:w="48" w:type="dxa"/>
              <w:right w:w="96" w:type="dxa"/>
            </w:tcMar>
            <w:hideMark/>
          </w:tcPr>
          <w:p w14:paraId="191E21FA"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Q</w:t>
            </w:r>
          </w:p>
        </w:tc>
      </w:tr>
      <w:tr w:rsidR="00572A62" w:rsidRPr="00572A62" w14:paraId="190F0EB0" w14:textId="77777777" w:rsidTr="00572A62">
        <w:tc>
          <w:tcPr>
            <w:tcW w:w="0" w:type="auto"/>
            <w:tcBorders>
              <w:top w:val="nil"/>
              <w:left w:val="nil"/>
              <w:bottom w:val="single" w:sz="6" w:space="0" w:color="888888"/>
              <w:right w:val="single" w:sz="6" w:space="0" w:color="888888"/>
            </w:tcBorders>
            <w:shd w:val="clear" w:color="auto" w:fill="FFFCF0"/>
            <w:tcMar>
              <w:top w:w="48" w:type="dxa"/>
              <w:left w:w="96" w:type="dxa"/>
              <w:bottom w:w="48" w:type="dxa"/>
              <w:right w:w="96" w:type="dxa"/>
            </w:tcMar>
            <w:hideMark/>
          </w:tcPr>
          <w:p w14:paraId="066CAAF2" w14:textId="77777777"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15q25</w:t>
            </w:r>
          </w:p>
        </w:tc>
        <w:tc>
          <w:tcPr>
            <w:tcW w:w="0" w:type="auto"/>
            <w:tcBorders>
              <w:top w:val="nil"/>
              <w:left w:val="single" w:sz="6" w:space="0" w:color="888888"/>
              <w:bottom w:val="single" w:sz="6" w:space="0" w:color="888888"/>
              <w:right w:val="single" w:sz="6" w:space="0" w:color="888888"/>
            </w:tcBorders>
            <w:shd w:val="clear" w:color="auto" w:fill="FFFCF0"/>
            <w:tcMar>
              <w:top w:w="48" w:type="dxa"/>
              <w:left w:w="96" w:type="dxa"/>
              <w:bottom w:w="48" w:type="dxa"/>
              <w:right w:w="96" w:type="dxa"/>
            </w:tcMar>
            <w:hideMark/>
          </w:tcPr>
          <w:p w14:paraId="11E6C382" w14:textId="77777777"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sidRPr="00572A62">
              <w:rPr>
                <w:rFonts w:ascii="Times New Roman" w:eastAsia="Times New Roman" w:hAnsi="Times New Roman" w:cs="Times New Roman"/>
                <w:i/>
                <w:iCs/>
                <w:color w:val="000000"/>
                <w:sz w:val="20"/>
                <w:szCs w:val="20"/>
              </w:rPr>
              <w:t>CHRNA3</w:t>
            </w:r>
          </w:p>
        </w:tc>
        <w:tc>
          <w:tcPr>
            <w:tcW w:w="0" w:type="auto"/>
            <w:tcBorders>
              <w:top w:val="nil"/>
              <w:left w:val="single" w:sz="6" w:space="0" w:color="888888"/>
              <w:bottom w:val="single" w:sz="6" w:space="0" w:color="888888"/>
              <w:right w:val="single" w:sz="6" w:space="0" w:color="888888"/>
            </w:tcBorders>
            <w:shd w:val="clear" w:color="auto" w:fill="FFFCF0"/>
            <w:tcMar>
              <w:top w:w="48" w:type="dxa"/>
              <w:left w:w="96" w:type="dxa"/>
              <w:bottom w:w="48" w:type="dxa"/>
              <w:right w:w="96" w:type="dxa"/>
            </w:tcMar>
            <w:hideMark/>
          </w:tcPr>
          <w:p w14:paraId="5CE7118A" w14:textId="77777777"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rs12914385</w:t>
            </w:r>
          </w:p>
        </w:tc>
        <w:tc>
          <w:tcPr>
            <w:tcW w:w="0" w:type="auto"/>
            <w:tcBorders>
              <w:top w:val="nil"/>
              <w:left w:val="single" w:sz="6" w:space="0" w:color="888888"/>
              <w:bottom w:val="single" w:sz="6" w:space="0" w:color="888888"/>
              <w:right w:val="single" w:sz="6" w:space="0" w:color="888888"/>
            </w:tcBorders>
            <w:shd w:val="clear" w:color="auto" w:fill="FFFCF0"/>
            <w:tcMar>
              <w:top w:w="48" w:type="dxa"/>
              <w:left w:w="96" w:type="dxa"/>
              <w:bottom w:w="48" w:type="dxa"/>
              <w:right w:w="96" w:type="dxa"/>
            </w:tcMar>
            <w:hideMark/>
          </w:tcPr>
          <w:p w14:paraId="2798C7A1" w14:textId="77777777"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T</w:t>
            </w:r>
          </w:p>
        </w:tc>
        <w:tc>
          <w:tcPr>
            <w:tcW w:w="0" w:type="auto"/>
            <w:tcBorders>
              <w:top w:val="nil"/>
              <w:left w:val="single" w:sz="6" w:space="0" w:color="888888"/>
              <w:bottom w:val="single" w:sz="6" w:space="0" w:color="888888"/>
              <w:right w:val="single" w:sz="6" w:space="0" w:color="888888"/>
            </w:tcBorders>
            <w:shd w:val="clear" w:color="auto" w:fill="FFFCF0"/>
            <w:tcMar>
              <w:top w:w="48" w:type="dxa"/>
              <w:left w:w="96" w:type="dxa"/>
              <w:bottom w:w="48" w:type="dxa"/>
              <w:right w:w="96" w:type="dxa"/>
            </w:tcMar>
            <w:hideMark/>
          </w:tcPr>
          <w:p w14:paraId="2B2F45EE" w14:textId="77777777"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0•42</w:t>
            </w:r>
          </w:p>
        </w:tc>
        <w:tc>
          <w:tcPr>
            <w:tcW w:w="0" w:type="auto"/>
            <w:tcBorders>
              <w:top w:val="nil"/>
              <w:left w:val="single" w:sz="6" w:space="0" w:color="888888"/>
              <w:bottom w:val="single" w:sz="6" w:space="0" w:color="888888"/>
              <w:right w:val="single" w:sz="6" w:space="0" w:color="888888"/>
            </w:tcBorders>
            <w:shd w:val="clear" w:color="auto" w:fill="FFFCF0"/>
            <w:tcMar>
              <w:top w:w="48" w:type="dxa"/>
              <w:left w:w="96" w:type="dxa"/>
              <w:bottom w:w="48" w:type="dxa"/>
              <w:right w:w="96" w:type="dxa"/>
            </w:tcMar>
            <w:hideMark/>
          </w:tcPr>
          <w:p w14:paraId="4F9A7827" w14:textId="77777777"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0•19</w:t>
            </w:r>
          </w:p>
        </w:tc>
        <w:tc>
          <w:tcPr>
            <w:tcW w:w="0" w:type="auto"/>
            <w:tcBorders>
              <w:top w:val="nil"/>
              <w:left w:val="single" w:sz="6" w:space="0" w:color="888888"/>
              <w:bottom w:val="single" w:sz="6" w:space="0" w:color="888888"/>
              <w:right w:val="single" w:sz="6" w:space="0" w:color="888888"/>
            </w:tcBorders>
            <w:shd w:val="clear" w:color="auto" w:fill="FFFCF0"/>
            <w:tcMar>
              <w:top w:w="48" w:type="dxa"/>
              <w:left w:w="96" w:type="dxa"/>
              <w:bottom w:w="48" w:type="dxa"/>
              <w:right w:w="96" w:type="dxa"/>
            </w:tcMar>
            <w:hideMark/>
          </w:tcPr>
          <w:p w14:paraId="74004EF3" w14:textId="77777777"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1•39 (1•29-1•51)</w:t>
            </w:r>
          </w:p>
        </w:tc>
        <w:tc>
          <w:tcPr>
            <w:tcW w:w="0" w:type="auto"/>
            <w:tcBorders>
              <w:top w:val="nil"/>
              <w:left w:val="single" w:sz="6" w:space="0" w:color="888888"/>
              <w:bottom w:val="single" w:sz="6" w:space="0" w:color="888888"/>
              <w:right w:val="single" w:sz="6" w:space="0" w:color="888888"/>
            </w:tcBorders>
            <w:shd w:val="clear" w:color="auto" w:fill="FFFCF0"/>
            <w:tcMar>
              <w:top w:w="48" w:type="dxa"/>
              <w:left w:w="96" w:type="dxa"/>
              <w:bottom w:w="48" w:type="dxa"/>
              <w:right w:w="96" w:type="dxa"/>
            </w:tcMar>
            <w:hideMark/>
          </w:tcPr>
          <w:p w14:paraId="4AE1B7DD" w14:textId="77777777"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2•70×10</w:t>
            </w:r>
            <w:r w:rsidRPr="00572A62">
              <w:rPr>
                <w:rFonts w:ascii="Times New Roman" w:eastAsia="Times New Roman" w:hAnsi="Times New Roman" w:cs="Times New Roman"/>
                <w:color w:val="000000"/>
                <w:sz w:val="20"/>
                <w:szCs w:val="20"/>
                <w:vertAlign w:val="superscript"/>
              </w:rPr>
              <w:t>−16</w:t>
            </w:r>
          </w:p>
        </w:tc>
        <w:tc>
          <w:tcPr>
            <w:tcW w:w="0" w:type="auto"/>
            <w:tcBorders>
              <w:top w:val="nil"/>
              <w:left w:val="single" w:sz="6" w:space="0" w:color="888888"/>
              <w:bottom w:val="single" w:sz="6" w:space="0" w:color="888888"/>
              <w:right w:val="single" w:sz="6" w:space="0" w:color="888888"/>
            </w:tcBorders>
            <w:shd w:val="clear" w:color="auto" w:fill="FFFCF0"/>
            <w:tcMar>
              <w:top w:w="48" w:type="dxa"/>
              <w:left w:w="96" w:type="dxa"/>
              <w:bottom w:w="48" w:type="dxa"/>
              <w:right w:w="96" w:type="dxa"/>
            </w:tcMar>
            <w:hideMark/>
          </w:tcPr>
          <w:p w14:paraId="50576F3A" w14:textId="77777777"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0</w:t>
            </w:r>
          </w:p>
        </w:tc>
        <w:tc>
          <w:tcPr>
            <w:tcW w:w="0" w:type="auto"/>
            <w:tcBorders>
              <w:top w:val="nil"/>
              <w:left w:val="single" w:sz="6" w:space="0" w:color="888888"/>
              <w:bottom w:val="single" w:sz="6" w:space="0" w:color="888888"/>
              <w:right w:val="nil"/>
            </w:tcBorders>
            <w:shd w:val="clear" w:color="auto" w:fill="FFFCF0"/>
            <w:tcMar>
              <w:top w:w="48" w:type="dxa"/>
              <w:left w:w="96" w:type="dxa"/>
              <w:bottom w:w="48" w:type="dxa"/>
              <w:right w:w="96" w:type="dxa"/>
            </w:tcMar>
            <w:hideMark/>
          </w:tcPr>
          <w:p w14:paraId="4552EB06" w14:textId="77777777"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0•76</w:t>
            </w:r>
          </w:p>
        </w:tc>
      </w:tr>
    </w:tbl>
    <w:p w14:paraId="3D0D1510" w14:textId="1B96A172" w:rsidR="005A503F" w:rsidRDefault="005A503F"/>
    <w:p w14:paraId="7CBC4CDB" w14:textId="6A17401C" w:rsidR="00572A62" w:rsidRDefault="00572A62">
      <w:hyperlink r:id="rId13" w:history="1">
        <w:r w:rsidRPr="00FB1B95">
          <w:rPr>
            <w:rStyle w:val="Hyperlink"/>
          </w:rPr>
          <w:t>https://www.ncbi.nlm.nih.gov/pubmed/22290489</w:t>
        </w:r>
      </w:hyperlink>
    </w:p>
    <w:p w14:paraId="506C7753" w14:textId="77777777" w:rsidR="00572A62" w:rsidRDefault="00572A62"/>
    <w:p w14:paraId="76D2ECB3" w14:textId="48898BE8" w:rsidR="005A503F" w:rsidRDefault="00572A62">
      <w:pPr>
        <w:rPr>
          <w:color w:val="000000"/>
          <w:shd w:val="clear" w:color="auto" w:fill="FFFFFF"/>
        </w:rPr>
      </w:pPr>
      <w:r>
        <w:rPr>
          <w:rStyle w:val="Emphasis"/>
          <w:color w:val="000000"/>
          <w:shd w:val="clear" w:color="auto" w:fill="FFFFFF"/>
        </w:rPr>
        <w:t>CHRNA5</w:t>
      </w:r>
      <w:r>
        <w:rPr>
          <w:color w:val="000000"/>
          <w:shd w:val="clear" w:color="auto" w:fill="FFFFFF"/>
        </w:rPr>
        <w:t>SNP rs12915366 and </w:t>
      </w:r>
      <w:r>
        <w:rPr>
          <w:rStyle w:val="Emphasis"/>
          <w:color w:val="000000"/>
          <w:shd w:val="clear" w:color="auto" w:fill="FFFFFF"/>
        </w:rPr>
        <w:t>CHRNA3</w:t>
      </w:r>
      <w:r>
        <w:rPr>
          <w:color w:val="000000"/>
          <w:shd w:val="clear" w:color="auto" w:fill="FFFFFF"/>
        </w:rPr>
        <w:t> SNP rs12914385 were found to be associated with smoking persistence (</w:t>
      </w:r>
      <w:proofErr w:type="spellStart"/>
      <w:r>
        <w:fldChar w:fldCharType="begin"/>
      </w:r>
      <w:r>
        <w:instrText xml:space="preserve"> HYPERLINK "https://www.ncbi.nlm.nih.gov/pmc/articles/PMC3864572/" \l "R78" </w:instrText>
      </w:r>
      <w:r>
        <w:fldChar w:fldCharType="separate"/>
      </w:r>
      <w:r>
        <w:rPr>
          <w:rStyle w:val="Hyperlink"/>
          <w:color w:val="642A8F"/>
          <w:shd w:val="clear" w:color="auto" w:fill="FFFFFF"/>
        </w:rPr>
        <w:t>Hamidovic</w:t>
      </w:r>
      <w:proofErr w:type="spellEnd"/>
      <w:r>
        <w:rPr>
          <w:rStyle w:val="Hyperlink"/>
          <w:color w:val="642A8F"/>
          <w:shd w:val="clear" w:color="auto" w:fill="FFFFFF"/>
        </w:rPr>
        <w:t xml:space="preserve"> et al. 2011</w:t>
      </w:r>
      <w:r>
        <w:fldChar w:fldCharType="end"/>
      </w:r>
      <w:r>
        <w:rPr>
          <w:color w:val="000000"/>
          <w:shd w:val="clear" w:color="auto" w:fill="FFFFFF"/>
        </w:rPr>
        <w:t>). Both SNPs are located in regions that have been associated with smoking and nicotine dependence in European Americans (</w:t>
      </w:r>
      <w:hyperlink r:id="rId14" w:anchor="R131" w:history="1">
        <w:r>
          <w:rPr>
            <w:rStyle w:val="Hyperlink"/>
            <w:color w:val="642A8F"/>
            <w:shd w:val="clear" w:color="auto" w:fill="FFFFFF"/>
          </w:rPr>
          <w:t>Liu et al. 2010</w:t>
        </w:r>
      </w:hyperlink>
      <w:r>
        <w:rPr>
          <w:color w:val="000000"/>
          <w:shd w:val="clear" w:color="auto" w:fill="FFFFFF"/>
        </w:rPr>
        <w:t>; </w:t>
      </w:r>
      <w:proofErr w:type="spellStart"/>
      <w:r>
        <w:fldChar w:fldCharType="begin"/>
      </w:r>
      <w:r>
        <w:instrText xml:space="preserve"> HYPERLINK "https://www.ncbi.nlm.nih.gov/pmc/articles/PMC3864572/" \l "R190" </w:instrText>
      </w:r>
      <w:r>
        <w:fldChar w:fldCharType="separate"/>
      </w:r>
      <w:r>
        <w:rPr>
          <w:rStyle w:val="Hyperlink"/>
          <w:color w:val="642A8F"/>
          <w:shd w:val="clear" w:color="auto" w:fill="FFFFFF"/>
        </w:rPr>
        <w:t>Saccone</w:t>
      </w:r>
      <w:proofErr w:type="spellEnd"/>
      <w:r>
        <w:rPr>
          <w:rStyle w:val="Hyperlink"/>
          <w:color w:val="642A8F"/>
          <w:shd w:val="clear" w:color="auto" w:fill="FFFFFF"/>
        </w:rPr>
        <w:t xml:space="preserve"> et al. 2009</w:t>
      </w:r>
      <w:r>
        <w:fldChar w:fldCharType="end"/>
      </w:r>
      <w:r>
        <w:rPr>
          <w:color w:val="000000"/>
          <w:shd w:val="clear" w:color="auto" w:fill="FFFFFF"/>
        </w:rPr>
        <w:t>; </w:t>
      </w:r>
      <w:hyperlink r:id="rId15" w:anchor="R212" w:history="1">
        <w:r>
          <w:rPr>
            <w:rStyle w:val="Hyperlink"/>
            <w:color w:val="642A8F"/>
            <w:shd w:val="clear" w:color="auto" w:fill="FFFFFF"/>
          </w:rPr>
          <w:t>TAG 2010</w:t>
        </w:r>
      </w:hyperlink>
      <w:r>
        <w:rPr>
          <w:color w:val="000000"/>
          <w:shd w:val="clear" w:color="auto" w:fill="FFFFFF"/>
        </w:rPr>
        <w:t>), suggesting that there may be distinct variants which modulate smoking behavior phenotypes in African-Americans. </w:t>
      </w:r>
    </w:p>
    <w:p w14:paraId="5FC912C7" w14:textId="125B6481" w:rsidR="00572A62" w:rsidRDefault="00572A62">
      <w:hyperlink r:id="rId16" w:history="1">
        <w:r w:rsidRPr="00FB1B95">
          <w:rPr>
            <w:rStyle w:val="Hyperlink"/>
          </w:rPr>
          <w:t>https://www.ncbi.nlm.nih.gov/pubmed/204</w:t>
        </w:r>
        <w:r w:rsidRPr="00FB1B95">
          <w:rPr>
            <w:rStyle w:val="Hyperlink"/>
          </w:rPr>
          <w:t>18890</w:t>
        </w:r>
      </w:hyperlink>
    </w:p>
    <w:p w14:paraId="5EE09D9D" w14:textId="77777777" w:rsidR="00572A62" w:rsidRDefault="00572A62"/>
    <w:p w14:paraId="75CE492F" w14:textId="50D2539E" w:rsidR="005A503F" w:rsidRDefault="00572A62">
      <w:pPr>
        <w:rPr>
          <w:color w:val="000000"/>
          <w:shd w:val="clear" w:color="auto" w:fill="FFFFFF"/>
        </w:rPr>
      </w:pPr>
      <w:r>
        <w:rPr>
          <w:color w:val="000000"/>
          <w:shd w:val="clear" w:color="auto" w:fill="FFFFFF"/>
        </w:rPr>
        <w:lastRenderedPageBreak/>
        <w:t>A total of 130 SNPs in the 15q25.1 nicotinic receptor gene cluster were significantly associated with C</w:t>
      </w:r>
      <w:r w:rsidR="005237EA">
        <w:rPr>
          <w:color w:val="000000"/>
          <w:shd w:val="clear" w:color="auto" w:fill="FFFFFF"/>
        </w:rPr>
        <w:t>igarettes smoked per day</w:t>
      </w:r>
      <w:r>
        <w:rPr>
          <w:color w:val="000000"/>
          <w:shd w:val="clear" w:color="auto" w:fill="FFFFFF"/>
        </w:rPr>
        <w:t xml:space="preserve"> (</w:t>
      </w:r>
      <w:r>
        <w:rPr>
          <w:rStyle w:val="Emphasis"/>
          <w:color w:val="000000"/>
          <w:shd w:val="clear" w:color="auto" w:fill="FFFFFF"/>
        </w:rPr>
        <w:t>n</w:t>
      </w:r>
      <w:r>
        <w:rPr>
          <w:color w:val="000000"/>
          <w:shd w:val="clear" w:color="auto" w:fill="FFFFFF"/>
        </w:rPr>
        <w:t> = 38,181, minimum </w:t>
      </w:r>
      <w:r>
        <w:rPr>
          <w:rStyle w:val="Emphasis"/>
          <w:color w:val="000000"/>
          <w:shd w:val="clear" w:color="auto" w:fill="FFFFFF"/>
        </w:rPr>
        <w:t>P</w:t>
      </w:r>
      <w:r>
        <w:rPr>
          <w:color w:val="000000"/>
          <w:shd w:val="clear" w:color="auto" w:fill="FFFFFF"/>
        </w:rPr>
        <w:t> = 4.2 × 10</w:t>
      </w:r>
      <w:r>
        <w:rPr>
          <w:color w:val="000000"/>
          <w:sz w:val="20"/>
          <w:szCs w:val="20"/>
          <w:shd w:val="clear" w:color="auto" w:fill="FFFFFF"/>
          <w:vertAlign w:val="superscript"/>
        </w:rPr>
        <w:t>−35</w:t>
      </w:r>
      <w:r>
        <w:rPr>
          <w:color w:val="000000"/>
          <w:shd w:val="clear" w:color="auto" w:fill="FFFFFF"/>
        </w:rPr>
        <w:t> at rs12914385 in </w:t>
      </w:r>
      <w:r>
        <w:rPr>
          <w:rStyle w:val="Emphasis"/>
          <w:color w:val="000000"/>
          <w:shd w:val="clear" w:color="auto" w:fill="FFFFFF"/>
        </w:rPr>
        <w:t>CHRNA3</w:t>
      </w:r>
      <w:r>
        <w:rPr>
          <w:color w:val="000000"/>
          <w:shd w:val="clear" w:color="auto" w:fill="FFFFFF"/>
        </w:rPr>
        <w:t>).</w:t>
      </w:r>
    </w:p>
    <w:p w14:paraId="3859868F" w14:textId="54E314D4" w:rsidR="00572A62" w:rsidRDefault="00572A62">
      <w:hyperlink r:id="rId17" w:history="1">
        <w:r w:rsidRPr="00FB1B95">
          <w:rPr>
            <w:rStyle w:val="Hyperlink"/>
          </w:rPr>
          <w:t>https://www.ncbi.nlm.nih.gov/pubmed/26270548</w:t>
        </w:r>
      </w:hyperlink>
    </w:p>
    <w:p w14:paraId="0367FE70" w14:textId="77777777" w:rsidR="00572A62" w:rsidRDefault="00572A62"/>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1159"/>
        <w:gridCol w:w="1183"/>
        <w:gridCol w:w="672"/>
        <w:gridCol w:w="1041"/>
        <w:gridCol w:w="629"/>
        <w:gridCol w:w="674"/>
        <w:gridCol w:w="1043"/>
        <w:gridCol w:w="631"/>
        <w:gridCol w:w="668"/>
        <w:gridCol w:w="1036"/>
        <w:gridCol w:w="624"/>
      </w:tblGrid>
      <w:tr w:rsidR="00572A62" w:rsidRPr="00572A62" w14:paraId="049B62F2" w14:textId="77777777" w:rsidTr="00572A62">
        <w:tc>
          <w:tcPr>
            <w:tcW w:w="0" w:type="auto"/>
            <w:tcBorders>
              <w:top w:val="nil"/>
              <w:left w:val="nil"/>
              <w:bottom w:val="nil"/>
              <w:right w:val="nil"/>
            </w:tcBorders>
            <w:shd w:val="clear" w:color="auto" w:fill="FFFCF0"/>
            <w:tcMar>
              <w:top w:w="48" w:type="dxa"/>
              <w:left w:w="96" w:type="dxa"/>
              <w:bottom w:w="48" w:type="dxa"/>
              <w:right w:w="96" w:type="dxa"/>
            </w:tcMar>
          </w:tcPr>
          <w:p w14:paraId="400BBE1A" w14:textId="0BC3CE40"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Pr>
                <w:b/>
                <w:bCs/>
                <w:color w:val="000000"/>
                <w:sz w:val="20"/>
                <w:szCs w:val="20"/>
              </w:rPr>
              <w:t>SNP</w:t>
            </w:r>
          </w:p>
        </w:tc>
        <w:tc>
          <w:tcPr>
            <w:tcW w:w="0" w:type="auto"/>
            <w:tcBorders>
              <w:top w:val="nil"/>
              <w:left w:val="nil"/>
              <w:bottom w:val="nil"/>
              <w:right w:val="nil"/>
            </w:tcBorders>
            <w:shd w:val="clear" w:color="auto" w:fill="FFFCF0"/>
            <w:tcMar>
              <w:top w:w="48" w:type="dxa"/>
              <w:left w:w="96" w:type="dxa"/>
              <w:bottom w:w="48" w:type="dxa"/>
              <w:right w:w="96" w:type="dxa"/>
            </w:tcMar>
          </w:tcPr>
          <w:p w14:paraId="1D88B900" w14:textId="71CC133C"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Pr>
                <w:b/>
                <w:bCs/>
                <w:color w:val="000000"/>
                <w:sz w:val="20"/>
                <w:szCs w:val="20"/>
              </w:rPr>
              <w:t>Function</w:t>
            </w:r>
          </w:p>
        </w:tc>
        <w:tc>
          <w:tcPr>
            <w:tcW w:w="0" w:type="auto"/>
            <w:tcBorders>
              <w:top w:val="nil"/>
              <w:left w:val="nil"/>
              <w:bottom w:val="nil"/>
              <w:right w:val="nil"/>
            </w:tcBorders>
            <w:shd w:val="clear" w:color="auto" w:fill="FFFCF0"/>
            <w:tcMar>
              <w:top w:w="48" w:type="dxa"/>
              <w:left w:w="96" w:type="dxa"/>
              <w:bottom w:w="48" w:type="dxa"/>
              <w:right w:w="96" w:type="dxa"/>
            </w:tcMar>
          </w:tcPr>
          <w:p w14:paraId="212DE867" w14:textId="3D0AE885"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Pr>
                <w:b/>
                <w:bCs/>
                <w:color w:val="000000"/>
                <w:sz w:val="20"/>
                <w:szCs w:val="20"/>
              </w:rPr>
              <w:t>EUR Freq</w:t>
            </w:r>
          </w:p>
        </w:tc>
        <w:tc>
          <w:tcPr>
            <w:tcW w:w="0" w:type="auto"/>
            <w:tcBorders>
              <w:top w:val="nil"/>
              <w:left w:val="nil"/>
              <w:bottom w:val="nil"/>
              <w:right w:val="nil"/>
            </w:tcBorders>
            <w:shd w:val="clear" w:color="auto" w:fill="FFFCF0"/>
            <w:tcMar>
              <w:top w:w="48" w:type="dxa"/>
              <w:left w:w="96" w:type="dxa"/>
              <w:bottom w:w="48" w:type="dxa"/>
              <w:right w:w="96" w:type="dxa"/>
            </w:tcMar>
          </w:tcPr>
          <w:p w14:paraId="7939821E" w14:textId="66871CBE"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Pr>
                <w:b/>
                <w:bCs/>
                <w:color w:val="000000"/>
                <w:sz w:val="20"/>
                <w:szCs w:val="20"/>
              </w:rPr>
              <w:t>Tajima’s D EUR</w:t>
            </w:r>
          </w:p>
        </w:tc>
        <w:tc>
          <w:tcPr>
            <w:tcW w:w="0" w:type="auto"/>
            <w:tcBorders>
              <w:top w:val="nil"/>
              <w:left w:val="nil"/>
              <w:bottom w:val="nil"/>
              <w:right w:val="nil"/>
            </w:tcBorders>
            <w:shd w:val="clear" w:color="auto" w:fill="FFFCF0"/>
            <w:tcMar>
              <w:top w:w="48" w:type="dxa"/>
              <w:left w:w="96" w:type="dxa"/>
              <w:bottom w:w="48" w:type="dxa"/>
              <w:right w:w="96" w:type="dxa"/>
            </w:tcMar>
          </w:tcPr>
          <w:p w14:paraId="2E41BCC6" w14:textId="68668A79"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proofErr w:type="spellStart"/>
            <w:r>
              <w:rPr>
                <w:b/>
                <w:bCs/>
                <w:color w:val="000000"/>
                <w:sz w:val="20"/>
                <w:szCs w:val="20"/>
              </w:rPr>
              <w:t>iHS</w:t>
            </w:r>
            <w:proofErr w:type="spellEnd"/>
            <w:r>
              <w:rPr>
                <w:b/>
                <w:bCs/>
                <w:color w:val="000000"/>
                <w:sz w:val="20"/>
                <w:szCs w:val="20"/>
              </w:rPr>
              <w:t xml:space="preserve"> EUR</w:t>
            </w:r>
          </w:p>
        </w:tc>
        <w:tc>
          <w:tcPr>
            <w:tcW w:w="0" w:type="auto"/>
            <w:tcBorders>
              <w:top w:val="nil"/>
              <w:left w:val="nil"/>
              <w:bottom w:val="nil"/>
              <w:right w:val="nil"/>
            </w:tcBorders>
            <w:shd w:val="clear" w:color="auto" w:fill="FFFCF0"/>
            <w:tcMar>
              <w:top w:w="48" w:type="dxa"/>
              <w:left w:w="96" w:type="dxa"/>
              <w:bottom w:w="48" w:type="dxa"/>
              <w:right w:w="96" w:type="dxa"/>
            </w:tcMar>
          </w:tcPr>
          <w:p w14:paraId="2AF3C5C8" w14:textId="40DB41E9"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Pr>
                <w:b/>
                <w:bCs/>
                <w:color w:val="000000"/>
                <w:sz w:val="20"/>
                <w:szCs w:val="20"/>
              </w:rPr>
              <w:t>ASN Freq</w:t>
            </w:r>
          </w:p>
        </w:tc>
        <w:tc>
          <w:tcPr>
            <w:tcW w:w="0" w:type="auto"/>
            <w:tcBorders>
              <w:top w:val="nil"/>
              <w:left w:val="nil"/>
              <w:bottom w:val="nil"/>
              <w:right w:val="nil"/>
            </w:tcBorders>
            <w:shd w:val="clear" w:color="auto" w:fill="FFFCF0"/>
            <w:tcMar>
              <w:top w:w="48" w:type="dxa"/>
              <w:left w:w="96" w:type="dxa"/>
              <w:bottom w:w="48" w:type="dxa"/>
              <w:right w:w="96" w:type="dxa"/>
            </w:tcMar>
          </w:tcPr>
          <w:p w14:paraId="64F758EE" w14:textId="367C6E72"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Pr>
                <w:b/>
                <w:bCs/>
                <w:color w:val="000000"/>
                <w:sz w:val="20"/>
                <w:szCs w:val="20"/>
              </w:rPr>
              <w:t>Tajima’s D ASN</w:t>
            </w:r>
          </w:p>
        </w:tc>
        <w:tc>
          <w:tcPr>
            <w:tcW w:w="0" w:type="auto"/>
            <w:tcBorders>
              <w:top w:val="nil"/>
              <w:left w:val="nil"/>
              <w:bottom w:val="nil"/>
              <w:right w:val="nil"/>
            </w:tcBorders>
            <w:shd w:val="clear" w:color="auto" w:fill="FFFCF0"/>
            <w:tcMar>
              <w:top w:w="48" w:type="dxa"/>
              <w:left w:w="96" w:type="dxa"/>
              <w:bottom w:w="48" w:type="dxa"/>
              <w:right w:w="96" w:type="dxa"/>
            </w:tcMar>
          </w:tcPr>
          <w:p w14:paraId="001B830C" w14:textId="5EA5ED58"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proofErr w:type="spellStart"/>
            <w:r>
              <w:rPr>
                <w:b/>
                <w:bCs/>
                <w:color w:val="000000"/>
                <w:sz w:val="20"/>
                <w:szCs w:val="20"/>
              </w:rPr>
              <w:t>iHS</w:t>
            </w:r>
            <w:proofErr w:type="spellEnd"/>
            <w:r>
              <w:rPr>
                <w:b/>
                <w:bCs/>
                <w:color w:val="000000"/>
                <w:sz w:val="20"/>
                <w:szCs w:val="20"/>
              </w:rPr>
              <w:t xml:space="preserve"> ASN</w:t>
            </w:r>
          </w:p>
        </w:tc>
        <w:tc>
          <w:tcPr>
            <w:tcW w:w="0" w:type="auto"/>
            <w:tcBorders>
              <w:top w:val="nil"/>
              <w:left w:val="nil"/>
              <w:bottom w:val="nil"/>
              <w:right w:val="nil"/>
            </w:tcBorders>
            <w:shd w:val="clear" w:color="auto" w:fill="FFFCF0"/>
            <w:tcMar>
              <w:top w:w="48" w:type="dxa"/>
              <w:left w:w="96" w:type="dxa"/>
              <w:bottom w:w="48" w:type="dxa"/>
              <w:right w:w="96" w:type="dxa"/>
            </w:tcMar>
          </w:tcPr>
          <w:p w14:paraId="3A7F1C01" w14:textId="1E8F3252"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Pr>
                <w:b/>
                <w:bCs/>
                <w:color w:val="000000"/>
                <w:sz w:val="20"/>
                <w:szCs w:val="20"/>
              </w:rPr>
              <w:t>AFR Freq</w:t>
            </w:r>
          </w:p>
        </w:tc>
        <w:tc>
          <w:tcPr>
            <w:tcW w:w="0" w:type="auto"/>
            <w:tcBorders>
              <w:top w:val="nil"/>
              <w:left w:val="nil"/>
              <w:bottom w:val="nil"/>
              <w:right w:val="nil"/>
            </w:tcBorders>
            <w:shd w:val="clear" w:color="auto" w:fill="FFFCF0"/>
            <w:tcMar>
              <w:top w:w="48" w:type="dxa"/>
              <w:left w:w="96" w:type="dxa"/>
              <w:bottom w:w="48" w:type="dxa"/>
              <w:right w:w="96" w:type="dxa"/>
            </w:tcMar>
          </w:tcPr>
          <w:p w14:paraId="3962387E" w14:textId="768A3619"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Pr>
                <w:b/>
                <w:bCs/>
                <w:color w:val="000000"/>
                <w:sz w:val="20"/>
                <w:szCs w:val="20"/>
              </w:rPr>
              <w:t>Tajima’s D AFR</w:t>
            </w:r>
          </w:p>
        </w:tc>
        <w:tc>
          <w:tcPr>
            <w:tcW w:w="0" w:type="auto"/>
            <w:tcBorders>
              <w:top w:val="nil"/>
              <w:left w:val="nil"/>
              <w:bottom w:val="nil"/>
              <w:right w:val="nil"/>
            </w:tcBorders>
            <w:shd w:val="clear" w:color="auto" w:fill="FFFCF0"/>
            <w:tcMar>
              <w:top w:w="48" w:type="dxa"/>
              <w:left w:w="96" w:type="dxa"/>
              <w:bottom w:w="48" w:type="dxa"/>
              <w:right w:w="96" w:type="dxa"/>
            </w:tcMar>
          </w:tcPr>
          <w:p w14:paraId="081E11BE" w14:textId="2F4A53C5"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proofErr w:type="spellStart"/>
            <w:r>
              <w:rPr>
                <w:b/>
                <w:bCs/>
                <w:color w:val="000000"/>
                <w:sz w:val="20"/>
                <w:szCs w:val="20"/>
              </w:rPr>
              <w:t>iHS</w:t>
            </w:r>
            <w:proofErr w:type="spellEnd"/>
            <w:r>
              <w:rPr>
                <w:b/>
                <w:bCs/>
                <w:color w:val="000000"/>
                <w:sz w:val="20"/>
                <w:szCs w:val="20"/>
              </w:rPr>
              <w:t xml:space="preserve"> AFR</w:t>
            </w:r>
          </w:p>
        </w:tc>
      </w:tr>
      <w:tr w:rsidR="00572A62" w:rsidRPr="00572A62" w14:paraId="54A98F2F" w14:textId="77777777" w:rsidTr="00572A62">
        <w:tc>
          <w:tcPr>
            <w:tcW w:w="0" w:type="auto"/>
            <w:tcBorders>
              <w:top w:val="nil"/>
              <w:left w:val="nil"/>
              <w:bottom w:val="nil"/>
              <w:right w:val="nil"/>
            </w:tcBorders>
            <w:shd w:val="clear" w:color="auto" w:fill="FFFCF0"/>
            <w:tcMar>
              <w:top w:w="48" w:type="dxa"/>
              <w:left w:w="96" w:type="dxa"/>
              <w:bottom w:w="48" w:type="dxa"/>
              <w:right w:w="96" w:type="dxa"/>
            </w:tcMar>
            <w:hideMark/>
          </w:tcPr>
          <w:p w14:paraId="6C3DCEED" w14:textId="77777777"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sidRPr="00572A62">
              <w:rPr>
                <w:rFonts w:ascii="Times New Roman" w:eastAsia="Times New Roman" w:hAnsi="Times New Roman" w:cs="Times New Roman"/>
                <w:b/>
                <w:bCs/>
                <w:color w:val="000000"/>
                <w:sz w:val="20"/>
                <w:szCs w:val="20"/>
              </w:rPr>
              <w:t>rs12914385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A3852F6" w14:textId="77777777"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CHRNA3 intronic</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DD35A64" w14:textId="77777777"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0.4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03FA2EB" w14:textId="77777777"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sidRPr="00572A62">
              <w:rPr>
                <w:rFonts w:ascii="Times New Roman" w:eastAsia="Times New Roman" w:hAnsi="Times New Roman" w:cs="Times New Roman"/>
                <w:b/>
                <w:bCs/>
                <w:color w:val="000000"/>
                <w:sz w:val="20"/>
                <w:szCs w:val="20"/>
              </w:rPr>
              <w:t>(2.35, 2.55)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59DD20" w14:textId="77777777"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-0.39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684E09A" w14:textId="77777777"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0.32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2A954D4" w14:textId="77777777"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(1.85, 2.01)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5281D88" w14:textId="77777777"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0.36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F01E66A" w14:textId="77777777"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0.2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6F13BAA" w14:textId="77777777"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(1.13, 1.35)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F8AA35B" w14:textId="77777777" w:rsidR="00572A62" w:rsidRPr="00572A62" w:rsidRDefault="00572A62" w:rsidP="00572A62">
            <w:pPr>
              <w:spacing w:before="332" w:after="332" w:line="393" w:lineRule="atLeast"/>
              <w:jc w:val="center"/>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0.39</w:t>
            </w:r>
          </w:p>
        </w:tc>
      </w:tr>
    </w:tbl>
    <w:p w14:paraId="1CC89146" w14:textId="217B076F" w:rsidR="00572A62" w:rsidRDefault="00572A62">
      <w:hyperlink r:id="rId18" w:history="1">
        <w:r w:rsidRPr="00FB1B95">
          <w:rPr>
            <w:rStyle w:val="Hyperlink"/>
          </w:rPr>
          <w:t>https://www.ncbi.nlm.nih.gov/pubmed/28827732</w:t>
        </w:r>
      </w:hyperlink>
    </w:p>
    <w:p w14:paraId="23877ABC" w14:textId="77777777" w:rsidR="00572A62" w:rsidRDefault="00572A62"/>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422"/>
        <w:gridCol w:w="397"/>
        <w:gridCol w:w="507"/>
        <w:gridCol w:w="629"/>
        <w:gridCol w:w="475"/>
        <w:gridCol w:w="71"/>
        <w:gridCol w:w="688"/>
        <w:gridCol w:w="71"/>
        <w:gridCol w:w="255"/>
        <w:gridCol w:w="83"/>
        <w:gridCol w:w="649"/>
        <w:gridCol w:w="83"/>
        <w:gridCol w:w="188"/>
        <w:gridCol w:w="127"/>
        <w:gridCol w:w="83"/>
        <w:gridCol w:w="768"/>
        <w:gridCol w:w="290"/>
        <w:gridCol w:w="290"/>
        <w:gridCol w:w="230"/>
        <w:gridCol w:w="290"/>
        <w:gridCol w:w="319"/>
        <w:gridCol w:w="475"/>
        <w:gridCol w:w="71"/>
        <w:gridCol w:w="590"/>
        <w:gridCol w:w="265"/>
        <w:gridCol w:w="265"/>
        <w:gridCol w:w="779"/>
      </w:tblGrid>
      <w:tr w:rsidR="00572A62" w:rsidRPr="00572A62" w14:paraId="6A7D0EEC" w14:textId="77777777" w:rsidTr="00572A62">
        <w:trPr>
          <w:tblHeader/>
        </w:trPr>
        <w:tc>
          <w:tcPr>
            <w:tcW w:w="0" w:type="auto"/>
            <w:vMerge w:val="restart"/>
            <w:tcBorders>
              <w:top w:val="nil"/>
              <w:left w:val="nil"/>
              <w:bottom w:val="nil"/>
              <w:right w:val="nil"/>
            </w:tcBorders>
            <w:shd w:val="clear" w:color="auto" w:fill="FFFCF0"/>
            <w:tcMar>
              <w:top w:w="48" w:type="dxa"/>
              <w:left w:w="96" w:type="dxa"/>
              <w:bottom w:w="48" w:type="dxa"/>
              <w:right w:w="96" w:type="dxa"/>
            </w:tcMar>
            <w:hideMark/>
          </w:tcPr>
          <w:p w14:paraId="05A5BF24"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proofErr w:type="spellStart"/>
            <w:r w:rsidRPr="00572A62">
              <w:rPr>
                <w:rFonts w:ascii="Times New Roman" w:eastAsia="Times New Roman" w:hAnsi="Times New Roman" w:cs="Times New Roman"/>
                <w:b/>
                <w:bCs/>
                <w:color w:val="000000"/>
                <w:sz w:val="20"/>
                <w:szCs w:val="20"/>
              </w:rPr>
              <w:t>enes</w:t>
            </w:r>
            <w:proofErr w:type="spellEnd"/>
          </w:p>
        </w:tc>
        <w:tc>
          <w:tcPr>
            <w:tcW w:w="0" w:type="auto"/>
            <w:gridSpan w:val="2"/>
            <w:vMerge w:val="restart"/>
            <w:tcBorders>
              <w:top w:val="nil"/>
              <w:left w:val="nil"/>
              <w:bottom w:val="nil"/>
              <w:right w:val="nil"/>
            </w:tcBorders>
            <w:shd w:val="clear" w:color="auto" w:fill="FFFCF0"/>
            <w:tcMar>
              <w:top w:w="48" w:type="dxa"/>
              <w:left w:w="96" w:type="dxa"/>
              <w:bottom w:w="48" w:type="dxa"/>
              <w:right w:w="96" w:type="dxa"/>
            </w:tcMar>
            <w:hideMark/>
          </w:tcPr>
          <w:p w14:paraId="42A2739D"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Variants*</w:t>
            </w:r>
          </w:p>
        </w:tc>
        <w:tc>
          <w:tcPr>
            <w:tcW w:w="0" w:type="auto"/>
            <w:gridSpan w:val="2"/>
            <w:vMerge w:val="restart"/>
            <w:tcBorders>
              <w:top w:val="nil"/>
              <w:left w:val="nil"/>
              <w:bottom w:val="nil"/>
              <w:right w:val="nil"/>
            </w:tcBorders>
            <w:shd w:val="clear" w:color="auto" w:fill="FFFCF0"/>
            <w:tcMar>
              <w:top w:w="48" w:type="dxa"/>
              <w:left w:w="96" w:type="dxa"/>
              <w:bottom w:w="48" w:type="dxa"/>
              <w:right w:w="96" w:type="dxa"/>
            </w:tcMar>
            <w:hideMark/>
          </w:tcPr>
          <w:p w14:paraId="6D3A15F7"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Frequency (%)</w:t>
            </w:r>
            <w:r w:rsidRPr="00572A62">
              <w:rPr>
                <w:rFonts w:ascii="Times New Roman" w:eastAsia="Times New Roman" w:hAnsi="Times New Roman" w:cs="Times New Roman"/>
                <w:b/>
                <w:bCs/>
                <w:color w:val="000000"/>
                <w:sz w:val="20"/>
                <w:szCs w:val="20"/>
                <w:vertAlign w:val="superscript"/>
              </w:rPr>
              <w:t>†</w:t>
            </w:r>
          </w:p>
        </w:tc>
        <w:tc>
          <w:tcPr>
            <w:tcW w:w="0" w:type="auto"/>
            <w:gridSpan w:val="3"/>
            <w:vMerge w:val="restart"/>
            <w:tcBorders>
              <w:top w:val="nil"/>
              <w:left w:val="nil"/>
              <w:bottom w:val="nil"/>
              <w:right w:val="nil"/>
            </w:tcBorders>
            <w:shd w:val="clear" w:color="auto" w:fill="FFFCF0"/>
            <w:tcMar>
              <w:top w:w="48" w:type="dxa"/>
              <w:left w:w="96" w:type="dxa"/>
              <w:bottom w:w="48" w:type="dxa"/>
              <w:right w:w="96" w:type="dxa"/>
            </w:tcMar>
            <w:hideMark/>
          </w:tcPr>
          <w:p w14:paraId="68698CF4"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Ethnicity</w:t>
            </w:r>
          </w:p>
        </w:tc>
        <w:tc>
          <w:tcPr>
            <w:tcW w:w="0" w:type="auto"/>
            <w:gridSpan w:val="3"/>
            <w:tcBorders>
              <w:top w:val="nil"/>
              <w:left w:val="nil"/>
              <w:bottom w:val="nil"/>
              <w:right w:val="nil"/>
            </w:tcBorders>
            <w:shd w:val="clear" w:color="auto" w:fill="FFFCF0"/>
            <w:tcMar>
              <w:top w:w="48" w:type="dxa"/>
              <w:left w:w="96" w:type="dxa"/>
              <w:bottom w:w="48" w:type="dxa"/>
              <w:right w:w="96" w:type="dxa"/>
            </w:tcMar>
            <w:hideMark/>
          </w:tcPr>
          <w:p w14:paraId="34515FF5"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Number evaluated</w:t>
            </w:r>
          </w:p>
        </w:tc>
        <w:tc>
          <w:tcPr>
            <w:tcW w:w="0" w:type="auto"/>
            <w:gridSpan w:val="5"/>
            <w:tcBorders>
              <w:top w:val="nil"/>
              <w:left w:val="nil"/>
              <w:bottom w:val="nil"/>
              <w:right w:val="nil"/>
            </w:tcBorders>
            <w:shd w:val="clear" w:color="auto" w:fill="FFFCF0"/>
            <w:tcMar>
              <w:top w:w="48" w:type="dxa"/>
              <w:left w:w="96" w:type="dxa"/>
              <w:bottom w:w="48" w:type="dxa"/>
              <w:right w:w="96" w:type="dxa"/>
            </w:tcMar>
            <w:hideMark/>
          </w:tcPr>
          <w:p w14:paraId="30DB0263"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Genetic associations with lung cancer</w:t>
            </w:r>
          </w:p>
        </w:tc>
        <w:tc>
          <w:tcPr>
            <w:tcW w:w="0" w:type="auto"/>
            <w:gridSpan w:val="4"/>
            <w:tcBorders>
              <w:top w:val="nil"/>
              <w:left w:val="nil"/>
              <w:bottom w:val="nil"/>
              <w:right w:val="nil"/>
            </w:tcBorders>
            <w:shd w:val="clear" w:color="auto" w:fill="FFFCF0"/>
            <w:tcMar>
              <w:top w:w="48" w:type="dxa"/>
              <w:left w:w="96" w:type="dxa"/>
              <w:bottom w:w="48" w:type="dxa"/>
              <w:right w:w="96" w:type="dxa"/>
            </w:tcMar>
            <w:hideMark/>
          </w:tcPr>
          <w:p w14:paraId="5CF75546"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Heterogeneity</w:t>
            </w:r>
          </w:p>
        </w:tc>
        <w:tc>
          <w:tcPr>
            <w:tcW w:w="0" w:type="auto"/>
            <w:gridSpan w:val="2"/>
            <w:vMerge w:val="restart"/>
            <w:tcBorders>
              <w:top w:val="nil"/>
              <w:left w:val="nil"/>
              <w:bottom w:val="nil"/>
              <w:right w:val="nil"/>
            </w:tcBorders>
            <w:shd w:val="clear" w:color="auto" w:fill="FFFCF0"/>
            <w:tcMar>
              <w:top w:w="48" w:type="dxa"/>
              <w:left w:w="96" w:type="dxa"/>
              <w:bottom w:w="48" w:type="dxa"/>
              <w:right w:w="96" w:type="dxa"/>
            </w:tcMar>
            <w:hideMark/>
          </w:tcPr>
          <w:p w14:paraId="178F38F2"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proofErr w:type="spellStart"/>
            <w:r w:rsidRPr="00572A62">
              <w:rPr>
                <w:rFonts w:ascii="Times New Roman" w:eastAsia="Times New Roman" w:hAnsi="Times New Roman" w:cs="Times New Roman"/>
                <w:b/>
                <w:bCs/>
                <w:color w:val="000000"/>
                <w:sz w:val="20"/>
                <w:szCs w:val="20"/>
              </w:rPr>
              <w:t>Begg</w:t>
            </w:r>
            <w:proofErr w:type="spellEnd"/>
            <w:r w:rsidRPr="00572A62">
              <w:rPr>
                <w:rFonts w:ascii="Times New Roman" w:eastAsia="Times New Roman" w:hAnsi="Times New Roman" w:cs="Times New Roman"/>
                <w:b/>
                <w:bCs/>
                <w:color w:val="000000"/>
                <w:sz w:val="20"/>
                <w:szCs w:val="20"/>
              </w:rPr>
              <w:t> </w:t>
            </w:r>
            <w:r w:rsidRPr="00572A62">
              <w:rPr>
                <w:rFonts w:ascii="Times New Roman" w:eastAsia="Times New Roman" w:hAnsi="Times New Roman" w:cs="Times New Roman"/>
                <w:b/>
                <w:bCs/>
                <w:i/>
                <w:iCs/>
                <w:color w:val="000000"/>
                <w:sz w:val="20"/>
                <w:szCs w:val="20"/>
              </w:rPr>
              <w:t>P</w:t>
            </w:r>
          </w:p>
        </w:tc>
        <w:tc>
          <w:tcPr>
            <w:tcW w:w="0" w:type="auto"/>
            <w:gridSpan w:val="3"/>
            <w:vMerge w:val="restart"/>
            <w:tcBorders>
              <w:top w:val="nil"/>
              <w:left w:val="nil"/>
              <w:bottom w:val="nil"/>
              <w:right w:val="nil"/>
            </w:tcBorders>
            <w:shd w:val="clear" w:color="auto" w:fill="FFFCF0"/>
            <w:tcMar>
              <w:top w:w="48" w:type="dxa"/>
              <w:left w:w="96" w:type="dxa"/>
              <w:bottom w:w="48" w:type="dxa"/>
              <w:right w:w="96" w:type="dxa"/>
            </w:tcMar>
            <w:hideMark/>
          </w:tcPr>
          <w:p w14:paraId="6C885F92"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Venice criteria grades</w:t>
            </w:r>
            <w:r w:rsidRPr="00572A62">
              <w:rPr>
                <w:rFonts w:ascii="Times New Roman" w:eastAsia="Times New Roman" w:hAnsi="Times New Roman" w:cs="Times New Roman"/>
                <w:b/>
                <w:bCs/>
                <w:color w:val="000000"/>
                <w:sz w:val="20"/>
                <w:szCs w:val="20"/>
                <w:vertAlign w:val="superscript"/>
              </w:rPr>
              <w:t>∫</w:t>
            </w:r>
          </w:p>
        </w:tc>
        <w:tc>
          <w:tcPr>
            <w:tcW w:w="0" w:type="auto"/>
            <w:gridSpan w:val="2"/>
            <w:vMerge w:val="restart"/>
            <w:tcBorders>
              <w:top w:val="nil"/>
              <w:left w:val="nil"/>
              <w:bottom w:val="nil"/>
              <w:right w:val="nil"/>
            </w:tcBorders>
            <w:shd w:val="clear" w:color="auto" w:fill="FFFCF0"/>
            <w:tcMar>
              <w:top w:w="48" w:type="dxa"/>
              <w:left w:w="96" w:type="dxa"/>
              <w:bottom w:w="48" w:type="dxa"/>
              <w:right w:w="96" w:type="dxa"/>
            </w:tcMar>
            <w:hideMark/>
          </w:tcPr>
          <w:p w14:paraId="46C76511"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Credibility of evidence</w:t>
            </w:r>
            <w:r w:rsidRPr="00572A62">
              <w:rPr>
                <w:rFonts w:ascii="Times New Roman" w:eastAsia="Times New Roman" w:hAnsi="Times New Roman" w:cs="Times New Roman"/>
                <w:b/>
                <w:bCs/>
                <w:color w:val="000000"/>
                <w:sz w:val="20"/>
                <w:szCs w:val="20"/>
                <w:vertAlign w:val="superscript"/>
              </w:rPr>
              <w:t>§</w:t>
            </w:r>
          </w:p>
        </w:tc>
      </w:tr>
      <w:tr w:rsidR="00572A62" w:rsidRPr="00572A62" w14:paraId="287215D3" w14:textId="77777777" w:rsidTr="00572A62">
        <w:tc>
          <w:tcPr>
            <w:tcW w:w="0" w:type="auto"/>
            <w:vMerge/>
            <w:tcBorders>
              <w:top w:val="nil"/>
              <w:left w:val="nil"/>
              <w:bottom w:val="nil"/>
              <w:right w:val="nil"/>
            </w:tcBorders>
            <w:shd w:val="clear" w:color="auto" w:fill="FFFCF0"/>
            <w:vAlign w:val="center"/>
            <w:hideMark/>
          </w:tcPr>
          <w:p w14:paraId="5AB25417" w14:textId="77777777" w:rsidR="00572A62" w:rsidRPr="00572A62" w:rsidRDefault="00572A62" w:rsidP="00572A62">
            <w:pPr>
              <w:spacing w:before="332" w:after="332" w:line="393" w:lineRule="atLeast"/>
              <w:rPr>
                <w:rFonts w:ascii="Times New Roman" w:eastAsia="Times New Roman" w:hAnsi="Times New Roman" w:cs="Times New Roman"/>
                <w:b/>
                <w:bCs/>
                <w:color w:val="000000"/>
                <w:sz w:val="20"/>
                <w:szCs w:val="20"/>
              </w:rPr>
            </w:pPr>
          </w:p>
        </w:tc>
        <w:tc>
          <w:tcPr>
            <w:tcW w:w="0" w:type="auto"/>
            <w:gridSpan w:val="2"/>
            <w:vMerge/>
            <w:tcBorders>
              <w:top w:val="nil"/>
              <w:left w:val="nil"/>
              <w:bottom w:val="nil"/>
              <w:right w:val="nil"/>
            </w:tcBorders>
            <w:shd w:val="clear" w:color="auto" w:fill="FFFCF0"/>
            <w:vAlign w:val="center"/>
            <w:hideMark/>
          </w:tcPr>
          <w:p w14:paraId="0650E6D4" w14:textId="77777777" w:rsidR="00572A62" w:rsidRPr="00572A62" w:rsidRDefault="00572A62" w:rsidP="00572A62">
            <w:pPr>
              <w:spacing w:before="332" w:after="332" w:line="393" w:lineRule="atLeast"/>
              <w:rPr>
                <w:rFonts w:ascii="Times New Roman" w:eastAsia="Times New Roman" w:hAnsi="Times New Roman" w:cs="Times New Roman"/>
                <w:b/>
                <w:bCs/>
                <w:color w:val="000000"/>
                <w:sz w:val="20"/>
                <w:szCs w:val="20"/>
              </w:rPr>
            </w:pPr>
          </w:p>
        </w:tc>
        <w:tc>
          <w:tcPr>
            <w:tcW w:w="0" w:type="auto"/>
            <w:gridSpan w:val="2"/>
            <w:vMerge/>
            <w:tcBorders>
              <w:top w:val="nil"/>
              <w:left w:val="nil"/>
              <w:bottom w:val="nil"/>
              <w:right w:val="nil"/>
            </w:tcBorders>
            <w:shd w:val="clear" w:color="auto" w:fill="FFFCF0"/>
            <w:vAlign w:val="center"/>
            <w:hideMark/>
          </w:tcPr>
          <w:p w14:paraId="68B3F8C7" w14:textId="77777777" w:rsidR="00572A62" w:rsidRPr="00572A62" w:rsidRDefault="00572A62" w:rsidP="00572A62">
            <w:pPr>
              <w:spacing w:before="332" w:after="332" w:line="393" w:lineRule="atLeast"/>
              <w:rPr>
                <w:rFonts w:ascii="Times New Roman" w:eastAsia="Times New Roman" w:hAnsi="Times New Roman" w:cs="Times New Roman"/>
                <w:b/>
                <w:bCs/>
                <w:color w:val="000000"/>
                <w:sz w:val="20"/>
                <w:szCs w:val="20"/>
              </w:rPr>
            </w:pPr>
          </w:p>
        </w:tc>
        <w:tc>
          <w:tcPr>
            <w:tcW w:w="0" w:type="auto"/>
            <w:gridSpan w:val="3"/>
            <w:vMerge/>
            <w:tcBorders>
              <w:top w:val="nil"/>
              <w:left w:val="nil"/>
              <w:bottom w:val="nil"/>
              <w:right w:val="nil"/>
            </w:tcBorders>
            <w:shd w:val="clear" w:color="auto" w:fill="FFFCF0"/>
            <w:vAlign w:val="center"/>
            <w:hideMark/>
          </w:tcPr>
          <w:p w14:paraId="5B5BD91C" w14:textId="77777777" w:rsidR="00572A62" w:rsidRPr="00572A62" w:rsidRDefault="00572A62" w:rsidP="00572A62">
            <w:pPr>
              <w:spacing w:before="332" w:after="332" w:line="393" w:lineRule="atLeast"/>
              <w:rPr>
                <w:rFonts w:ascii="Times New Roman" w:eastAsia="Times New Roman" w:hAnsi="Times New Roman" w:cs="Times New Roman"/>
                <w:b/>
                <w:bCs/>
                <w:color w:val="000000"/>
                <w:sz w:val="20"/>
                <w:szCs w:val="20"/>
              </w:rPr>
            </w:pPr>
          </w:p>
        </w:tc>
        <w:tc>
          <w:tcPr>
            <w:tcW w:w="0" w:type="auto"/>
            <w:gridSpan w:val="2"/>
            <w:shd w:val="clear" w:color="auto" w:fill="FFFCF0"/>
            <w:vAlign w:val="center"/>
            <w:hideMark/>
          </w:tcPr>
          <w:p w14:paraId="6DA4F9CF" w14:textId="77777777" w:rsidR="00572A62" w:rsidRPr="00572A62" w:rsidRDefault="00572A62" w:rsidP="00572A62">
            <w:pPr>
              <w:spacing w:before="332" w:after="332" w:line="393" w:lineRule="atLeast"/>
              <w:rPr>
                <w:rFonts w:ascii="Times New Roman" w:eastAsia="Times New Roman" w:hAnsi="Times New Roman" w:cs="Times New Roman"/>
                <w:sz w:val="20"/>
                <w:szCs w:val="20"/>
              </w:rPr>
            </w:pPr>
          </w:p>
        </w:tc>
        <w:tc>
          <w:tcPr>
            <w:tcW w:w="0" w:type="auto"/>
            <w:shd w:val="clear" w:color="auto" w:fill="FFFCF0"/>
            <w:vAlign w:val="center"/>
            <w:hideMark/>
          </w:tcPr>
          <w:p w14:paraId="6D1076F4" w14:textId="77777777" w:rsidR="00572A62" w:rsidRPr="00572A62" w:rsidRDefault="00572A62" w:rsidP="00572A62">
            <w:pPr>
              <w:spacing w:before="332" w:after="332" w:line="393" w:lineRule="atLeast"/>
              <w:rPr>
                <w:rFonts w:ascii="Times New Roman" w:eastAsia="Times New Roman" w:hAnsi="Times New Roman" w:cs="Times New Roman"/>
                <w:sz w:val="20"/>
                <w:szCs w:val="20"/>
              </w:rPr>
            </w:pPr>
          </w:p>
        </w:tc>
        <w:tc>
          <w:tcPr>
            <w:tcW w:w="0" w:type="auto"/>
            <w:gridSpan w:val="2"/>
            <w:shd w:val="clear" w:color="auto" w:fill="FFFCF0"/>
            <w:vAlign w:val="center"/>
            <w:hideMark/>
          </w:tcPr>
          <w:p w14:paraId="2BB0591E" w14:textId="77777777" w:rsidR="00572A62" w:rsidRPr="00572A62" w:rsidRDefault="00572A62" w:rsidP="00572A62">
            <w:pPr>
              <w:spacing w:before="332" w:after="332" w:line="393" w:lineRule="atLeast"/>
              <w:rPr>
                <w:rFonts w:ascii="Times New Roman" w:eastAsia="Times New Roman" w:hAnsi="Times New Roman" w:cs="Times New Roman"/>
                <w:sz w:val="20"/>
                <w:szCs w:val="20"/>
              </w:rPr>
            </w:pPr>
          </w:p>
        </w:tc>
        <w:tc>
          <w:tcPr>
            <w:tcW w:w="0" w:type="auto"/>
            <w:gridSpan w:val="2"/>
            <w:shd w:val="clear" w:color="auto" w:fill="FFFCF0"/>
            <w:vAlign w:val="center"/>
            <w:hideMark/>
          </w:tcPr>
          <w:p w14:paraId="27578BB9" w14:textId="77777777" w:rsidR="00572A62" w:rsidRPr="00572A62" w:rsidRDefault="00572A62" w:rsidP="00572A62">
            <w:pPr>
              <w:spacing w:before="332" w:after="332" w:line="393" w:lineRule="atLeast"/>
              <w:rPr>
                <w:rFonts w:ascii="Times New Roman" w:eastAsia="Times New Roman" w:hAnsi="Times New Roman" w:cs="Times New Roman"/>
                <w:sz w:val="20"/>
                <w:szCs w:val="20"/>
              </w:rPr>
            </w:pPr>
          </w:p>
        </w:tc>
        <w:tc>
          <w:tcPr>
            <w:tcW w:w="0" w:type="auto"/>
            <w:shd w:val="clear" w:color="auto" w:fill="FFFCF0"/>
            <w:vAlign w:val="center"/>
            <w:hideMark/>
          </w:tcPr>
          <w:p w14:paraId="6497F80B" w14:textId="77777777" w:rsidR="00572A62" w:rsidRPr="00572A62" w:rsidRDefault="00572A62" w:rsidP="00572A62">
            <w:pPr>
              <w:spacing w:before="332" w:after="332" w:line="393" w:lineRule="atLeast"/>
              <w:rPr>
                <w:rFonts w:ascii="Times New Roman" w:eastAsia="Times New Roman" w:hAnsi="Times New Roman" w:cs="Times New Roman"/>
                <w:sz w:val="20"/>
                <w:szCs w:val="20"/>
              </w:rPr>
            </w:pPr>
          </w:p>
        </w:tc>
        <w:tc>
          <w:tcPr>
            <w:tcW w:w="0" w:type="auto"/>
            <w:gridSpan w:val="2"/>
            <w:shd w:val="clear" w:color="auto" w:fill="FFFCF0"/>
            <w:vAlign w:val="center"/>
            <w:hideMark/>
          </w:tcPr>
          <w:p w14:paraId="3513B4E9" w14:textId="77777777" w:rsidR="00572A62" w:rsidRPr="00572A62" w:rsidRDefault="00572A62" w:rsidP="00572A62">
            <w:pPr>
              <w:spacing w:before="332" w:after="332" w:line="393" w:lineRule="atLeast"/>
              <w:rPr>
                <w:rFonts w:ascii="Times New Roman" w:eastAsia="Times New Roman" w:hAnsi="Times New Roman" w:cs="Times New Roman"/>
                <w:sz w:val="20"/>
                <w:szCs w:val="20"/>
              </w:rPr>
            </w:pPr>
          </w:p>
        </w:tc>
        <w:tc>
          <w:tcPr>
            <w:tcW w:w="0" w:type="auto"/>
            <w:gridSpan w:val="2"/>
            <w:shd w:val="clear" w:color="auto" w:fill="FFFCF0"/>
            <w:vAlign w:val="center"/>
            <w:hideMark/>
          </w:tcPr>
          <w:p w14:paraId="50100C3C" w14:textId="77777777" w:rsidR="00572A62" w:rsidRPr="00572A62" w:rsidRDefault="00572A62" w:rsidP="00572A62">
            <w:pPr>
              <w:spacing w:before="332" w:after="332" w:line="393" w:lineRule="atLeast"/>
              <w:rPr>
                <w:rFonts w:ascii="Times New Roman" w:eastAsia="Times New Roman" w:hAnsi="Times New Roman" w:cs="Times New Roman"/>
                <w:sz w:val="20"/>
                <w:szCs w:val="20"/>
              </w:rPr>
            </w:pPr>
          </w:p>
        </w:tc>
        <w:tc>
          <w:tcPr>
            <w:tcW w:w="0" w:type="auto"/>
            <w:gridSpan w:val="2"/>
            <w:vMerge/>
            <w:tcBorders>
              <w:top w:val="nil"/>
              <w:left w:val="nil"/>
              <w:bottom w:val="nil"/>
              <w:right w:val="nil"/>
            </w:tcBorders>
            <w:shd w:val="clear" w:color="auto" w:fill="FFFCF0"/>
            <w:vAlign w:val="center"/>
            <w:hideMark/>
          </w:tcPr>
          <w:p w14:paraId="12B23F7A" w14:textId="77777777" w:rsidR="00572A62" w:rsidRPr="00572A62" w:rsidRDefault="00572A62" w:rsidP="00572A62">
            <w:pPr>
              <w:spacing w:before="332" w:after="332" w:line="393" w:lineRule="atLeast"/>
              <w:rPr>
                <w:rFonts w:ascii="Times New Roman" w:eastAsia="Times New Roman" w:hAnsi="Times New Roman" w:cs="Times New Roman"/>
                <w:b/>
                <w:bCs/>
                <w:color w:val="000000"/>
                <w:sz w:val="20"/>
                <w:szCs w:val="20"/>
              </w:rPr>
            </w:pPr>
          </w:p>
        </w:tc>
        <w:tc>
          <w:tcPr>
            <w:tcW w:w="0" w:type="auto"/>
            <w:gridSpan w:val="3"/>
            <w:vMerge/>
            <w:tcBorders>
              <w:top w:val="nil"/>
              <w:left w:val="nil"/>
              <w:bottom w:val="nil"/>
              <w:right w:val="nil"/>
            </w:tcBorders>
            <w:shd w:val="clear" w:color="auto" w:fill="FFFCF0"/>
            <w:vAlign w:val="center"/>
            <w:hideMark/>
          </w:tcPr>
          <w:p w14:paraId="5B39F174" w14:textId="77777777" w:rsidR="00572A62" w:rsidRPr="00572A62" w:rsidRDefault="00572A62" w:rsidP="00572A62">
            <w:pPr>
              <w:spacing w:before="332" w:after="332" w:line="393" w:lineRule="atLeast"/>
              <w:rPr>
                <w:rFonts w:ascii="Times New Roman" w:eastAsia="Times New Roman" w:hAnsi="Times New Roman" w:cs="Times New Roman"/>
                <w:b/>
                <w:bCs/>
                <w:color w:val="000000"/>
                <w:sz w:val="20"/>
                <w:szCs w:val="20"/>
              </w:rPr>
            </w:pPr>
          </w:p>
        </w:tc>
        <w:tc>
          <w:tcPr>
            <w:tcW w:w="0" w:type="auto"/>
            <w:gridSpan w:val="2"/>
            <w:vMerge/>
            <w:tcBorders>
              <w:top w:val="nil"/>
              <w:left w:val="nil"/>
              <w:bottom w:val="nil"/>
              <w:right w:val="nil"/>
            </w:tcBorders>
            <w:shd w:val="clear" w:color="auto" w:fill="FFFCF0"/>
            <w:vAlign w:val="center"/>
            <w:hideMark/>
          </w:tcPr>
          <w:p w14:paraId="58F0C994" w14:textId="77777777" w:rsidR="00572A62" w:rsidRPr="00572A62" w:rsidRDefault="00572A62" w:rsidP="00572A62">
            <w:pPr>
              <w:spacing w:before="332" w:after="332" w:line="393" w:lineRule="atLeast"/>
              <w:rPr>
                <w:rFonts w:ascii="Times New Roman" w:eastAsia="Times New Roman" w:hAnsi="Times New Roman" w:cs="Times New Roman"/>
                <w:b/>
                <w:bCs/>
                <w:color w:val="000000"/>
                <w:sz w:val="20"/>
                <w:szCs w:val="20"/>
              </w:rPr>
            </w:pPr>
          </w:p>
        </w:tc>
      </w:tr>
      <w:tr w:rsidR="00572A62" w:rsidRPr="00572A62" w14:paraId="1553C1C0" w14:textId="77777777" w:rsidTr="00572A62">
        <w:tc>
          <w:tcPr>
            <w:tcW w:w="0" w:type="auto"/>
            <w:gridSpan w:val="2"/>
            <w:tcBorders>
              <w:top w:val="nil"/>
              <w:left w:val="nil"/>
              <w:bottom w:val="nil"/>
              <w:right w:val="nil"/>
            </w:tcBorders>
            <w:shd w:val="clear" w:color="auto" w:fill="FFFCF0"/>
            <w:tcMar>
              <w:top w:w="48" w:type="dxa"/>
              <w:left w:w="96" w:type="dxa"/>
              <w:bottom w:w="48" w:type="dxa"/>
              <w:right w:w="96" w:type="dxa"/>
            </w:tcMar>
            <w:hideMark/>
          </w:tcPr>
          <w:p w14:paraId="0E023326" w14:textId="77777777" w:rsidR="00572A62" w:rsidRPr="00572A62" w:rsidRDefault="00572A62" w:rsidP="00572A62">
            <w:pPr>
              <w:spacing w:before="332" w:after="332" w:line="393" w:lineRule="atLeast"/>
              <w:rPr>
                <w:rFonts w:ascii="Times New Roman" w:eastAsia="Times New Roman" w:hAnsi="Times New Roman" w:cs="Times New Roman"/>
                <w:color w:val="000000"/>
                <w:sz w:val="20"/>
                <w:szCs w:val="20"/>
              </w:rPr>
            </w:pPr>
            <w:r w:rsidRPr="00572A62">
              <w:rPr>
                <w:rFonts w:ascii="Times New Roman" w:eastAsia="Times New Roman" w:hAnsi="Times New Roman" w:cs="Times New Roman"/>
                <w:i/>
                <w:iCs/>
                <w:color w:val="000000"/>
                <w:sz w:val="20"/>
                <w:szCs w:val="20"/>
              </w:rPr>
              <w:t>CHRNA3</w:t>
            </w:r>
          </w:p>
        </w:tc>
        <w:tc>
          <w:tcPr>
            <w:tcW w:w="0" w:type="auto"/>
            <w:gridSpan w:val="2"/>
            <w:tcBorders>
              <w:top w:val="nil"/>
              <w:left w:val="nil"/>
              <w:bottom w:val="nil"/>
              <w:right w:val="nil"/>
            </w:tcBorders>
            <w:shd w:val="clear" w:color="auto" w:fill="FFFCF0"/>
            <w:tcMar>
              <w:top w:w="48" w:type="dxa"/>
              <w:left w:w="96" w:type="dxa"/>
              <w:bottom w:w="48" w:type="dxa"/>
              <w:right w:w="96" w:type="dxa"/>
            </w:tcMar>
            <w:hideMark/>
          </w:tcPr>
          <w:p w14:paraId="0570E94A" w14:textId="77777777" w:rsidR="00572A62" w:rsidRPr="00572A62" w:rsidRDefault="00572A62" w:rsidP="00572A62">
            <w:pPr>
              <w:spacing w:before="332" w:after="332" w:line="393" w:lineRule="atLeast"/>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rs12914385(T/C)</w:t>
            </w:r>
          </w:p>
        </w:tc>
        <w:tc>
          <w:tcPr>
            <w:tcW w:w="0" w:type="auto"/>
            <w:gridSpan w:val="2"/>
            <w:tcBorders>
              <w:top w:val="nil"/>
              <w:left w:val="nil"/>
              <w:bottom w:val="nil"/>
              <w:right w:val="nil"/>
            </w:tcBorders>
            <w:shd w:val="clear" w:color="auto" w:fill="FFFCF0"/>
            <w:tcMar>
              <w:top w:w="48" w:type="dxa"/>
              <w:left w:w="96" w:type="dxa"/>
              <w:bottom w:w="48" w:type="dxa"/>
              <w:right w:w="96" w:type="dxa"/>
            </w:tcMar>
            <w:hideMark/>
          </w:tcPr>
          <w:p w14:paraId="57B25D00" w14:textId="77777777" w:rsidR="00572A62" w:rsidRPr="00572A62" w:rsidRDefault="00572A62" w:rsidP="00572A62">
            <w:pPr>
              <w:spacing w:before="332" w:after="332" w:line="393" w:lineRule="atLeast"/>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35.09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0A6ADC7" w14:textId="77777777" w:rsidR="00572A62" w:rsidRPr="00572A62" w:rsidRDefault="00572A62" w:rsidP="00572A62">
            <w:pPr>
              <w:spacing w:before="332" w:after="332" w:line="393" w:lineRule="atLeast"/>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All</w:t>
            </w:r>
          </w:p>
        </w:tc>
        <w:tc>
          <w:tcPr>
            <w:tcW w:w="0" w:type="auto"/>
            <w:gridSpan w:val="2"/>
            <w:tcBorders>
              <w:top w:val="nil"/>
              <w:left w:val="nil"/>
              <w:bottom w:val="nil"/>
              <w:right w:val="nil"/>
            </w:tcBorders>
            <w:shd w:val="clear" w:color="auto" w:fill="FFFCF0"/>
            <w:tcMar>
              <w:top w:w="48" w:type="dxa"/>
              <w:left w:w="96" w:type="dxa"/>
              <w:bottom w:w="48" w:type="dxa"/>
              <w:right w:w="96" w:type="dxa"/>
            </w:tcMar>
            <w:hideMark/>
          </w:tcPr>
          <w:p w14:paraId="456590E5" w14:textId="77777777" w:rsidR="00572A62" w:rsidRPr="00572A62" w:rsidRDefault="00572A62" w:rsidP="00572A62">
            <w:pPr>
              <w:spacing w:before="332" w:after="332" w:line="393" w:lineRule="atLeast"/>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4</w:t>
            </w:r>
          </w:p>
        </w:tc>
        <w:tc>
          <w:tcPr>
            <w:tcW w:w="0" w:type="auto"/>
            <w:gridSpan w:val="3"/>
            <w:tcBorders>
              <w:top w:val="nil"/>
              <w:left w:val="nil"/>
              <w:bottom w:val="nil"/>
              <w:right w:val="nil"/>
            </w:tcBorders>
            <w:shd w:val="clear" w:color="auto" w:fill="FFFCF0"/>
            <w:tcMar>
              <w:top w:w="48" w:type="dxa"/>
              <w:left w:w="96" w:type="dxa"/>
              <w:bottom w:w="48" w:type="dxa"/>
              <w:right w:w="96" w:type="dxa"/>
            </w:tcMar>
            <w:hideMark/>
          </w:tcPr>
          <w:p w14:paraId="647486B8" w14:textId="77777777" w:rsidR="00572A62" w:rsidRPr="00572A62" w:rsidRDefault="00572A62" w:rsidP="00572A62">
            <w:pPr>
              <w:spacing w:before="332" w:after="332" w:line="393" w:lineRule="atLeast"/>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5356/2873</w:t>
            </w:r>
          </w:p>
        </w:tc>
        <w:tc>
          <w:tcPr>
            <w:tcW w:w="0" w:type="auto"/>
            <w:gridSpan w:val="2"/>
            <w:tcBorders>
              <w:top w:val="nil"/>
              <w:left w:val="nil"/>
              <w:bottom w:val="nil"/>
              <w:right w:val="nil"/>
            </w:tcBorders>
            <w:shd w:val="clear" w:color="auto" w:fill="FFFCF0"/>
            <w:tcMar>
              <w:top w:w="48" w:type="dxa"/>
              <w:left w:w="96" w:type="dxa"/>
              <w:bottom w:w="48" w:type="dxa"/>
              <w:right w:w="96" w:type="dxa"/>
            </w:tcMar>
            <w:hideMark/>
          </w:tcPr>
          <w:p w14:paraId="65611F67" w14:textId="77777777" w:rsidR="00572A62" w:rsidRPr="00572A62" w:rsidRDefault="00572A62" w:rsidP="00572A62">
            <w:pPr>
              <w:spacing w:before="332" w:after="332" w:line="393" w:lineRule="atLeast"/>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T vs C</w:t>
            </w:r>
          </w:p>
        </w:tc>
        <w:tc>
          <w:tcPr>
            <w:tcW w:w="0" w:type="auto"/>
            <w:gridSpan w:val="3"/>
            <w:tcBorders>
              <w:top w:val="nil"/>
              <w:left w:val="nil"/>
              <w:bottom w:val="nil"/>
              <w:right w:val="nil"/>
            </w:tcBorders>
            <w:shd w:val="clear" w:color="auto" w:fill="FFFCF0"/>
            <w:tcMar>
              <w:top w:w="48" w:type="dxa"/>
              <w:left w:w="96" w:type="dxa"/>
              <w:bottom w:w="48" w:type="dxa"/>
              <w:right w:w="96" w:type="dxa"/>
            </w:tcMar>
            <w:hideMark/>
          </w:tcPr>
          <w:p w14:paraId="59FE9519" w14:textId="77777777" w:rsidR="00572A62" w:rsidRPr="00572A62" w:rsidRDefault="00572A62" w:rsidP="00572A62">
            <w:pPr>
              <w:spacing w:before="332" w:after="332" w:line="393" w:lineRule="atLeast"/>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1.20(1.01–1.44)</w:t>
            </w:r>
          </w:p>
        </w:tc>
        <w:tc>
          <w:tcPr>
            <w:tcW w:w="0" w:type="auto"/>
            <w:gridSpan w:val="2"/>
            <w:tcBorders>
              <w:top w:val="nil"/>
              <w:left w:val="nil"/>
              <w:bottom w:val="nil"/>
              <w:right w:val="nil"/>
            </w:tcBorders>
            <w:shd w:val="clear" w:color="auto" w:fill="FFFCF0"/>
            <w:tcMar>
              <w:top w:w="48" w:type="dxa"/>
              <w:left w:w="96" w:type="dxa"/>
              <w:bottom w:w="48" w:type="dxa"/>
              <w:right w:w="96" w:type="dxa"/>
            </w:tcMar>
            <w:hideMark/>
          </w:tcPr>
          <w:p w14:paraId="16AAC264" w14:textId="77777777" w:rsidR="00572A62" w:rsidRPr="00572A62" w:rsidRDefault="00572A62" w:rsidP="00572A62">
            <w:pPr>
              <w:spacing w:before="332" w:after="332" w:line="393" w:lineRule="atLeast"/>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0.044</w:t>
            </w:r>
          </w:p>
        </w:tc>
        <w:tc>
          <w:tcPr>
            <w:tcW w:w="0" w:type="auto"/>
            <w:gridSpan w:val="2"/>
            <w:tcBorders>
              <w:top w:val="nil"/>
              <w:left w:val="nil"/>
              <w:bottom w:val="nil"/>
              <w:right w:val="nil"/>
            </w:tcBorders>
            <w:shd w:val="clear" w:color="auto" w:fill="FFFCF0"/>
            <w:tcMar>
              <w:top w:w="48" w:type="dxa"/>
              <w:left w:w="96" w:type="dxa"/>
              <w:bottom w:w="48" w:type="dxa"/>
              <w:right w:w="96" w:type="dxa"/>
            </w:tcMar>
            <w:hideMark/>
          </w:tcPr>
          <w:p w14:paraId="2FF035CB" w14:textId="77777777" w:rsidR="00572A62" w:rsidRPr="00572A62" w:rsidRDefault="00572A62" w:rsidP="00572A62">
            <w:pPr>
              <w:spacing w:before="332" w:after="332" w:line="393" w:lineRule="atLeast"/>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76</w:t>
            </w:r>
          </w:p>
        </w:tc>
        <w:tc>
          <w:tcPr>
            <w:tcW w:w="0" w:type="auto"/>
            <w:gridSpan w:val="2"/>
            <w:tcBorders>
              <w:top w:val="nil"/>
              <w:left w:val="nil"/>
              <w:bottom w:val="nil"/>
              <w:right w:val="nil"/>
            </w:tcBorders>
            <w:shd w:val="clear" w:color="auto" w:fill="FFFCF0"/>
            <w:tcMar>
              <w:top w:w="48" w:type="dxa"/>
              <w:left w:w="96" w:type="dxa"/>
              <w:bottom w:w="48" w:type="dxa"/>
              <w:right w:w="96" w:type="dxa"/>
            </w:tcMar>
            <w:hideMark/>
          </w:tcPr>
          <w:p w14:paraId="2D4C80D1" w14:textId="77777777" w:rsidR="00572A62" w:rsidRPr="00572A62" w:rsidRDefault="00572A62" w:rsidP="00572A62">
            <w:pPr>
              <w:spacing w:before="332" w:after="332" w:line="393" w:lineRule="atLeast"/>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0.007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AF6A41F" w14:textId="77777777" w:rsidR="00572A62" w:rsidRPr="00572A62" w:rsidRDefault="00572A62" w:rsidP="00572A62">
            <w:pPr>
              <w:spacing w:before="332" w:after="332" w:line="393" w:lineRule="atLeast"/>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0.734</w:t>
            </w:r>
          </w:p>
        </w:tc>
        <w:tc>
          <w:tcPr>
            <w:tcW w:w="0" w:type="auto"/>
            <w:gridSpan w:val="2"/>
            <w:tcBorders>
              <w:top w:val="nil"/>
              <w:left w:val="nil"/>
              <w:bottom w:val="nil"/>
              <w:right w:val="nil"/>
            </w:tcBorders>
            <w:shd w:val="clear" w:color="auto" w:fill="FFFCF0"/>
            <w:tcMar>
              <w:top w:w="48" w:type="dxa"/>
              <w:left w:w="96" w:type="dxa"/>
              <w:bottom w:w="48" w:type="dxa"/>
              <w:right w:w="96" w:type="dxa"/>
            </w:tcMar>
            <w:hideMark/>
          </w:tcPr>
          <w:p w14:paraId="13031D12" w14:textId="77777777" w:rsidR="00572A62" w:rsidRPr="00572A62" w:rsidRDefault="00572A62" w:rsidP="00572A62">
            <w:pPr>
              <w:spacing w:before="332" w:after="332" w:line="393" w:lineRule="atLeast"/>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ACA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97EECEA" w14:textId="77777777" w:rsidR="00572A62" w:rsidRPr="00572A62" w:rsidRDefault="00572A62" w:rsidP="00572A62">
            <w:pPr>
              <w:spacing w:before="332" w:after="332" w:line="393" w:lineRule="atLeast"/>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Weak</w:t>
            </w:r>
          </w:p>
        </w:tc>
      </w:tr>
    </w:tbl>
    <w:p w14:paraId="78317112" w14:textId="475040CF" w:rsidR="00572A62" w:rsidRDefault="00572A62"/>
    <w:p w14:paraId="6CD31F43" w14:textId="2F1B588C" w:rsidR="00572A62" w:rsidRDefault="00572A62">
      <w:hyperlink r:id="rId19" w:history="1">
        <w:r w:rsidRPr="00FB1B95">
          <w:rPr>
            <w:rStyle w:val="Hyperlink"/>
          </w:rPr>
          <w:t>https://www.ncbi.nlm.nih.gov/pubmed/29030599</w:t>
        </w:r>
      </w:hyperlink>
    </w:p>
    <w:p w14:paraId="42997BBB" w14:textId="77777777" w:rsidR="00572A62" w:rsidRDefault="00572A62"/>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1252"/>
        <w:gridCol w:w="1197"/>
        <w:gridCol w:w="642"/>
        <w:gridCol w:w="642"/>
        <w:gridCol w:w="1139"/>
        <w:gridCol w:w="1208"/>
        <w:gridCol w:w="542"/>
        <w:gridCol w:w="1201"/>
        <w:gridCol w:w="1537"/>
      </w:tblGrid>
      <w:tr w:rsidR="00572A62" w:rsidRPr="00572A62" w14:paraId="06AA6A0D" w14:textId="77777777" w:rsidTr="00572A62">
        <w:trPr>
          <w:tblHeader/>
        </w:trPr>
        <w:tc>
          <w:tcPr>
            <w:tcW w:w="0" w:type="auto"/>
            <w:tcBorders>
              <w:top w:val="nil"/>
              <w:left w:val="nil"/>
              <w:bottom w:val="nil"/>
              <w:right w:val="nil"/>
            </w:tcBorders>
            <w:shd w:val="clear" w:color="auto" w:fill="FFFCF0"/>
            <w:tcMar>
              <w:top w:w="48" w:type="dxa"/>
              <w:left w:w="96" w:type="dxa"/>
              <w:bottom w:w="48" w:type="dxa"/>
              <w:right w:w="96" w:type="dxa"/>
            </w:tcMar>
            <w:hideMark/>
          </w:tcPr>
          <w:p w14:paraId="0897D4BC"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lastRenderedPageBreak/>
              <w:t>Exposure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3C8D2B0"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SNPs in the IV</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A479217"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Beta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6BC4243"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SE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F46F03D"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i/>
                <w:iCs/>
                <w:color w:val="000000"/>
                <w:sz w:val="20"/>
                <w:szCs w:val="20"/>
              </w:rPr>
              <w:t>P</w:t>
            </w:r>
            <w:r w:rsidRPr="00572A62">
              <w:rPr>
                <w:rFonts w:ascii="Times New Roman" w:eastAsia="Times New Roman" w:hAnsi="Times New Roman" w:cs="Times New Roman"/>
                <w:b/>
                <w:bCs/>
                <w:color w:val="000000"/>
                <w:sz w:val="20"/>
                <w:szCs w:val="20"/>
              </w:rPr>
              <w:t> -value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F7B1D37"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Egger pleiotropy 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11CA4A4"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SD</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2E5035F"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Years per exposure unit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6BEF42F" w14:textId="77777777" w:rsidR="00572A62" w:rsidRPr="00572A62" w:rsidRDefault="00572A62" w:rsidP="00572A62">
            <w:pPr>
              <w:spacing w:before="332" w:after="332" w:line="393" w:lineRule="atLeast"/>
              <w:jc w:val="center"/>
              <w:rPr>
                <w:rFonts w:ascii="Times New Roman" w:eastAsia="Times New Roman" w:hAnsi="Times New Roman" w:cs="Times New Roman"/>
                <w:b/>
                <w:bCs/>
                <w:color w:val="000000"/>
                <w:sz w:val="20"/>
                <w:szCs w:val="20"/>
              </w:rPr>
            </w:pPr>
            <w:r w:rsidRPr="00572A62">
              <w:rPr>
                <w:rFonts w:ascii="Times New Roman" w:eastAsia="Times New Roman" w:hAnsi="Times New Roman" w:cs="Times New Roman"/>
                <w:b/>
                <w:bCs/>
                <w:color w:val="000000"/>
                <w:sz w:val="20"/>
                <w:szCs w:val="20"/>
              </w:rPr>
              <w:t>Interquartile effect in years</w:t>
            </w:r>
          </w:p>
        </w:tc>
      </w:tr>
      <w:tr w:rsidR="00572A62" w:rsidRPr="00572A62" w14:paraId="56B70BE5" w14:textId="77777777" w:rsidTr="00572A62">
        <w:tc>
          <w:tcPr>
            <w:tcW w:w="0" w:type="auto"/>
            <w:tcBorders>
              <w:top w:val="nil"/>
              <w:left w:val="nil"/>
              <w:bottom w:val="nil"/>
              <w:right w:val="nil"/>
            </w:tcBorders>
            <w:shd w:val="clear" w:color="auto" w:fill="FFFCF0"/>
            <w:tcMar>
              <w:top w:w="48" w:type="dxa"/>
              <w:left w:w="96" w:type="dxa"/>
              <w:bottom w:w="48" w:type="dxa"/>
              <w:right w:w="96" w:type="dxa"/>
            </w:tcMar>
            <w:hideMark/>
          </w:tcPr>
          <w:p w14:paraId="0351652B" w14:textId="77777777" w:rsidR="00572A62" w:rsidRPr="00572A62" w:rsidRDefault="00572A62" w:rsidP="00572A62">
            <w:pPr>
              <w:spacing w:before="332" w:after="332" w:line="393" w:lineRule="atLeast"/>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Cigarettes smoked per day</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4A2E65B" w14:textId="77777777" w:rsidR="00572A62" w:rsidRPr="00572A62" w:rsidRDefault="00572A62" w:rsidP="00572A62">
            <w:pPr>
              <w:spacing w:before="332" w:after="332" w:line="393" w:lineRule="atLeast"/>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rs12914385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86C12B1" w14:textId="77777777" w:rsidR="00572A62" w:rsidRPr="00572A62" w:rsidRDefault="00572A62" w:rsidP="00572A62">
            <w:pPr>
              <w:spacing w:before="332" w:after="332" w:line="393" w:lineRule="atLeast"/>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0.034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515F4C8" w14:textId="77777777" w:rsidR="00572A62" w:rsidRPr="00572A62" w:rsidRDefault="00572A62" w:rsidP="00572A62">
            <w:pPr>
              <w:spacing w:before="332" w:after="332" w:line="393" w:lineRule="atLeast"/>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0.005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65C6662" w14:textId="77777777" w:rsidR="00572A62" w:rsidRPr="00572A62" w:rsidRDefault="00572A62" w:rsidP="00572A62">
            <w:pPr>
              <w:spacing w:before="332" w:after="332" w:line="393" w:lineRule="atLeast"/>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6.47 × 10</w:t>
            </w:r>
            <w:r w:rsidRPr="00572A62">
              <w:rPr>
                <w:rFonts w:ascii="Times New Roman" w:eastAsia="Times New Roman" w:hAnsi="Times New Roman" w:cs="Times New Roman"/>
                <w:color w:val="000000"/>
                <w:sz w:val="20"/>
                <w:szCs w:val="20"/>
                <w:vertAlign w:val="superscript"/>
              </w:rPr>
              <w:t>−10</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1D0B39D" w14:textId="77777777" w:rsidR="00572A62" w:rsidRPr="00572A62" w:rsidRDefault="00572A62" w:rsidP="00572A62">
            <w:pPr>
              <w:spacing w:before="332" w:after="332" w:line="393" w:lineRule="atLeast"/>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E876B2C" w14:textId="77777777" w:rsidR="00572A62" w:rsidRPr="00572A62" w:rsidRDefault="00572A62" w:rsidP="00572A62">
            <w:pPr>
              <w:spacing w:before="332" w:after="332" w:line="393" w:lineRule="atLeast"/>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11.7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C27485B" w14:textId="77777777" w:rsidR="00572A62" w:rsidRPr="00572A62" w:rsidRDefault="00572A62" w:rsidP="00572A62">
            <w:pPr>
              <w:spacing w:before="332" w:after="332" w:line="393" w:lineRule="atLeast"/>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0.338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0FAEF0" w14:textId="77777777" w:rsidR="00572A62" w:rsidRPr="00572A62" w:rsidRDefault="00572A62" w:rsidP="00572A62">
            <w:pPr>
              <w:spacing w:before="332" w:after="332" w:line="393" w:lineRule="atLeast"/>
              <w:rPr>
                <w:rFonts w:ascii="Times New Roman" w:eastAsia="Times New Roman" w:hAnsi="Times New Roman" w:cs="Times New Roman"/>
                <w:color w:val="000000"/>
                <w:sz w:val="20"/>
                <w:szCs w:val="20"/>
              </w:rPr>
            </w:pPr>
            <w:r w:rsidRPr="00572A62">
              <w:rPr>
                <w:rFonts w:ascii="Times New Roman" w:eastAsia="Times New Roman" w:hAnsi="Times New Roman" w:cs="Times New Roman"/>
                <w:color w:val="000000"/>
                <w:sz w:val="20"/>
                <w:szCs w:val="20"/>
              </w:rPr>
              <w:t>5.3</w:t>
            </w:r>
          </w:p>
        </w:tc>
      </w:tr>
    </w:tbl>
    <w:p w14:paraId="289C0E78" w14:textId="54E70F08" w:rsidR="00572A62" w:rsidRDefault="00572A62"/>
    <w:p w14:paraId="3F387C99" w14:textId="6360C602" w:rsidR="007B2D18" w:rsidRDefault="007B2D18">
      <w:hyperlink r:id="rId20" w:history="1">
        <w:r w:rsidRPr="00FB1B95">
          <w:rPr>
            <w:rStyle w:val="Hyperlink"/>
          </w:rPr>
          <w:t>https://www.ncbi.nlm.nih.gov/pubmed/23094028</w:t>
        </w:r>
      </w:hyperlink>
    </w:p>
    <w:p w14:paraId="42CBECA6" w14:textId="77777777" w:rsidR="007B2D18" w:rsidRDefault="007B2D18"/>
    <w:p w14:paraId="4F5CCC14" w14:textId="1CE2CBBC" w:rsidR="00572A62" w:rsidRDefault="00572A62">
      <w:r>
        <w:rPr>
          <w:color w:val="000000"/>
          <w:shd w:val="clear" w:color="auto" w:fill="FFFFFF"/>
        </w:rPr>
        <w:t>In the meta-analysis, this region became very significant with the strongest signal at rs12914385 with a p-value 1.98×10</w:t>
      </w:r>
      <w:r>
        <w:rPr>
          <w:color w:val="000000"/>
          <w:sz w:val="20"/>
          <w:szCs w:val="20"/>
          <w:shd w:val="clear" w:color="auto" w:fill="FFFFFF"/>
          <w:vertAlign w:val="superscript"/>
        </w:rPr>
        <w:t>−9</w:t>
      </w:r>
      <w:r>
        <w:rPr>
          <w:color w:val="000000"/>
          <w:shd w:val="clear" w:color="auto" w:fill="FFFFFF"/>
        </w:rPr>
        <w:t>. This result confirmed that the </w:t>
      </w:r>
      <w:r>
        <w:rPr>
          <w:rStyle w:val="Emphasis"/>
          <w:color w:val="000000"/>
          <w:shd w:val="clear" w:color="auto" w:fill="FFFFFF"/>
        </w:rPr>
        <w:t>CHRNA3-A5</w:t>
      </w:r>
      <w:r>
        <w:rPr>
          <w:color w:val="000000"/>
          <w:shd w:val="clear" w:color="auto" w:fill="FFFFFF"/>
        </w:rPr>
        <w:t> region on 15q24–25.1 is associated with both lung cancer development and smoking behavior, which several other independent studies have already proven </w:t>
      </w:r>
      <w:hyperlink r:id="rId21" w:anchor="pone.0046612-Liu1" w:history="1">
        <w:r>
          <w:rPr>
            <w:rStyle w:val="Hyperlink"/>
            <w:color w:val="642A8F"/>
            <w:shd w:val="clear" w:color="auto" w:fill="FFFFFF"/>
          </w:rPr>
          <w:t>[</w:t>
        </w:r>
        <w:r w:rsidR="007B2D18" w:rsidRPr="007B2D18">
          <w:rPr>
            <w:rStyle w:val="Hyperlink"/>
            <w:color w:val="642A8F"/>
            <w:shd w:val="clear" w:color="auto" w:fill="FFFFFF"/>
          </w:rPr>
          <w:t>https://www.ncbi.nlm.nih.gov/pmc/articles/PMC3477105/#pone.0046612-Liu1</w:t>
        </w:r>
        <w:r>
          <w:rPr>
            <w:rStyle w:val="Hyperlink"/>
            <w:color w:val="642A8F"/>
            <w:shd w:val="clear" w:color="auto" w:fill="FFFFFF"/>
          </w:rPr>
          <w:t>]</w:t>
        </w:r>
      </w:hyperlink>
      <w:r>
        <w:rPr>
          <w:color w:val="000000"/>
          <w:shd w:val="clear" w:color="auto" w:fill="FFFFFF"/>
        </w:rPr>
        <w:t>–</w:t>
      </w:r>
      <w:hyperlink r:id="rId22" w:anchor="pone.0046612-Hung1" w:history="1">
        <w:r>
          <w:rPr>
            <w:rStyle w:val="Hyperlink"/>
            <w:color w:val="642A8F"/>
            <w:shd w:val="clear" w:color="auto" w:fill="FFFFFF"/>
          </w:rPr>
          <w:t>[</w:t>
        </w:r>
        <w:r w:rsidR="007B2D18" w:rsidRPr="007B2D18">
          <w:t xml:space="preserve"> </w:t>
        </w:r>
        <w:r w:rsidR="007B2D18" w:rsidRPr="007B2D18">
          <w:rPr>
            <w:rStyle w:val="Hyperlink"/>
            <w:color w:val="642A8F"/>
            <w:shd w:val="clear" w:color="auto" w:fill="FFFFFF"/>
          </w:rPr>
          <w:t>https://www.ncbi.nlm.nih.gov/pmc/articles/PMC3477105/#pone.0046612-Hung1</w:t>
        </w:r>
        <w:r>
          <w:rPr>
            <w:rStyle w:val="Hyperlink"/>
            <w:color w:val="642A8F"/>
            <w:shd w:val="clear" w:color="auto" w:fill="FFFFFF"/>
          </w:rPr>
          <w:t>]</w:t>
        </w:r>
      </w:hyperlink>
      <w:r>
        <w:rPr>
          <w:color w:val="000000"/>
          <w:shd w:val="clear" w:color="auto" w:fill="FFFFFF"/>
        </w:rPr>
        <w:t>, and that CPD is an intermediate phenotype for lung cancer.</w:t>
      </w:r>
      <w:r>
        <w:rPr>
          <w:color w:val="000000"/>
          <w:shd w:val="clear" w:color="auto" w:fill="FFFFFF"/>
        </w:rPr>
        <w:br/>
      </w:r>
    </w:p>
    <w:p w14:paraId="43AEBA0C" w14:textId="395A5223" w:rsidR="007B2D18" w:rsidRDefault="007B2D18">
      <w:hyperlink r:id="rId23" w:history="1">
        <w:r w:rsidRPr="00FB1B95">
          <w:rPr>
            <w:rStyle w:val="Hyperlink"/>
          </w:rPr>
          <w:t>https://www.ncbi.nlm.nih.gov/pubmed/23870182</w:t>
        </w:r>
      </w:hyperlink>
    </w:p>
    <w:p w14:paraId="64997C40" w14:textId="77777777" w:rsidR="007B2D18" w:rsidRDefault="007B2D18"/>
    <w:p w14:paraId="1723DFED" w14:textId="590DDF8E" w:rsidR="007B2D18" w:rsidRDefault="007B2D18">
      <w:pPr>
        <w:rPr>
          <w:color w:val="000000"/>
          <w:shd w:val="clear" w:color="auto" w:fill="FFFFFF"/>
        </w:rPr>
      </w:pPr>
      <w:r>
        <w:rPr>
          <w:color w:val="000000"/>
          <w:shd w:val="clear" w:color="auto" w:fill="FFFFFF"/>
        </w:rPr>
        <w:t>Wang </w:t>
      </w:r>
      <w:r>
        <w:rPr>
          <w:rStyle w:val="Emphasis"/>
          <w:color w:val="000000"/>
          <w:shd w:val="clear" w:color="auto" w:fill="FFFFFF"/>
        </w:rPr>
        <w:t>et al</w:t>
      </w:r>
      <w:r>
        <w:rPr>
          <w:color w:val="000000"/>
          <w:shd w:val="clear" w:color="auto" w:fill="FFFFFF"/>
        </w:rPr>
        <w:t>. [</w:t>
      </w:r>
      <w:r w:rsidRPr="007B2D18">
        <w:rPr>
          <w:color w:val="000000"/>
          <w:shd w:val="clear" w:color="auto" w:fill="FFFFFF"/>
        </w:rPr>
        <w:t>https://www.ncbi.nlm.nih.gov/pmc/articles/PMC3717087/#B17</w:t>
      </w:r>
      <w:r>
        <w:rPr>
          <w:color w:val="000000"/>
          <w:shd w:val="clear" w:color="auto" w:fill="FFFFFF"/>
        </w:rPr>
        <w:t>] demonstrated that each copy of chromosome 15q risk alleles was associated with increased cigarette consumption of 1.0 cigarette per day at rs12914385</w:t>
      </w:r>
    </w:p>
    <w:p w14:paraId="0446386F" w14:textId="4ADDBCB7" w:rsidR="007B2D18" w:rsidRDefault="007B2D18">
      <w:hyperlink r:id="rId24" w:history="1">
        <w:r w:rsidRPr="00FB1B95">
          <w:rPr>
            <w:rStyle w:val="Hyperlink"/>
          </w:rPr>
          <w:t>https://www.ncbi.nlm.nih.gov/pubmed/19836008</w:t>
        </w:r>
      </w:hyperlink>
    </w:p>
    <w:p w14:paraId="7422C32D" w14:textId="77777777" w:rsidR="007B2D18" w:rsidRDefault="007B2D18"/>
    <w:p w14:paraId="4B8F1043" w14:textId="379D83EF" w:rsidR="007B2D18" w:rsidRDefault="007B2D18">
      <w:pPr>
        <w:rPr>
          <w:color w:val="000000"/>
          <w:shd w:val="clear" w:color="auto" w:fill="FFFFFF"/>
        </w:rPr>
      </w:pPr>
      <w:r>
        <w:rPr>
          <w:color w:val="000000"/>
          <w:shd w:val="clear" w:color="auto" w:fill="FFFFFF"/>
        </w:rPr>
        <w:t>The strongest evidence for association with lung cancer risk overall and with each histology group was observed for the 15q25.1 locus.</w:t>
      </w:r>
      <w:hyperlink r:id="rId25" w:anchor="bib1" w:history="1">
        <w:r>
          <w:rPr>
            <w:rStyle w:val="Hyperlink"/>
            <w:color w:val="642A8F"/>
            <w:shd w:val="clear" w:color="auto" w:fill="FFFFFF"/>
          </w:rPr>
          <w:t>1–3</w:t>
        </w:r>
      </w:hyperlink>
      <w:r>
        <w:rPr>
          <w:color w:val="000000"/>
          <w:shd w:val="clear" w:color="auto" w:fill="FFFFFF"/>
        </w:rPr>
        <w:t> (nicotinic acetylcholine receptor genes), beginning with rs12914385 in </w:t>
      </w:r>
      <w:r>
        <w:rPr>
          <w:rStyle w:val="Emphasis"/>
          <w:color w:val="000000"/>
          <w:shd w:val="clear" w:color="auto" w:fill="FFFFFF"/>
        </w:rPr>
        <w:t>CHRNA3</w:t>
      </w:r>
      <w:r>
        <w:rPr>
          <w:color w:val="000000"/>
          <w:shd w:val="clear" w:color="auto" w:fill="FFFFFF"/>
        </w:rPr>
        <w:t> (MIM </w:t>
      </w:r>
      <w:r w:rsidRPr="007B2D18">
        <w:t>https://www.ncbi.nlm.nih.gov/omim/118503</w:t>
      </w:r>
      <w:r>
        <w:rPr>
          <w:color w:val="000000"/>
          <w:shd w:val="clear" w:color="auto" w:fill="FFFFFF"/>
        </w:rPr>
        <w:t>) (OR = 1.34, 95% CI = 1.27–1.42, p = 5.24 × 10</w:t>
      </w:r>
      <w:r>
        <w:rPr>
          <w:color w:val="000000"/>
          <w:sz w:val="20"/>
          <w:szCs w:val="20"/>
          <w:shd w:val="clear" w:color="auto" w:fill="FFFFFF"/>
          <w:vertAlign w:val="superscript"/>
        </w:rPr>
        <w:t>−27</w:t>
      </w:r>
      <w:r>
        <w:rPr>
          <w:color w:val="000000"/>
          <w:shd w:val="clear" w:color="auto" w:fill="FFFFFF"/>
        </w:rPr>
        <w:t xml:space="preserve"> rs12914385 had an OR = 1.30, 95% CI = 1.25–1.36, p = 2.75 × 10</w:t>
      </w:r>
      <w:r>
        <w:rPr>
          <w:color w:val="000000"/>
          <w:sz w:val="20"/>
          <w:szCs w:val="20"/>
          <w:shd w:val="clear" w:color="auto" w:fill="FFFFFF"/>
          <w:vertAlign w:val="superscript"/>
        </w:rPr>
        <w:t>−38</w:t>
      </w:r>
      <w:r>
        <w:rPr>
          <w:color w:val="000000"/>
          <w:shd w:val="clear" w:color="auto" w:fill="FFFFFF"/>
        </w:rPr>
        <w:t> </w:t>
      </w:r>
    </w:p>
    <w:p w14:paraId="30DB3E4B" w14:textId="11E113EE" w:rsidR="007B2D18" w:rsidRDefault="007B2D18">
      <w:hyperlink r:id="rId26" w:history="1">
        <w:r w:rsidRPr="00FB1B95">
          <w:rPr>
            <w:rStyle w:val="Hyperlink"/>
          </w:rPr>
          <w:t>https://www.ncbi.nlm.nih.gov/pubmed/20485328</w:t>
        </w:r>
      </w:hyperlink>
    </w:p>
    <w:p w14:paraId="62314F0C" w14:textId="77777777" w:rsidR="007B2D18" w:rsidRDefault="007B2D18"/>
    <w:p w14:paraId="7EEB0044" w14:textId="7A5A7BA8" w:rsidR="007B2D18" w:rsidRDefault="007B2D18">
      <w:pPr>
        <w:rPr>
          <w:color w:val="000000"/>
          <w:shd w:val="clear" w:color="auto" w:fill="FFFFFF"/>
        </w:rPr>
      </w:pPr>
      <w:r>
        <w:rPr>
          <w:color w:val="000000"/>
          <w:shd w:val="clear" w:color="auto" w:fill="FFFFFF"/>
        </w:rPr>
        <w:t>Cocaine dependence was nominally associated with two </w:t>
      </w:r>
      <w:r>
        <w:rPr>
          <w:rStyle w:val="Emphasis"/>
          <w:color w:val="000000"/>
          <w:shd w:val="clear" w:color="auto" w:fill="FFFFFF"/>
        </w:rPr>
        <w:t>CHRNA3</w:t>
      </w:r>
      <w:r>
        <w:rPr>
          <w:color w:val="000000"/>
          <w:shd w:val="clear" w:color="auto" w:fill="FFFFFF"/>
        </w:rPr>
        <w:t> SNPs, rs12914385 (OR=0.64, </w:t>
      </w:r>
      <w:r>
        <w:rPr>
          <w:rStyle w:val="Emphasis"/>
          <w:color w:val="000000"/>
          <w:shd w:val="clear" w:color="auto" w:fill="FFFFFF"/>
        </w:rPr>
        <w:t>P</w:t>
      </w:r>
      <w:r>
        <w:rPr>
          <w:color w:val="000000"/>
          <w:shd w:val="clear" w:color="auto" w:fill="FFFFFF"/>
        </w:rPr>
        <w:t>=0.004, </w:t>
      </w:r>
    </w:p>
    <w:p w14:paraId="7C46DA6F" w14:textId="4536BEA6" w:rsidR="007B2D18" w:rsidRDefault="007B2D18"/>
    <w:p w14:paraId="14342DAC" w14:textId="77777777" w:rsidR="007B2D18" w:rsidRDefault="007B2D18" w:rsidP="007B2D18">
      <w:pPr>
        <w:pStyle w:val="NormalWeb"/>
        <w:spacing w:before="0" w:beforeAutospacing="0" w:after="0" w:afterAutospacing="0"/>
        <w:rPr>
          <w:rFonts w:ascii="Arial" w:hAnsi="Arial" w:cs="Arial"/>
          <w:color w:val="000000"/>
          <w:sz w:val="16"/>
          <w:szCs w:val="16"/>
          <w:shd w:val="clear" w:color="auto" w:fill="FFFFFF"/>
        </w:rPr>
      </w:pPr>
      <w:hyperlink r:id="rId27" w:history="1">
        <w:r w:rsidRPr="009D4476">
          <w:rPr>
            <w:rStyle w:val="Hyperlink"/>
            <w:rFonts w:ascii="Arial" w:hAnsi="Arial" w:cs="Arial"/>
            <w:sz w:val="16"/>
            <w:szCs w:val="16"/>
            <w:shd w:val="clear" w:color="auto" w:fill="FFFFFF"/>
          </w:rPr>
          <w:t>https://www.ncbi.nlm.nih.gov/pubmed/27099524</w:t>
        </w:r>
      </w:hyperlink>
    </w:p>
    <w:p w14:paraId="30C8C8EC" w14:textId="77777777" w:rsidR="007B2D18" w:rsidRDefault="007B2D18" w:rsidP="007B2D18">
      <w:pPr>
        <w:pStyle w:val="NormalWeb"/>
        <w:spacing w:before="0" w:beforeAutospacing="0" w:after="0" w:afterAutospacing="0"/>
        <w:rPr>
          <w:color w:val="000000"/>
        </w:rPr>
      </w:pPr>
      <w:r>
        <w:rPr>
          <w:color w:val="000000"/>
        </w:rPr>
        <w:t xml:space="preserve">Analysis of genotype, ORs, and significance of SNPs in genes for TRP ion channels and </w:t>
      </w:r>
      <w:proofErr w:type="spellStart"/>
      <w:r>
        <w:rPr>
          <w:color w:val="000000"/>
        </w:rPr>
        <w:t>AChRs</w:t>
      </w:r>
      <w:proofErr w:type="spellEnd"/>
      <w:r>
        <w:rPr>
          <w:color w:val="000000"/>
        </w:rPr>
        <w:t xml:space="preserve"> in ME/CFS patients and unfatigued controls in rank order of significance</w:t>
      </w:r>
    </w:p>
    <w:tbl>
      <w:tblPr>
        <w:tblW w:w="10437"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39"/>
        <w:gridCol w:w="424"/>
        <w:gridCol w:w="1235"/>
        <w:gridCol w:w="1082"/>
        <w:gridCol w:w="1560"/>
        <w:gridCol w:w="2493"/>
        <w:gridCol w:w="587"/>
        <w:gridCol w:w="587"/>
        <w:gridCol w:w="1530"/>
      </w:tblGrid>
      <w:tr w:rsidR="007B2D18" w14:paraId="19BD0D31" w14:textId="77777777" w:rsidTr="007B2D18">
        <w:trPr>
          <w:trHeight w:val="177"/>
          <w:tblHeader/>
        </w:trPr>
        <w:tc>
          <w:tcPr>
            <w:tcW w:w="0" w:type="auto"/>
            <w:tcBorders>
              <w:top w:val="nil"/>
              <w:left w:val="nil"/>
              <w:bottom w:val="nil"/>
              <w:right w:val="nil"/>
            </w:tcBorders>
            <w:tcMar>
              <w:top w:w="48" w:type="dxa"/>
              <w:left w:w="96" w:type="dxa"/>
              <w:bottom w:w="48" w:type="dxa"/>
              <w:right w:w="96" w:type="dxa"/>
            </w:tcMar>
            <w:hideMark/>
          </w:tcPr>
          <w:p w14:paraId="21D0CA5F" w14:textId="77777777" w:rsidR="007B2D18" w:rsidRDefault="007B2D18" w:rsidP="007B2D18">
            <w:pPr>
              <w:rPr>
                <w:b/>
                <w:bCs/>
                <w:sz w:val="20"/>
                <w:szCs w:val="20"/>
              </w:rPr>
            </w:pPr>
            <w:r>
              <w:rPr>
                <w:b/>
                <w:bCs/>
                <w:sz w:val="20"/>
                <w:szCs w:val="20"/>
              </w:rPr>
              <w:t>Gene</w:t>
            </w:r>
          </w:p>
        </w:tc>
        <w:tc>
          <w:tcPr>
            <w:tcW w:w="0" w:type="auto"/>
            <w:tcBorders>
              <w:top w:val="nil"/>
              <w:left w:val="nil"/>
              <w:bottom w:val="nil"/>
              <w:right w:val="nil"/>
            </w:tcBorders>
            <w:tcMar>
              <w:top w:w="48" w:type="dxa"/>
              <w:left w:w="96" w:type="dxa"/>
              <w:bottom w:w="48" w:type="dxa"/>
              <w:right w:w="96" w:type="dxa"/>
            </w:tcMar>
            <w:hideMark/>
          </w:tcPr>
          <w:p w14:paraId="61F060AC" w14:textId="77777777" w:rsidR="007B2D18" w:rsidRDefault="007B2D18" w:rsidP="007B2D18">
            <w:pPr>
              <w:rPr>
                <w:b/>
                <w:bCs/>
                <w:sz w:val="20"/>
                <w:szCs w:val="20"/>
              </w:rPr>
            </w:pPr>
            <w:r>
              <w:rPr>
                <w:b/>
                <w:bCs/>
                <w:sz w:val="20"/>
                <w:szCs w:val="20"/>
              </w:rPr>
              <w:t>CL</w:t>
            </w:r>
          </w:p>
        </w:tc>
        <w:tc>
          <w:tcPr>
            <w:tcW w:w="0" w:type="auto"/>
            <w:tcBorders>
              <w:top w:val="nil"/>
              <w:left w:val="nil"/>
              <w:bottom w:val="nil"/>
              <w:right w:val="nil"/>
            </w:tcBorders>
            <w:tcMar>
              <w:top w:w="48" w:type="dxa"/>
              <w:left w:w="96" w:type="dxa"/>
              <w:bottom w:w="48" w:type="dxa"/>
              <w:right w:w="96" w:type="dxa"/>
            </w:tcMar>
            <w:hideMark/>
          </w:tcPr>
          <w:p w14:paraId="5DB98F3C" w14:textId="77777777" w:rsidR="007B2D18" w:rsidRDefault="007B2D18" w:rsidP="007B2D18">
            <w:pPr>
              <w:rPr>
                <w:b/>
                <w:bCs/>
                <w:sz w:val="20"/>
                <w:szCs w:val="20"/>
              </w:rPr>
            </w:pPr>
            <w:r>
              <w:rPr>
                <w:b/>
                <w:bCs/>
                <w:sz w:val="20"/>
                <w:szCs w:val="20"/>
              </w:rPr>
              <w:t>SNP</w:t>
            </w:r>
          </w:p>
        </w:tc>
        <w:tc>
          <w:tcPr>
            <w:tcW w:w="0" w:type="auto"/>
            <w:tcBorders>
              <w:top w:val="nil"/>
              <w:left w:val="nil"/>
              <w:bottom w:val="nil"/>
              <w:right w:val="nil"/>
            </w:tcBorders>
            <w:tcMar>
              <w:top w:w="48" w:type="dxa"/>
              <w:left w:w="96" w:type="dxa"/>
              <w:bottom w:w="48" w:type="dxa"/>
              <w:right w:w="96" w:type="dxa"/>
            </w:tcMar>
            <w:hideMark/>
          </w:tcPr>
          <w:p w14:paraId="32B8C817" w14:textId="77777777" w:rsidR="007B2D18" w:rsidRDefault="007B2D18" w:rsidP="007B2D18">
            <w:pPr>
              <w:rPr>
                <w:b/>
                <w:bCs/>
                <w:sz w:val="20"/>
                <w:szCs w:val="20"/>
              </w:rPr>
            </w:pPr>
            <w:r>
              <w:rPr>
                <w:b/>
                <w:bCs/>
                <w:sz w:val="20"/>
                <w:szCs w:val="20"/>
              </w:rPr>
              <w:t>Genotype</w:t>
            </w:r>
          </w:p>
        </w:tc>
        <w:tc>
          <w:tcPr>
            <w:tcW w:w="1560" w:type="dxa"/>
            <w:tcBorders>
              <w:top w:val="nil"/>
              <w:left w:val="nil"/>
              <w:bottom w:val="nil"/>
              <w:right w:val="nil"/>
            </w:tcBorders>
            <w:tcMar>
              <w:top w:w="48" w:type="dxa"/>
              <w:left w:w="96" w:type="dxa"/>
              <w:bottom w:w="48" w:type="dxa"/>
              <w:right w:w="96" w:type="dxa"/>
            </w:tcMar>
            <w:hideMark/>
          </w:tcPr>
          <w:p w14:paraId="75E0E548" w14:textId="77777777" w:rsidR="007B2D18" w:rsidRDefault="007B2D18" w:rsidP="007B2D18">
            <w:pPr>
              <w:rPr>
                <w:b/>
                <w:bCs/>
                <w:sz w:val="20"/>
                <w:szCs w:val="20"/>
              </w:rPr>
            </w:pPr>
            <w:r>
              <w:rPr>
                <w:b/>
                <w:bCs/>
                <w:sz w:val="20"/>
                <w:szCs w:val="20"/>
              </w:rPr>
              <w:t>ME/CFS, n %)</w:t>
            </w:r>
          </w:p>
        </w:tc>
        <w:tc>
          <w:tcPr>
            <w:tcW w:w="2493" w:type="dxa"/>
            <w:tcBorders>
              <w:top w:val="nil"/>
              <w:left w:val="nil"/>
              <w:bottom w:val="nil"/>
              <w:right w:val="nil"/>
            </w:tcBorders>
            <w:tcMar>
              <w:top w:w="48" w:type="dxa"/>
              <w:left w:w="96" w:type="dxa"/>
              <w:bottom w:w="48" w:type="dxa"/>
              <w:right w:w="96" w:type="dxa"/>
            </w:tcMar>
            <w:hideMark/>
          </w:tcPr>
          <w:p w14:paraId="4FC8ED92" w14:textId="77777777" w:rsidR="007B2D18" w:rsidRDefault="007B2D18" w:rsidP="007B2D18">
            <w:pPr>
              <w:rPr>
                <w:b/>
                <w:bCs/>
                <w:sz w:val="20"/>
                <w:szCs w:val="20"/>
              </w:rPr>
            </w:pPr>
            <w:r>
              <w:rPr>
                <w:b/>
                <w:bCs/>
                <w:sz w:val="20"/>
                <w:szCs w:val="20"/>
              </w:rPr>
              <w:t>Unfatigued controls, n (%)</w:t>
            </w:r>
          </w:p>
        </w:tc>
        <w:tc>
          <w:tcPr>
            <w:tcW w:w="0" w:type="auto"/>
            <w:tcBorders>
              <w:top w:val="nil"/>
              <w:left w:val="nil"/>
              <w:bottom w:val="nil"/>
              <w:right w:val="nil"/>
            </w:tcBorders>
            <w:tcMar>
              <w:top w:w="48" w:type="dxa"/>
              <w:left w:w="96" w:type="dxa"/>
              <w:bottom w:w="48" w:type="dxa"/>
              <w:right w:w="96" w:type="dxa"/>
            </w:tcMar>
            <w:hideMark/>
          </w:tcPr>
          <w:p w14:paraId="6A4EE1F6" w14:textId="77777777" w:rsidR="007B2D18" w:rsidRDefault="007B2D18" w:rsidP="007B2D18">
            <w:pPr>
              <w:rPr>
                <w:b/>
                <w:bCs/>
                <w:sz w:val="20"/>
                <w:szCs w:val="20"/>
              </w:rPr>
            </w:pPr>
            <w:r>
              <w:rPr>
                <w:rStyle w:val="Emphasis"/>
                <w:sz w:val="20"/>
                <w:szCs w:val="20"/>
              </w:rPr>
              <w:t>χ</w:t>
            </w:r>
            <w:r>
              <w:rPr>
                <w:b/>
                <w:bCs/>
                <w:sz w:val="20"/>
                <w:szCs w:val="20"/>
                <w:vertAlign w:val="superscript"/>
              </w:rPr>
              <w:t>2</w:t>
            </w:r>
          </w:p>
        </w:tc>
        <w:tc>
          <w:tcPr>
            <w:tcW w:w="0" w:type="auto"/>
            <w:tcBorders>
              <w:top w:val="nil"/>
              <w:left w:val="nil"/>
              <w:bottom w:val="nil"/>
              <w:right w:val="nil"/>
            </w:tcBorders>
            <w:tcMar>
              <w:top w:w="48" w:type="dxa"/>
              <w:left w:w="96" w:type="dxa"/>
              <w:bottom w:w="48" w:type="dxa"/>
              <w:right w:w="96" w:type="dxa"/>
            </w:tcMar>
            <w:hideMark/>
          </w:tcPr>
          <w:p w14:paraId="6F3F9818" w14:textId="77777777" w:rsidR="007B2D18" w:rsidRDefault="007B2D18" w:rsidP="007B2D18">
            <w:pPr>
              <w:rPr>
                <w:b/>
                <w:bCs/>
                <w:sz w:val="20"/>
                <w:szCs w:val="20"/>
              </w:rPr>
            </w:pPr>
            <w:r>
              <w:rPr>
                <w:b/>
                <w:bCs/>
                <w:sz w:val="20"/>
                <w:szCs w:val="20"/>
              </w:rPr>
              <w:t>OR</w:t>
            </w:r>
          </w:p>
        </w:tc>
        <w:tc>
          <w:tcPr>
            <w:tcW w:w="1530" w:type="dxa"/>
            <w:tcBorders>
              <w:top w:val="nil"/>
              <w:left w:val="nil"/>
              <w:bottom w:val="nil"/>
              <w:right w:val="nil"/>
            </w:tcBorders>
            <w:tcMar>
              <w:top w:w="48" w:type="dxa"/>
              <w:left w:w="96" w:type="dxa"/>
              <w:bottom w:w="48" w:type="dxa"/>
              <w:right w:w="96" w:type="dxa"/>
            </w:tcMar>
            <w:hideMark/>
          </w:tcPr>
          <w:p w14:paraId="75BAC8FA" w14:textId="77777777" w:rsidR="007B2D18" w:rsidRDefault="007B2D18" w:rsidP="007B2D18">
            <w:pPr>
              <w:rPr>
                <w:b/>
                <w:bCs/>
                <w:sz w:val="20"/>
                <w:szCs w:val="20"/>
              </w:rPr>
            </w:pPr>
            <w:r>
              <w:rPr>
                <w:rStyle w:val="Emphasis"/>
                <w:sz w:val="20"/>
                <w:szCs w:val="20"/>
              </w:rPr>
              <w:t>P</w:t>
            </w:r>
            <w:r>
              <w:rPr>
                <w:b/>
                <w:bCs/>
                <w:sz w:val="20"/>
                <w:szCs w:val="20"/>
              </w:rPr>
              <w:t>-value</w:t>
            </w:r>
          </w:p>
        </w:tc>
      </w:tr>
      <w:tr w:rsidR="007B2D18" w14:paraId="1B018B18" w14:textId="77777777" w:rsidTr="007B2D18">
        <w:tc>
          <w:tcPr>
            <w:tcW w:w="0" w:type="auto"/>
            <w:tcBorders>
              <w:top w:val="nil"/>
              <w:left w:val="nil"/>
              <w:bottom w:val="nil"/>
              <w:right w:val="nil"/>
            </w:tcBorders>
            <w:tcMar>
              <w:top w:w="48" w:type="dxa"/>
              <w:left w:w="96" w:type="dxa"/>
              <w:bottom w:w="48" w:type="dxa"/>
              <w:right w:w="96" w:type="dxa"/>
            </w:tcMar>
            <w:hideMark/>
          </w:tcPr>
          <w:p w14:paraId="7081C446" w14:textId="77777777" w:rsidR="007B2D18" w:rsidRDefault="007B2D18" w:rsidP="007B2D18">
            <w:pPr>
              <w:rPr>
                <w:sz w:val="20"/>
                <w:szCs w:val="20"/>
              </w:rPr>
            </w:pPr>
            <w:r>
              <w:rPr>
                <w:rStyle w:val="Emphasis"/>
                <w:sz w:val="20"/>
                <w:szCs w:val="20"/>
              </w:rPr>
              <w:t>CHRNA3</w:t>
            </w:r>
          </w:p>
        </w:tc>
        <w:tc>
          <w:tcPr>
            <w:tcW w:w="0" w:type="auto"/>
            <w:tcBorders>
              <w:top w:val="nil"/>
              <w:left w:val="nil"/>
              <w:bottom w:val="nil"/>
              <w:right w:val="nil"/>
            </w:tcBorders>
            <w:tcMar>
              <w:top w:w="48" w:type="dxa"/>
              <w:left w:w="96" w:type="dxa"/>
              <w:bottom w:w="48" w:type="dxa"/>
              <w:right w:w="96" w:type="dxa"/>
            </w:tcMar>
            <w:hideMark/>
          </w:tcPr>
          <w:p w14:paraId="3D53A1BF" w14:textId="77777777" w:rsidR="007B2D18" w:rsidRDefault="007B2D18" w:rsidP="007B2D18">
            <w:pP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4C710104" w14:textId="77777777" w:rsidR="007B2D18" w:rsidRDefault="007B2D18" w:rsidP="007B2D18">
            <w:pPr>
              <w:rPr>
                <w:sz w:val="20"/>
                <w:szCs w:val="20"/>
              </w:rPr>
            </w:pPr>
            <w:r>
              <w:rPr>
                <w:sz w:val="20"/>
                <w:szCs w:val="20"/>
              </w:rPr>
              <w:t>rs12914385</w:t>
            </w:r>
          </w:p>
        </w:tc>
        <w:tc>
          <w:tcPr>
            <w:tcW w:w="0" w:type="auto"/>
            <w:tcBorders>
              <w:top w:val="nil"/>
              <w:left w:val="nil"/>
              <w:bottom w:val="nil"/>
              <w:right w:val="nil"/>
            </w:tcBorders>
            <w:tcMar>
              <w:top w:w="48" w:type="dxa"/>
              <w:left w:w="96" w:type="dxa"/>
              <w:bottom w:w="48" w:type="dxa"/>
              <w:right w:w="96" w:type="dxa"/>
            </w:tcMar>
            <w:hideMark/>
          </w:tcPr>
          <w:p w14:paraId="2640CE1F" w14:textId="77777777" w:rsidR="007B2D18" w:rsidRDefault="007B2D18" w:rsidP="007B2D18">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1F3042AC" w14:textId="77777777" w:rsidR="007B2D18" w:rsidRDefault="007B2D18" w:rsidP="007B2D18">
            <w:pPr>
              <w:rPr>
                <w:sz w:val="20"/>
                <w:szCs w:val="20"/>
              </w:rPr>
            </w:pPr>
            <w:r>
              <w:rPr>
                <w:sz w:val="20"/>
                <w:szCs w:val="20"/>
              </w:rPr>
              <w:t>12 (85.7)</w:t>
            </w:r>
          </w:p>
        </w:tc>
        <w:tc>
          <w:tcPr>
            <w:tcW w:w="2493" w:type="dxa"/>
            <w:tcBorders>
              <w:top w:val="nil"/>
              <w:left w:val="nil"/>
              <w:bottom w:val="nil"/>
              <w:right w:val="nil"/>
            </w:tcBorders>
            <w:tcMar>
              <w:top w:w="48" w:type="dxa"/>
              <w:left w:w="96" w:type="dxa"/>
              <w:bottom w:w="48" w:type="dxa"/>
              <w:right w:w="96" w:type="dxa"/>
            </w:tcMar>
            <w:hideMark/>
          </w:tcPr>
          <w:p w14:paraId="197A77EF" w14:textId="77777777" w:rsidR="007B2D18" w:rsidRDefault="007B2D18" w:rsidP="007B2D18">
            <w:pPr>
              <w:rPr>
                <w:sz w:val="20"/>
                <w:szCs w:val="20"/>
              </w:rPr>
            </w:pPr>
            <w:r>
              <w:rPr>
                <w:sz w:val="20"/>
                <w:szCs w:val="20"/>
              </w:rPr>
              <w:t>2 (14.3)</w:t>
            </w:r>
          </w:p>
        </w:tc>
        <w:tc>
          <w:tcPr>
            <w:tcW w:w="0" w:type="auto"/>
            <w:tcBorders>
              <w:top w:val="nil"/>
              <w:left w:val="nil"/>
              <w:bottom w:val="nil"/>
              <w:right w:val="nil"/>
            </w:tcBorders>
            <w:tcMar>
              <w:top w:w="48" w:type="dxa"/>
              <w:left w:w="96" w:type="dxa"/>
              <w:bottom w:w="48" w:type="dxa"/>
              <w:right w:w="96" w:type="dxa"/>
            </w:tcMar>
            <w:hideMark/>
          </w:tcPr>
          <w:p w14:paraId="0A57CF30" w14:textId="77777777" w:rsidR="007B2D18" w:rsidRDefault="007B2D18" w:rsidP="007B2D18">
            <w:pPr>
              <w:rPr>
                <w:sz w:val="20"/>
                <w:szCs w:val="20"/>
              </w:rPr>
            </w:pPr>
            <w:r>
              <w:rPr>
                <w:sz w:val="20"/>
                <w:szCs w:val="20"/>
              </w:rPr>
              <w:t>6.09</w:t>
            </w:r>
          </w:p>
        </w:tc>
        <w:tc>
          <w:tcPr>
            <w:tcW w:w="0" w:type="auto"/>
            <w:tcBorders>
              <w:top w:val="nil"/>
              <w:left w:val="nil"/>
              <w:bottom w:val="nil"/>
              <w:right w:val="nil"/>
            </w:tcBorders>
            <w:tcMar>
              <w:top w:w="48" w:type="dxa"/>
              <w:left w:w="96" w:type="dxa"/>
              <w:bottom w:w="48" w:type="dxa"/>
              <w:right w:w="96" w:type="dxa"/>
            </w:tcMar>
            <w:hideMark/>
          </w:tcPr>
          <w:p w14:paraId="65B4233A" w14:textId="77777777" w:rsidR="007B2D18" w:rsidRDefault="007B2D18" w:rsidP="007B2D18">
            <w:pPr>
              <w:rPr>
                <w:sz w:val="20"/>
                <w:szCs w:val="20"/>
              </w:rPr>
            </w:pPr>
            <w:r>
              <w:rPr>
                <w:sz w:val="20"/>
                <w:szCs w:val="20"/>
              </w:rPr>
              <w:t>6.22</w:t>
            </w:r>
          </w:p>
        </w:tc>
        <w:tc>
          <w:tcPr>
            <w:tcW w:w="1530" w:type="dxa"/>
            <w:tcBorders>
              <w:top w:val="nil"/>
              <w:left w:val="nil"/>
              <w:bottom w:val="nil"/>
              <w:right w:val="nil"/>
            </w:tcBorders>
            <w:tcMar>
              <w:top w:w="48" w:type="dxa"/>
              <w:left w:w="96" w:type="dxa"/>
              <w:bottom w:w="48" w:type="dxa"/>
              <w:right w:w="96" w:type="dxa"/>
            </w:tcMar>
            <w:hideMark/>
          </w:tcPr>
          <w:p w14:paraId="4AB84A27" w14:textId="77777777" w:rsidR="007B2D18" w:rsidRDefault="007B2D18" w:rsidP="007B2D18">
            <w:pPr>
              <w:rPr>
                <w:sz w:val="20"/>
                <w:szCs w:val="20"/>
              </w:rPr>
            </w:pPr>
            <w:r>
              <w:rPr>
                <w:sz w:val="20"/>
                <w:szCs w:val="20"/>
              </w:rPr>
              <w:t>0.014</w:t>
            </w:r>
          </w:p>
        </w:tc>
      </w:tr>
    </w:tbl>
    <w:p w14:paraId="603CB68D" w14:textId="2541D1CA" w:rsidR="007B2D18" w:rsidRDefault="007B2D18"/>
    <w:p w14:paraId="691A0374" w14:textId="76F2E224" w:rsidR="007B2D18" w:rsidRDefault="007B2D18">
      <w:hyperlink r:id="rId28" w:history="1">
        <w:r w:rsidRPr="00FB1B95">
          <w:rPr>
            <w:rStyle w:val="Hyperlink"/>
          </w:rPr>
          <w:t>http://www.uniprot.org/uniprot/P32297</w:t>
        </w:r>
      </w:hyperlink>
    </w:p>
    <w:p w14:paraId="5DA0CA22" w14:textId="1D4FE933" w:rsidR="007B2D18" w:rsidRDefault="007B2D18">
      <w:pPr>
        <w:rPr>
          <w:rFonts w:ascii="Verdana" w:hAnsi="Verdana"/>
          <w:b/>
          <w:bCs/>
          <w:color w:val="000000"/>
          <w:sz w:val="21"/>
          <w:szCs w:val="21"/>
        </w:rPr>
      </w:pPr>
      <w:r>
        <w:rPr>
          <w:rFonts w:ascii="Verdana" w:hAnsi="Verdana"/>
          <w:b/>
          <w:bCs/>
          <w:color w:val="000000"/>
          <w:sz w:val="21"/>
          <w:szCs w:val="21"/>
        </w:rPr>
        <w:t>Neuronal acetylcholine receptor subunit alpha-3</w:t>
      </w:r>
    </w:p>
    <w:p w14:paraId="70F11FFD" w14:textId="77777777" w:rsidR="007B2D18" w:rsidRDefault="007B2D18" w:rsidP="007B2D18">
      <w:pPr>
        <w:rPr>
          <w:rFonts w:ascii="Verdana" w:hAnsi="Verdana"/>
          <w:color w:val="222222"/>
          <w:sz w:val="20"/>
          <w:szCs w:val="20"/>
        </w:rPr>
      </w:pPr>
      <w:r>
        <w:rPr>
          <w:rFonts w:ascii="Verdana" w:hAnsi="Verdana"/>
          <w:color w:val="222222"/>
          <w:sz w:val="20"/>
          <w:szCs w:val="20"/>
        </w:rPr>
        <w:t xml:space="preserve">After binding acetylcholine, the </w:t>
      </w:r>
      <w:proofErr w:type="spellStart"/>
      <w:r>
        <w:rPr>
          <w:rFonts w:ascii="Verdana" w:hAnsi="Verdana"/>
          <w:color w:val="222222"/>
          <w:sz w:val="20"/>
          <w:szCs w:val="20"/>
        </w:rPr>
        <w:t>AChR</w:t>
      </w:r>
      <w:proofErr w:type="spellEnd"/>
      <w:r>
        <w:rPr>
          <w:rFonts w:ascii="Verdana" w:hAnsi="Verdana"/>
          <w:color w:val="222222"/>
          <w:sz w:val="20"/>
          <w:szCs w:val="20"/>
        </w:rPr>
        <w:t xml:space="preserve"> responds by an extensive change in conformation that affects all subunits and leads to opening of an ion-conducting channel across the plasma membrane.</w:t>
      </w:r>
    </w:p>
    <w:p w14:paraId="6D650FF7" w14:textId="77777777" w:rsidR="007B2D18" w:rsidRDefault="007B2D18" w:rsidP="007B2D18">
      <w:pPr>
        <w:pStyle w:val="Heading4"/>
        <w:spacing w:before="0" w:beforeAutospacing="0" w:after="0" w:afterAutospacing="0"/>
        <w:rPr>
          <w:rFonts w:ascii="Helvetica" w:hAnsi="Helvetica" w:cs="Helvetica"/>
          <w:color w:val="4D4D4D"/>
          <w:sz w:val="23"/>
          <w:szCs w:val="23"/>
        </w:rPr>
      </w:pPr>
      <w:r>
        <w:rPr>
          <w:rStyle w:val="context-help"/>
          <w:rFonts w:ascii="Helvetica" w:hAnsi="Helvetica" w:cs="Helvetica"/>
          <w:color w:val="4D4D4D"/>
          <w:sz w:val="23"/>
          <w:szCs w:val="23"/>
        </w:rPr>
        <w:t xml:space="preserve">GO - Molecular </w:t>
      </w:r>
      <w:proofErr w:type="spellStart"/>
      <w:r>
        <w:rPr>
          <w:rStyle w:val="context-help"/>
          <w:rFonts w:ascii="Helvetica" w:hAnsi="Helvetica" w:cs="Helvetica"/>
          <w:color w:val="4D4D4D"/>
          <w:sz w:val="23"/>
          <w:szCs w:val="23"/>
        </w:rPr>
        <w:t>function</w:t>
      </w:r>
      <w:r>
        <w:rPr>
          <w:rStyle w:val="context-help"/>
          <w:rFonts w:ascii="Garamond" w:hAnsi="Garamond" w:cs="Helvetica"/>
          <w:b w:val="0"/>
          <w:bCs w:val="0"/>
          <w:color w:val="4D4D4D"/>
          <w:sz w:val="18"/>
          <w:szCs w:val="18"/>
          <w:vertAlign w:val="superscript"/>
        </w:rPr>
        <w:t>i</w:t>
      </w:r>
      <w:proofErr w:type="spellEnd"/>
    </w:p>
    <w:p w14:paraId="592255AA" w14:textId="77777777" w:rsidR="007B2D18" w:rsidRDefault="007B2D18" w:rsidP="007B2D18">
      <w:pPr>
        <w:numPr>
          <w:ilvl w:val="0"/>
          <w:numId w:val="1"/>
        </w:numPr>
        <w:spacing w:before="100" w:beforeAutospacing="1" w:after="0" w:afterAutospacing="1" w:line="240" w:lineRule="auto"/>
        <w:ind w:left="480" w:firstLine="0"/>
        <w:rPr>
          <w:rFonts w:ascii="Verdana" w:hAnsi="Verdana" w:cs="Times New Roman"/>
          <w:color w:val="222222"/>
          <w:sz w:val="20"/>
          <w:szCs w:val="20"/>
        </w:rPr>
      </w:pPr>
      <w:hyperlink r:id="rId29" w:history="1">
        <w:r>
          <w:rPr>
            <w:rStyle w:val="Hyperlink"/>
            <w:rFonts w:ascii="Verdana" w:hAnsi="Verdana"/>
            <w:color w:val="00709B"/>
            <w:sz w:val="20"/>
            <w:szCs w:val="20"/>
          </w:rPr>
          <w:t>acetylcholine binding</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153D39FF" w14:textId="77777777" w:rsidR="007B2D18" w:rsidRDefault="007B2D18" w:rsidP="007B2D18">
      <w:pPr>
        <w:numPr>
          <w:ilvl w:val="0"/>
          <w:numId w:val="1"/>
        </w:numPr>
        <w:spacing w:before="100" w:beforeAutospacing="1" w:after="0" w:afterAutospacing="1" w:line="240" w:lineRule="auto"/>
        <w:ind w:left="480" w:firstLine="0"/>
        <w:rPr>
          <w:rFonts w:ascii="Verdana" w:hAnsi="Verdana"/>
          <w:color w:val="222222"/>
          <w:sz w:val="20"/>
          <w:szCs w:val="20"/>
        </w:rPr>
      </w:pPr>
      <w:hyperlink r:id="rId30" w:history="1">
        <w:r>
          <w:rPr>
            <w:rStyle w:val="Hyperlink"/>
            <w:rFonts w:ascii="Verdana" w:hAnsi="Verdana"/>
            <w:color w:val="00709B"/>
            <w:sz w:val="20"/>
            <w:szCs w:val="20"/>
          </w:rPr>
          <w:t>acetylcholine-gated cation-selective channel activity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68E699F1" w14:textId="77777777" w:rsidR="007B2D18" w:rsidRDefault="007B2D18" w:rsidP="007B2D18">
      <w:pPr>
        <w:numPr>
          <w:ilvl w:val="0"/>
          <w:numId w:val="1"/>
        </w:numPr>
        <w:spacing w:before="100" w:beforeAutospacing="1" w:after="0" w:afterAutospacing="1" w:line="240" w:lineRule="auto"/>
        <w:ind w:left="480" w:firstLine="0"/>
        <w:rPr>
          <w:rFonts w:ascii="Verdana" w:hAnsi="Verdana"/>
          <w:color w:val="222222"/>
          <w:sz w:val="20"/>
          <w:szCs w:val="20"/>
        </w:rPr>
      </w:pPr>
      <w:hyperlink r:id="rId31" w:history="1">
        <w:r>
          <w:rPr>
            <w:rStyle w:val="Hyperlink"/>
            <w:rFonts w:ascii="Verdana" w:hAnsi="Verdana"/>
            <w:color w:val="00709B"/>
            <w:sz w:val="20"/>
            <w:szCs w:val="20"/>
          </w:rPr>
          <w:t>acetylcholine receptor activity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71AC9621" w14:textId="77777777" w:rsidR="007B2D18" w:rsidRDefault="007B2D18" w:rsidP="007B2D18">
      <w:pPr>
        <w:numPr>
          <w:ilvl w:val="0"/>
          <w:numId w:val="1"/>
        </w:numPr>
        <w:spacing w:before="100" w:beforeAutospacing="1" w:after="0" w:afterAutospacing="1" w:line="240" w:lineRule="auto"/>
        <w:ind w:left="480" w:firstLine="0"/>
        <w:rPr>
          <w:rFonts w:ascii="Verdana" w:hAnsi="Verdana"/>
          <w:color w:val="222222"/>
          <w:sz w:val="20"/>
          <w:szCs w:val="20"/>
        </w:rPr>
      </w:pPr>
      <w:hyperlink r:id="rId32" w:history="1">
        <w:r>
          <w:rPr>
            <w:rStyle w:val="Hyperlink"/>
            <w:rFonts w:ascii="Verdana" w:hAnsi="Verdana"/>
            <w:color w:val="00709B"/>
            <w:sz w:val="20"/>
            <w:szCs w:val="20"/>
          </w:rPr>
          <w:t>ligand-gated ion channel activity</w:t>
        </w:r>
      </w:hyperlink>
      <w:r>
        <w:rPr>
          <w:rStyle w:val="attributionheader"/>
          <w:rFonts w:ascii="Verdana" w:hAnsi="Verdana"/>
          <w:color w:val="222222"/>
          <w:sz w:val="18"/>
          <w:szCs w:val="18"/>
          <w:bdr w:val="none" w:sz="0" w:space="0" w:color="auto" w:frame="1"/>
          <w:shd w:val="clear" w:color="auto" w:fill="FBEFB6"/>
        </w:rPr>
        <w:t> Source: DFLAT</w:t>
      </w:r>
    </w:p>
    <w:p w14:paraId="05085931" w14:textId="77777777" w:rsidR="007B2D18" w:rsidRDefault="007B2D18" w:rsidP="007B2D18">
      <w:pPr>
        <w:numPr>
          <w:ilvl w:val="0"/>
          <w:numId w:val="1"/>
        </w:numPr>
        <w:spacing w:before="100" w:beforeAutospacing="1" w:after="0" w:afterAutospacing="1" w:line="240" w:lineRule="auto"/>
        <w:ind w:left="480" w:firstLine="0"/>
        <w:rPr>
          <w:rFonts w:ascii="Verdana" w:hAnsi="Verdana"/>
          <w:color w:val="222222"/>
          <w:sz w:val="20"/>
          <w:szCs w:val="20"/>
        </w:rPr>
      </w:pPr>
      <w:hyperlink r:id="rId33" w:history="1">
        <w:r>
          <w:rPr>
            <w:rStyle w:val="Hyperlink"/>
            <w:rFonts w:ascii="Verdana" w:hAnsi="Verdana"/>
            <w:color w:val="00709B"/>
            <w:sz w:val="20"/>
            <w:szCs w:val="20"/>
          </w:rPr>
          <w:t>serotonin-gated cation-selective channel activity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GO_Central</w:t>
      </w:r>
      <w:proofErr w:type="spellEnd"/>
    </w:p>
    <w:p w14:paraId="2C52612D" w14:textId="77777777" w:rsidR="007B2D18" w:rsidRDefault="007B2D18" w:rsidP="007B2D18">
      <w:pPr>
        <w:rPr>
          <w:rFonts w:ascii="Verdana" w:hAnsi="Verdana"/>
          <w:color w:val="222222"/>
          <w:sz w:val="20"/>
          <w:szCs w:val="20"/>
        </w:rPr>
      </w:pPr>
      <w:hyperlink r:id="rId34" w:history="1">
        <w:r>
          <w:rPr>
            <w:rStyle w:val="Hyperlink"/>
            <w:rFonts w:ascii="Verdana" w:hAnsi="Verdana"/>
            <w:color w:val="00709B"/>
            <w:sz w:val="20"/>
            <w:szCs w:val="20"/>
          </w:rPr>
          <w:t xml:space="preserve">View the complete GO annotation on </w:t>
        </w:r>
        <w:proofErr w:type="spellStart"/>
        <w:r>
          <w:rPr>
            <w:rStyle w:val="Hyperlink"/>
            <w:rFonts w:ascii="Verdana" w:hAnsi="Verdana"/>
            <w:color w:val="00709B"/>
            <w:sz w:val="20"/>
            <w:szCs w:val="20"/>
          </w:rPr>
          <w:t>QuickGO</w:t>
        </w:r>
        <w:proofErr w:type="spellEnd"/>
        <w:r>
          <w:rPr>
            <w:rStyle w:val="Hyperlink"/>
            <w:rFonts w:ascii="Verdana" w:hAnsi="Verdana"/>
            <w:color w:val="00709B"/>
            <w:sz w:val="20"/>
            <w:szCs w:val="20"/>
          </w:rPr>
          <w:t xml:space="preserve"> ...</w:t>
        </w:r>
      </w:hyperlink>
    </w:p>
    <w:p w14:paraId="6F66D3E9" w14:textId="77777777" w:rsidR="007B2D18" w:rsidRDefault="007B2D18" w:rsidP="007B2D18">
      <w:pPr>
        <w:pStyle w:val="Heading4"/>
        <w:spacing w:before="0" w:beforeAutospacing="0" w:after="0" w:afterAutospacing="0"/>
        <w:rPr>
          <w:rFonts w:ascii="Helvetica" w:hAnsi="Helvetica" w:cs="Helvetica"/>
          <w:color w:val="4D4D4D"/>
          <w:sz w:val="23"/>
          <w:szCs w:val="23"/>
        </w:rPr>
      </w:pPr>
      <w:r>
        <w:rPr>
          <w:rStyle w:val="context-help"/>
          <w:rFonts w:ascii="Helvetica" w:hAnsi="Helvetica" w:cs="Helvetica"/>
          <w:color w:val="4D4D4D"/>
          <w:sz w:val="23"/>
          <w:szCs w:val="23"/>
        </w:rPr>
        <w:t xml:space="preserve">GO - Biological </w:t>
      </w:r>
      <w:proofErr w:type="spellStart"/>
      <w:r>
        <w:rPr>
          <w:rStyle w:val="context-help"/>
          <w:rFonts w:ascii="Helvetica" w:hAnsi="Helvetica" w:cs="Helvetica"/>
          <w:color w:val="4D4D4D"/>
          <w:sz w:val="23"/>
          <w:szCs w:val="23"/>
        </w:rPr>
        <w:t>process</w:t>
      </w:r>
      <w:r>
        <w:rPr>
          <w:rStyle w:val="context-help"/>
          <w:rFonts w:ascii="Garamond" w:hAnsi="Garamond" w:cs="Helvetica"/>
          <w:b w:val="0"/>
          <w:bCs w:val="0"/>
          <w:color w:val="4D4D4D"/>
          <w:sz w:val="18"/>
          <w:szCs w:val="18"/>
          <w:vertAlign w:val="superscript"/>
        </w:rPr>
        <w:t>i</w:t>
      </w:r>
      <w:proofErr w:type="spellEnd"/>
    </w:p>
    <w:p w14:paraId="56DC864F" w14:textId="77777777" w:rsidR="007B2D18" w:rsidRDefault="007B2D18" w:rsidP="007B2D18">
      <w:pPr>
        <w:numPr>
          <w:ilvl w:val="0"/>
          <w:numId w:val="2"/>
        </w:numPr>
        <w:spacing w:before="100" w:beforeAutospacing="1" w:after="0" w:afterAutospacing="1" w:line="240" w:lineRule="auto"/>
        <w:ind w:left="480" w:firstLine="0"/>
        <w:rPr>
          <w:rFonts w:ascii="Verdana" w:hAnsi="Verdana" w:cs="Times New Roman"/>
          <w:color w:val="222222"/>
          <w:sz w:val="20"/>
          <w:szCs w:val="20"/>
        </w:rPr>
      </w:pPr>
      <w:hyperlink r:id="rId35" w:history="1">
        <w:r>
          <w:rPr>
            <w:rStyle w:val="Hyperlink"/>
            <w:rFonts w:ascii="Verdana" w:hAnsi="Verdana"/>
            <w:color w:val="00709B"/>
            <w:sz w:val="20"/>
            <w:szCs w:val="20"/>
          </w:rPr>
          <w:t>acetylcholine receptor signaling pathway</w:t>
        </w:r>
      </w:hyperlink>
      <w:r>
        <w:rPr>
          <w:rStyle w:val="attributionheader"/>
          <w:rFonts w:ascii="Verdana" w:hAnsi="Verdana"/>
          <w:color w:val="222222"/>
          <w:sz w:val="18"/>
          <w:szCs w:val="18"/>
          <w:bdr w:val="none" w:sz="0" w:space="0" w:color="auto" w:frame="1"/>
          <w:shd w:val="clear" w:color="auto" w:fill="FBEFB6"/>
        </w:rPr>
        <w:t> Source: ARUK-UCL</w:t>
      </w:r>
    </w:p>
    <w:p w14:paraId="6519577E" w14:textId="77777777" w:rsidR="007B2D18" w:rsidRDefault="007B2D18" w:rsidP="007B2D18">
      <w:pPr>
        <w:numPr>
          <w:ilvl w:val="0"/>
          <w:numId w:val="2"/>
        </w:numPr>
        <w:spacing w:before="100" w:beforeAutospacing="1" w:after="0" w:afterAutospacing="1" w:line="240" w:lineRule="auto"/>
        <w:ind w:left="480" w:firstLine="0"/>
        <w:rPr>
          <w:rFonts w:ascii="Verdana" w:hAnsi="Verdana"/>
          <w:color w:val="222222"/>
          <w:sz w:val="20"/>
          <w:szCs w:val="20"/>
        </w:rPr>
      </w:pPr>
      <w:hyperlink r:id="rId36" w:history="1">
        <w:r>
          <w:rPr>
            <w:rStyle w:val="Hyperlink"/>
            <w:rFonts w:ascii="Verdana" w:hAnsi="Verdana"/>
            <w:color w:val="00709B"/>
            <w:sz w:val="20"/>
            <w:szCs w:val="20"/>
          </w:rPr>
          <w:t>activation of transmembrane receptor protein tyrosine kinase activity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183E71F7" w14:textId="77777777" w:rsidR="007B2D18" w:rsidRDefault="007B2D18" w:rsidP="007B2D18">
      <w:pPr>
        <w:numPr>
          <w:ilvl w:val="0"/>
          <w:numId w:val="2"/>
        </w:numPr>
        <w:spacing w:before="100" w:beforeAutospacing="1" w:after="0" w:afterAutospacing="1" w:line="240" w:lineRule="auto"/>
        <w:ind w:left="480" w:firstLine="0"/>
        <w:rPr>
          <w:rFonts w:ascii="Verdana" w:hAnsi="Verdana"/>
          <w:color w:val="222222"/>
          <w:sz w:val="20"/>
          <w:szCs w:val="20"/>
        </w:rPr>
      </w:pPr>
      <w:hyperlink r:id="rId37" w:history="1">
        <w:r>
          <w:rPr>
            <w:rStyle w:val="Hyperlink"/>
            <w:rFonts w:ascii="Verdana" w:hAnsi="Verdana"/>
            <w:color w:val="00709B"/>
            <w:sz w:val="20"/>
            <w:szCs w:val="20"/>
          </w:rPr>
          <w:t>behavioral response to nicotine</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2EA6C781" w14:textId="77777777" w:rsidR="007B2D18" w:rsidRDefault="007B2D18" w:rsidP="007B2D18">
      <w:pPr>
        <w:numPr>
          <w:ilvl w:val="0"/>
          <w:numId w:val="2"/>
        </w:numPr>
        <w:spacing w:before="100" w:beforeAutospacing="1" w:after="0" w:afterAutospacing="1" w:line="240" w:lineRule="auto"/>
        <w:ind w:left="480" w:firstLine="0"/>
        <w:rPr>
          <w:rFonts w:ascii="Verdana" w:hAnsi="Verdana"/>
          <w:color w:val="222222"/>
          <w:sz w:val="20"/>
          <w:szCs w:val="20"/>
        </w:rPr>
      </w:pPr>
      <w:hyperlink r:id="rId38" w:history="1">
        <w:r>
          <w:rPr>
            <w:rStyle w:val="Hyperlink"/>
            <w:rFonts w:ascii="Verdana" w:hAnsi="Verdana"/>
            <w:color w:val="00709B"/>
            <w:sz w:val="20"/>
            <w:szCs w:val="20"/>
          </w:rPr>
          <w:t>excitatory postsynaptic potential</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4F40713C" w14:textId="77777777" w:rsidR="007B2D18" w:rsidRDefault="007B2D18" w:rsidP="007B2D18">
      <w:pPr>
        <w:numPr>
          <w:ilvl w:val="0"/>
          <w:numId w:val="2"/>
        </w:numPr>
        <w:spacing w:before="100" w:beforeAutospacing="1" w:after="0" w:afterAutospacing="1" w:line="240" w:lineRule="auto"/>
        <w:ind w:left="480" w:firstLine="0"/>
        <w:rPr>
          <w:rFonts w:ascii="Verdana" w:hAnsi="Verdana"/>
          <w:color w:val="222222"/>
          <w:sz w:val="20"/>
          <w:szCs w:val="20"/>
        </w:rPr>
      </w:pPr>
      <w:hyperlink r:id="rId39" w:history="1">
        <w:r>
          <w:rPr>
            <w:rStyle w:val="Hyperlink"/>
            <w:rFonts w:ascii="Verdana" w:hAnsi="Verdana"/>
            <w:color w:val="00709B"/>
            <w:sz w:val="20"/>
            <w:szCs w:val="20"/>
          </w:rPr>
          <w:t>ion transport</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7644EEAC" w14:textId="77777777" w:rsidR="007B2D18" w:rsidRDefault="007B2D18" w:rsidP="007B2D18">
      <w:pPr>
        <w:numPr>
          <w:ilvl w:val="0"/>
          <w:numId w:val="2"/>
        </w:numPr>
        <w:spacing w:before="100" w:beforeAutospacing="1" w:after="0" w:afterAutospacing="1" w:line="240" w:lineRule="auto"/>
        <w:ind w:left="480" w:firstLine="0"/>
        <w:rPr>
          <w:rFonts w:ascii="Verdana" w:hAnsi="Verdana"/>
          <w:color w:val="222222"/>
          <w:sz w:val="20"/>
          <w:szCs w:val="20"/>
        </w:rPr>
      </w:pPr>
      <w:hyperlink r:id="rId40" w:history="1">
        <w:proofErr w:type="spellStart"/>
        <w:r>
          <w:rPr>
            <w:rStyle w:val="Hyperlink"/>
            <w:rFonts w:ascii="Verdana" w:hAnsi="Verdana"/>
            <w:color w:val="00709B"/>
            <w:sz w:val="20"/>
            <w:szCs w:val="20"/>
          </w:rPr>
          <w:t>locomotory</w:t>
        </w:r>
        <w:proofErr w:type="spellEnd"/>
        <w:r>
          <w:rPr>
            <w:rStyle w:val="Hyperlink"/>
            <w:rFonts w:ascii="Verdana" w:hAnsi="Verdana"/>
            <w:color w:val="00709B"/>
            <w:sz w:val="20"/>
            <w:szCs w:val="20"/>
          </w:rPr>
          <w:t xml:space="preserve"> behavior</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4D85418E" w14:textId="77777777" w:rsidR="007B2D18" w:rsidRDefault="007B2D18" w:rsidP="007B2D18">
      <w:pPr>
        <w:numPr>
          <w:ilvl w:val="0"/>
          <w:numId w:val="2"/>
        </w:numPr>
        <w:spacing w:before="100" w:beforeAutospacing="1" w:after="0" w:afterAutospacing="1" w:line="240" w:lineRule="auto"/>
        <w:ind w:left="480" w:firstLine="0"/>
        <w:rPr>
          <w:rFonts w:ascii="Verdana" w:hAnsi="Verdana"/>
          <w:color w:val="222222"/>
          <w:sz w:val="20"/>
          <w:szCs w:val="20"/>
        </w:rPr>
      </w:pPr>
      <w:hyperlink r:id="rId41" w:history="1">
        <w:r>
          <w:rPr>
            <w:rStyle w:val="Hyperlink"/>
            <w:rFonts w:ascii="Verdana" w:hAnsi="Verdana"/>
            <w:color w:val="00709B"/>
            <w:sz w:val="20"/>
            <w:szCs w:val="20"/>
          </w:rPr>
          <w:t>nervous system development</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0C30D535" w14:textId="77777777" w:rsidR="007B2D18" w:rsidRDefault="007B2D18" w:rsidP="007B2D18">
      <w:pPr>
        <w:numPr>
          <w:ilvl w:val="0"/>
          <w:numId w:val="2"/>
        </w:numPr>
        <w:spacing w:before="100" w:beforeAutospacing="1" w:after="0" w:afterAutospacing="1" w:line="240" w:lineRule="auto"/>
        <w:ind w:left="480" w:firstLine="0"/>
        <w:rPr>
          <w:rFonts w:ascii="Verdana" w:hAnsi="Verdana"/>
          <w:color w:val="222222"/>
          <w:sz w:val="20"/>
          <w:szCs w:val="20"/>
        </w:rPr>
      </w:pPr>
      <w:hyperlink r:id="rId42" w:history="1">
        <w:r>
          <w:rPr>
            <w:rStyle w:val="Hyperlink"/>
            <w:rFonts w:ascii="Verdana" w:hAnsi="Verdana"/>
            <w:color w:val="00709B"/>
            <w:sz w:val="20"/>
            <w:szCs w:val="20"/>
          </w:rPr>
          <w:t>regulation of acetylcholine secretion, neurotransmission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487005F4" w14:textId="77777777" w:rsidR="007B2D18" w:rsidRDefault="007B2D18" w:rsidP="007B2D18">
      <w:pPr>
        <w:numPr>
          <w:ilvl w:val="0"/>
          <w:numId w:val="2"/>
        </w:numPr>
        <w:spacing w:before="100" w:beforeAutospacing="1" w:after="0" w:afterAutospacing="1" w:line="240" w:lineRule="auto"/>
        <w:ind w:left="480" w:firstLine="0"/>
        <w:rPr>
          <w:rFonts w:ascii="Verdana" w:hAnsi="Verdana"/>
          <w:color w:val="222222"/>
          <w:sz w:val="20"/>
          <w:szCs w:val="20"/>
        </w:rPr>
      </w:pPr>
      <w:hyperlink r:id="rId43" w:history="1">
        <w:r>
          <w:rPr>
            <w:rStyle w:val="Hyperlink"/>
            <w:rFonts w:ascii="Verdana" w:hAnsi="Verdana"/>
            <w:color w:val="00709B"/>
            <w:sz w:val="20"/>
            <w:szCs w:val="20"/>
          </w:rPr>
          <w:t>regulation of dendrite morphogenesis</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0CA14839" w14:textId="77777777" w:rsidR="007B2D18" w:rsidRDefault="007B2D18" w:rsidP="007B2D18">
      <w:pPr>
        <w:numPr>
          <w:ilvl w:val="0"/>
          <w:numId w:val="2"/>
        </w:numPr>
        <w:spacing w:before="100" w:beforeAutospacing="1" w:after="0" w:afterAutospacing="1" w:line="240" w:lineRule="auto"/>
        <w:ind w:left="480" w:firstLine="0"/>
        <w:rPr>
          <w:rFonts w:ascii="Verdana" w:hAnsi="Verdana"/>
          <w:color w:val="222222"/>
          <w:sz w:val="20"/>
          <w:szCs w:val="20"/>
        </w:rPr>
      </w:pPr>
      <w:hyperlink r:id="rId44" w:history="1">
        <w:r>
          <w:rPr>
            <w:rStyle w:val="Hyperlink"/>
            <w:rFonts w:ascii="Verdana" w:hAnsi="Verdana"/>
            <w:color w:val="00709B"/>
            <w:sz w:val="20"/>
            <w:szCs w:val="20"/>
          </w:rPr>
          <w:t>regulation of membrane potential</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225C595F" w14:textId="77777777" w:rsidR="007B2D18" w:rsidRDefault="007B2D18" w:rsidP="007B2D18">
      <w:pPr>
        <w:numPr>
          <w:ilvl w:val="0"/>
          <w:numId w:val="2"/>
        </w:numPr>
        <w:spacing w:before="100" w:beforeAutospacing="1" w:after="0" w:afterAutospacing="1" w:line="240" w:lineRule="auto"/>
        <w:ind w:left="480" w:firstLine="0"/>
        <w:rPr>
          <w:rFonts w:ascii="Verdana" w:hAnsi="Verdana"/>
          <w:color w:val="222222"/>
          <w:sz w:val="20"/>
          <w:szCs w:val="20"/>
        </w:rPr>
      </w:pPr>
      <w:hyperlink r:id="rId45" w:history="1">
        <w:r>
          <w:rPr>
            <w:rStyle w:val="Hyperlink"/>
            <w:rFonts w:ascii="Verdana" w:hAnsi="Verdana"/>
            <w:color w:val="00709B"/>
            <w:sz w:val="20"/>
            <w:szCs w:val="20"/>
          </w:rPr>
          <w:t>regulation of smooth muscle contraction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4BDD60DC" w14:textId="77777777" w:rsidR="007B2D18" w:rsidRDefault="007B2D18" w:rsidP="007B2D18">
      <w:pPr>
        <w:numPr>
          <w:ilvl w:val="0"/>
          <w:numId w:val="2"/>
        </w:numPr>
        <w:spacing w:before="100" w:beforeAutospacing="1" w:after="0" w:afterAutospacing="1" w:line="240" w:lineRule="auto"/>
        <w:ind w:left="480" w:firstLine="0"/>
        <w:rPr>
          <w:rFonts w:ascii="Verdana" w:hAnsi="Verdana"/>
          <w:color w:val="222222"/>
          <w:sz w:val="20"/>
          <w:szCs w:val="20"/>
        </w:rPr>
      </w:pPr>
      <w:hyperlink r:id="rId46" w:history="1">
        <w:r>
          <w:rPr>
            <w:rStyle w:val="Hyperlink"/>
            <w:rFonts w:ascii="Verdana" w:hAnsi="Verdana"/>
            <w:color w:val="00709B"/>
            <w:sz w:val="20"/>
            <w:szCs w:val="20"/>
          </w:rPr>
          <w:t>response to acetylcholine</w:t>
        </w:r>
      </w:hyperlink>
      <w:r>
        <w:rPr>
          <w:rStyle w:val="attributionheader"/>
          <w:rFonts w:ascii="Verdana" w:hAnsi="Verdana"/>
          <w:color w:val="222222"/>
          <w:sz w:val="18"/>
          <w:szCs w:val="18"/>
          <w:bdr w:val="none" w:sz="0" w:space="0" w:color="auto" w:frame="1"/>
          <w:shd w:val="clear" w:color="auto" w:fill="FBEFB6"/>
        </w:rPr>
        <w:t> Source: ARUK-UCL</w:t>
      </w:r>
    </w:p>
    <w:p w14:paraId="06D9BF7A" w14:textId="77777777" w:rsidR="007B2D18" w:rsidRDefault="007B2D18" w:rsidP="007B2D18">
      <w:pPr>
        <w:numPr>
          <w:ilvl w:val="0"/>
          <w:numId w:val="2"/>
        </w:numPr>
        <w:spacing w:before="100" w:beforeAutospacing="1" w:after="0" w:afterAutospacing="1" w:line="240" w:lineRule="auto"/>
        <w:ind w:left="480" w:firstLine="0"/>
        <w:rPr>
          <w:rFonts w:ascii="Verdana" w:hAnsi="Verdana"/>
          <w:color w:val="222222"/>
          <w:sz w:val="20"/>
          <w:szCs w:val="20"/>
        </w:rPr>
      </w:pPr>
      <w:hyperlink r:id="rId47" w:history="1">
        <w:r>
          <w:rPr>
            <w:rStyle w:val="Hyperlink"/>
            <w:rFonts w:ascii="Verdana" w:hAnsi="Verdana"/>
            <w:color w:val="00709B"/>
            <w:sz w:val="20"/>
            <w:szCs w:val="20"/>
          </w:rPr>
          <w:t>signal transduction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6A935FD8" w14:textId="77777777" w:rsidR="007B2D18" w:rsidRDefault="007B2D18" w:rsidP="007B2D18">
      <w:pPr>
        <w:numPr>
          <w:ilvl w:val="0"/>
          <w:numId w:val="2"/>
        </w:numPr>
        <w:spacing w:before="100" w:beforeAutospacing="1" w:after="0" w:afterAutospacing="1" w:line="240" w:lineRule="auto"/>
        <w:ind w:left="480" w:firstLine="0"/>
        <w:rPr>
          <w:rFonts w:ascii="Verdana" w:hAnsi="Verdana"/>
          <w:color w:val="222222"/>
          <w:sz w:val="20"/>
          <w:szCs w:val="20"/>
        </w:rPr>
      </w:pPr>
      <w:hyperlink r:id="rId48" w:history="1">
        <w:r>
          <w:rPr>
            <w:rStyle w:val="Hyperlink"/>
            <w:rFonts w:ascii="Verdana" w:hAnsi="Verdana"/>
            <w:color w:val="00709B"/>
            <w:sz w:val="20"/>
            <w:szCs w:val="20"/>
          </w:rPr>
          <w:t>synaptic transmission, cholinergic</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32D0C7F9" w14:textId="77777777" w:rsidR="007B2D18" w:rsidRDefault="007B2D18" w:rsidP="007B2D18">
      <w:pPr>
        <w:numPr>
          <w:ilvl w:val="0"/>
          <w:numId w:val="2"/>
        </w:numPr>
        <w:spacing w:before="100" w:beforeAutospacing="1" w:after="0" w:afterAutospacing="1" w:line="240" w:lineRule="auto"/>
        <w:ind w:left="480" w:firstLine="0"/>
        <w:rPr>
          <w:rFonts w:ascii="Verdana" w:hAnsi="Verdana"/>
          <w:color w:val="222222"/>
          <w:sz w:val="20"/>
          <w:szCs w:val="20"/>
        </w:rPr>
      </w:pPr>
      <w:hyperlink r:id="rId49" w:history="1">
        <w:r>
          <w:rPr>
            <w:rStyle w:val="Hyperlink"/>
            <w:rFonts w:ascii="Verdana" w:hAnsi="Verdana"/>
            <w:color w:val="00709B"/>
            <w:sz w:val="20"/>
            <w:szCs w:val="20"/>
          </w:rPr>
          <w:t>synaptic transmission involved in micturition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0E946185" w14:textId="77777777" w:rsidR="007B2D18" w:rsidRDefault="007B2D18" w:rsidP="007B2D18">
      <w:pPr>
        <w:rPr>
          <w:rFonts w:ascii="Verdana" w:hAnsi="Verdana"/>
          <w:color w:val="222222"/>
          <w:sz w:val="20"/>
          <w:szCs w:val="20"/>
        </w:rPr>
      </w:pPr>
      <w:hyperlink r:id="rId50" w:history="1">
        <w:r>
          <w:rPr>
            <w:rStyle w:val="Hyperlink"/>
            <w:rFonts w:ascii="Verdana" w:hAnsi="Verdana"/>
            <w:color w:val="00709B"/>
            <w:sz w:val="20"/>
            <w:szCs w:val="20"/>
          </w:rPr>
          <w:t xml:space="preserve">View the complete GO annotation on </w:t>
        </w:r>
        <w:proofErr w:type="spellStart"/>
        <w:r>
          <w:rPr>
            <w:rStyle w:val="Hyperlink"/>
            <w:rFonts w:ascii="Verdana" w:hAnsi="Verdana"/>
            <w:color w:val="00709B"/>
            <w:sz w:val="20"/>
            <w:szCs w:val="20"/>
          </w:rPr>
          <w:t>QuickGO</w:t>
        </w:r>
        <w:proofErr w:type="spellEnd"/>
        <w:r>
          <w:rPr>
            <w:rStyle w:val="Hyperlink"/>
            <w:rFonts w:ascii="Verdana" w:hAnsi="Verdana"/>
            <w:color w:val="00709B"/>
            <w:sz w:val="20"/>
            <w:szCs w:val="20"/>
          </w:rPr>
          <w:t xml:space="preserve"> ...</w:t>
        </w:r>
      </w:hyperlink>
    </w:p>
    <w:p w14:paraId="6D6DD86C" w14:textId="77777777" w:rsidR="007B2D18" w:rsidRDefault="007B2D18" w:rsidP="007B2D18">
      <w:pPr>
        <w:pStyle w:val="Heading4"/>
        <w:spacing w:before="0" w:beforeAutospacing="0" w:after="0" w:afterAutospacing="0"/>
        <w:rPr>
          <w:rFonts w:ascii="Helvetica" w:hAnsi="Helvetica" w:cs="Helvetica"/>
          <w:color w:val="4D4D4D"/>
          <w:sz w:val="23"/>
          <w:szCs w:val="23"/>
        </w:rPr>
      </w:pPr>
      <w:proofErr w:type="spellStart"/>
      <w:r>
        <w:rPr>
          <w:rStyle w:val="context-help"/>
          <w:rFonts w:ascii="Helvetica" w:hAnsi="Helvetica" w:cs="Helvetica"/>
          <w:color w:val="4D4D4D"/>
          <w:sz w:val="23"/>
          <w:szCs w:val="23"/>
        </w:rPr>
        <w:t>Keywords</w:t>
      </w:r>
      <w:r>
        <w:rPr>
          <w:rStyle w:val="context-help"/>
          <w:rFonts w:ascii="Garamond" w:hAnsi="Garamond" w:cs="Helvetica"/>
          <w:b w:val="0"/>
          <w:bCs w:val="0"/>
          <w:color w:val="4D4D4D"/>
          <w:sz w:val="18"/>
          <w:szCs w:val="18"/>
          <w:vertAlign w:val="superscript"/>
        </w:rPr>
        <w:t>i</w:t>
      </w:r>
      <w:proofErr w:type="spellEnd"/>
    </w:p>
    <w:tbl>
      <w:tblPr>
        <w:tblW w:w="9255" w:type="dxa"/>
        <w:tblBorders>
          <w:top w:val="single" w:sz="12" w:space="0" w:color="F1F1F1"/>
          <w:left w:val="single" w:sz="12" w:space="0" w:color="F1F1F1"/>
          <w:right w:val="single" w:sz="12" w:space="0" w:color="F1F1F1"/>
        </w:tblBorders>
        <w:shd w:val="clear" w:color="auto" w:fill="FFFFFF"/>
        <w:tblCellMar>
          <w:left w:w="0" w:type="dxa"/>
          <w:right w:w="0" w:type="dxa"/>
        </w:tblCellMar>
        <w:tblLook w:val="04A0" w:firstRow="1" w:lastRow="0" w:firstColumn="1" w:lastColumn="0" w:noHBand="0" w:noVBand="1"/>
      </w:tblPr>
      <w:tblGrid>
        <w:gridCol w:w="2160"/>
        <w:gridCol w:w="7095"/>
      </w:tblGrid>
      <w:tr w:rsidR="007B2D18" w14:paraId="5C5E6C33" w14:textId="77777777" w:rsidTr="007B2D18">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2A148E6A" w14:textId="77777777" w:rsidR="007B2D18" w:rsidRDefault="007B2D18">
            <w:pPr>
              <w:spacing w:before="24"/>
              <w:jc w:val="right"/>
              <w:rPr>
                <w:rFonts w:ascii="Verdana" w:hAnsi="Verdana" w:cs="Times New Roman"/>
                <w:color w:val="222222"/>
                <w:sz w:val="20"/>
                <w:szCs w:val="20"/>
              </w:rPr>
            </w:pPr>
            <w:r>
              <w:rPr>
                <w:rFonts w:ascii="Verdana" w:hAnsi="Verdana"/>
                <w:color w:val="222222"/>
                <w:sz w:val="20"/>
                <w:szCs w:val="20"/>
              </w:rPr>
              <w:t>Molecular function</w:t>
            </w:r>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71A830A0" w14:textId="77777777" w:rsidR="007B2D18" w:rsidRDefault="007B2D18">
            <w:pPr>
              <w:spacing w:before="24"/>
              <w:rPr>
                <w:rFonts w:ascii="Verdana" w:hAnsi="Verdana"/>
                <w:color w:val="222222"/>
                <w:sz w:val="20"/>
                <w:szCs w:val="20"/>
              </w:rPr>
            </w:pPr>
            <w:hyperlink r:id="rId51" w:history="1">
              <w:r>
                <w:rPr>
                  <w:rStyle w:val="Hyperlink"/>
                  <w:rFonts w:ascii="Verdana" w:hAnsi="Verdana"/>
                  <w:color w:val="00709B"/>
                  <w:sz w:val="20"/>
                  <w:szCs w:val="20"/>
                </w:rPr>
                <w:t>Ion channel</w:t>
              </w:r>
            </w:hyperlink>
            <w:r>
              <w:rPr>
                <w:rFonts w:ascii="Verdana" w:hAnsi="Verdana"/>
                <w:color w:val="222222"/>
                <w:sz w:val="20"/>
                <w:szCs w:val="20"/>
              </w:rPr>
              <w:t>, </w:t>
            </w:r>
            <w:hyperlink r:id="rId52" w:history="1">
              <w:r>
                <w:rPr>
                  <w:rStyle w:val="Hyperlink"/>
                  <w:rFonts w:ascii="Verdana" w:hAnsi="Verdana"/>
                  <w:color w:val="00709B"/>
                  <w:sz w:val="20"/>
                  <w:szCs w:val="20"/>
                </w:rPr>
                <w:t>Ligand-gated ion channel</w:t>
              </w:r>
            </w:hyperlink>
            <w:r>
              <w:rPr>
                <w:rFonts w:ascii="Verdana" w:hAnsi="Verdana"/>
                <w:color w:val="222222"/>
                <w:sz w:val="20"/>
                <w:szCs w:val="20"/>
              </w:rPr>
              <w:t>, </w:t>
            </w:r>
            <w:hyperlink r:id="rId53" w:history="1">
              <w:r>
                <w:rPr>
                  <w:rStyle w:val="Hyperlink"/>
                  <w:rFonts w:ascii="Verdana" w:hAnsi="Verdana"/>
                  <w:color w:val="00709B"/>
                  <w:sz w:val="20"/>
                  <w:szCs w:val="20"/>
                </w:rPr>
                <w:t>Receptor</w:t>
              </w:r>
            </w:hyperlink>
          </w:p>
        </w:tc>
      </w:tr>
      <w:tr w:rsidR="007B2D18" w14:paraId="4CC6C44F" w14:textId="77777777" w:rsidTr="007B2D18">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2D69C6F5" w14:textId="77777777" w:rsidR="007B2D18" w:rsidRDefault="007B2D18">
            <w:pPr>
              <w:spacing w:before="24"/>
              <w:jc w:val="right"/>
              <w:rPr>
                <w:rFonts w:ascii="Verdana" w:hAnsi="Verdana"/>
                <w:color w:val="222222"/>
                <w:sz w:val="20"/>
                <w:szCs w:val="20"/>
              </w:rPr>
            </w:pPr>
            <w:r>
              <w:rPr>
                <w:rFonts w:ascii="Verdana" w:hAnsi="Verdana"/>
                <w:color w:val="222222"/>
                <w:sz w:val="20"/>
                <w:szCs w:val="20"/>
              </w:rPr>
              <w:lastRenderedPageBreak/>
              <w:t>Biological process</w:t>
            </w:r>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4E026418" w14:textId="77777777" w:rsidR="007B2D18" w:rsidRDefault="007B2D18">
            <w:pPr>
              <w:spacing w:before="24"/>
              <w:rPr>
                <w:rFonts w:ascii="Verdana" w:hAnsi="Verdana"/>
                <w:color w:val="222222"/>
                <w:sz w:val="20"/>
                <w:szCs w:val="20"/>
              </w:rPr>
            </w:pPr>
            <w:hyperlink r:id="rId54" w:history="1">
              <w:r>
                <w:rPr>
                  <w:rStyle w:val="Hyperlink"/>
                  <w:rFonts w:ascii="Verdana" w:hAnsi="Verdana"/>
                  <w:color w:val="00709B"/>
                  <w:sz w:val="20"/>
                  <w:szCs w:val="20"/>
                </w:rPr>
                <w:t>Ion transport</w:t>
              </w:r>
            </w:hyperlink>
            <w:r>
              <w:rPr>
                <w:rFonts w:ascii="Verdana" w:hAnsi="Verdana"/>
                <w:color w:val="222222"/>
                <w:sz w:val="20"/>
                <w:szCs w:val="20"/>
              </w:rPr>
              <w:t>, </w:t>
            </w:r>
            <w:hyperlink r:id="rId55" w:history="1">
              <w:r>
                <w:rPr>
                  <w:rStyle w:val="Hyperlink"/>
                  <w:rFonts w:ascii="Verdana" w:hAnsi="Verdana"/>
                  <w:color w:val="00709B"/>
                  <w:sz w:val="20"/>
                  <w:szCs w:val="20"/>
                </w:rPr>
                <w:t>Transport</w:t>
              </w:r>
            </w:hyperlink>
          </w:p>
        </w:tc>
      </w:tr>
    </w:tbl>
    <w:p w14:paraId="1DB217E8" w14:textId="0473FF5E" w:rsidR="007B2D18" w:rsidRDefault="007B2D18">
      <w:r>
        <w:rPr>
          <w:rFonts w:ascii="Arial" w:hAnsi="Arial" w:cs="Arial"/>
          <w:color w:val="333333"/>
          <w:sz w:val="18"/>
          <w:szCs w:val="18"/>
          <w:shd w:val="clear" w:color="auto" w:fill="FFFFFF"/>
        </w:rPr>
        <w:t> </w:t>
      </w:r>
      <w:hyperlink r:id="rId56" w:history="1">
        <w:r>
          <w:rPr>
            <w:rStyle w:val="Hyperlink"/>
            <w:rFonts w:ascii="Arial" w:hAnsi="Arial" w:cs="Arial"/>
            <w:color w:val="003399"/>
            <w:sz w:val="18"/>
            <w:szCs w:val="18"/>
            <w:u w:val="none"/>
            <w:shd w:val="clear" w:color="auto" w:fill="FFFFFF"/>
          </w:rPr>
          <w:t>Nicotinic acetylcholine receptors</w:t>
        </w:r>
      </w:hyperlink>
    </w:p>
    <w:tbl>
      <w:tblPr>
        <w:tblW w:w="9255" w:type="dxa"/>
        <w:tblBorders>
          <w:top w:val="single" w:sz="12" w:space="0" w:color="F1F1F1"/>
          <w:left w:val="single" w:sz="12" w:space="0" w:color="F1F1F1"/>
          <w:right w:val="single" w:sz="12" w:space="0" w:color="F1F1F1"/>
        </w:tblBorders>
        <w:shd w:val="clear" w:color="auto" w:fill="FFFFFF"/>
        <w:tblCellMar>
          <w:left w:w="0" w:type="dxa"/>
          <w:right w:w="0" w:type="dxa"/>
        </w:tblCellMar>
        <w:tblLook w:val="04A0" w:firstRow="1" w:lastRow="0" w:firstColumn="1" w:lastColumn="0" w:noHBand="0" w:noVBand="1"/>
      </w:tblPr>
      <w:tblGrid>
        <w:gridCol w:w="2160"/>
        <w:gridCol w:w="7095"/>
      </w:tblGrid>
      <w:tr w:rsidR="007B2D18" w14:paraId="1F6986E4" w14:textId="77777777" w:rsidTr="007B2D18">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52A42304" w14:textId="77777777" w:rsidR="007B2D18" w:rsidRDefault="007B2D18">
            <w:pPr>
              <w:spacing w:before="24"/>
              <w:jc w:val="right"/>
              <w:rPr>
                <w:rFonts w:ascii="Verdana" w:hAnsi="Verdana"/>
                <w:color w:val="222222"/>
                <w:sz w:val="20"/>
                <w:szCs w:val="20"/>
              </w:rPr>
            </w:pPr>
            <w:proofErr w:type="spellStart"/>
            <w:r>
              <w:rPr>
                <w:rStyle w:val="context-help"/>
                <w:rFonts w:ascii="Helvetica" w:hAnsi="Helvetica" w:cs="Helvetica"/>
                <w:color w:val="222222"/>
                <w:sz w:val="20"/>
                <w:szCs w:val="20"/>
              </w:rPr>
              <w:t>DrugBank</w:t>
            </w:r>
            <w:r>
              <w:rPr>
                <w:rStyle w:val="context-help"/>
                <w:rFonts w:ascii="Garamond" w:hAnsi="Garamond" w:cs="Helvetica"/>
                <w:color w:val="222222"/>
                <w:sz w:val="18"/>
                <w:szCs w:val="18"/>
                <w:vertAlign w:val="superscript"/>
              </w:rPr>
              <w:t>i</w:t>
            </w:r>
            <w:proofErr w:type="spellEnd"/>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7DE042A4" w14:textId="77777777" w:rsidR="007B2D18" w:rsidRDefault="007B2D18">
            <w:pPr>
              <w:spacing w:before="24"/>
              <w:rPr>
                <w:rFonts w:ascii="Verdana" w:hAnsi="Verdana"/>
                <w:color w:val="222222"/>
                <w:sz w:val="20"/>
                <w:szCs w:val="20"/>
              </w:rPr>
            </w:pPr>
            <w:hyperlink r:id="rId57" w:history="1">
              <w:r>
                <w:rPr>
                  <w:rStyle w:val="Hyperlink"/>
                  <w:rFonts w:ascii="Verdana" w:hAnsi="Verdana"/>
                  <w:color w:val="00709B"/>
                  <w:sz w:val="20"/>
                  <w:szCs w:val="20"/>
                </w:rPr>
                <w:t>DB01156.</w:t>
              </w:r>
            </w:hyperlink>
            <w:r>
              <w:rPr>
                <w:rFonts w:ascii="Verdana" w:hAnsi="Verdana"/>
                <w:color w:val="222222"/>
                <w:sz w:val="20"/>
                <w:szCs w:val="20"/>
              </w:rPr>
              <w:t> Bupropion. </w:t>
            </w:r>
            <w:r>
              <w:rPr>
                <w:rFonts w:ascii="Verdana" w:hAnsi="Verdana"/>
                <w:color w:val="222222"/>
                <w:sz w:val="20"/>
                <w:szCs w:val="20"/>
              </w:rPr>
              <w:br/>
            </w:r>
            <w:hyperlink r:id="rId58" w:history="1">
              <w:r>
                <w:rPr>
                  <w:rStyle w:val="Hyperlink"/>
                  <w:rFonts w:ascii="Verdana" w:hAnsi="Verdana"/>
                  <w:color w:val="00709B"/>
                  <w:sz w:val="20"/>
                  <w:szCs w:val="20"/>
                </w:rPr>
                <w:t>DB09028.</w:t>
              </w:r>
            </w:hyperlink>
            <w:r>
              <w:rPr>
                <w:rFonts w:ascii="Verdana" w:hAnsi="Verdana"/>
                <w:color w:val="222222"/>
                <w:sz w:val="20"/>
                <w:szCs w:val="20"/>
              </w:rPr>
              <w:t> </w:t>
            </w:r>
            <w:proofErr w:type="spellStart"/>
            <w:r>
              <w:rPr>
                <w:rFonts w:ascii="Verdana" w:hAnsi="Verdana"/>
                <w:color w:val="222222"/>
                <w:sz w:val="20"/>
                <w:szCs w:val="20"/>
              </w:rPr>
              <w:t>Cytisine</w:t>
            </w:r>
            <w:proofErr w:type="spellEnd"/>
            <w:r>
              <w:rPr>
                <w:rFonts w:ascii="Verdana" w:hAnsi="Verdana"/>
                <w:color w:val="222222"/>
                <w:sz w:val="20"/>
                <w:szCs w:val="20"/>
              </w:rPr>
              <w:t>. </w:t>
            </w:r>
            <w:r>
              <w:rPr>
                <w:rFonts w:ascii="Verdana" w:hAnsi="Verdana"/>
                <w:color w:val="222222"/>
                <w:sz w:val="20"/>
                <w:szCs w:val="20"/>
              </w:rPr>
              <w:br/>
            </w:r>
            <w:hyperlink r:id="rId59" w:history="1">
              <w:r>
                <w:rPr>
                  <w:rStyle w:val="Hyperlink"/>
                  <w:rFonts w:ascii="Verdana" w:hAnsi="Verdana"/>
                  <w:color w:val="00709B"/>
                  <w:sz w:val="20"/>
                  <w:szCs w:val="20"/>
                </w:rPr>
                <w:t>DB00514.</w:t>
              </w:r>
            </w:hyperlink>
            <w:r>
              <w:rPr>
                <w:rFonts w:ascii="Verdana" w:hAnsi="Verdana"/>
                <w:color w:val="222222"/>
                <w:sz w:val="20"/>
                <w:szCs w:val="20"/>
              </w:rPr>
              <w:t> Dextromethorphan. </w:t>
            </w:r>
            <w:r>
              <w:rPr>
                <w:rFonts w:ascii="Verdana" w:hAnsi="Verdana"/>
                <w:color w:val="222222"/>
                <w:sz w:val="20"/>
                <w:szCs w:val="20"/>
              </w:rPr>
              <w:br/>
            </w:r>
            <w:hyperlink r:id="rId60" w:history="1">
              <w:r>
                <w:rPr>
                  <w:rStyle w:val="Hyperlink"/>
                  <w:rFonts w:ascii="Verdana" w:hAnsi="Verdana"/>
                  <w:color w:val="00709B"/>
                  <w:sz w:val="20"/>
                  <w:szCs w:val="20"/>
                </w:rPr>
                <w:t>DB00898.</w:t>
              </w:r>
            </w:hyperlink>
            <w:r>
              <w:rPr>
                <w:rFonts w:ascii="Verdana" w:hAnsi="Verdana"/>
                <w:color w:val="222222"/>
                <w:sz w:val="20"/>
                <w:szCs w:val="20"/>
              </w:rPr>
              <w:t> Ethanol. </w:t>
            </w:r>
            <w:r>
              <w:rPr>
                <w:rFonts w:ascii="Verdana" w:hAnsi="Verdana"/>
                <w:color w:val="222222"/>
                <w:sz w:val="20"/>
                <w:szCs w:val="20"/>
              </w:rPr>
              <w:br/>
            </w:r>
            <w:hyperlink r:id="rId61" w:history="1">
              <w:r>
                <w:rPr>
                  <w:rStyle w:val="Hyperlink"/>
                  <w:rFonts w:ascii="Verdana" w:hAnsi="Verdana"/>
                  <w:color w:val="00709B"/>
                  <w:sz w:val="20"/>
                  <w:szCs w:val="20"/>
                </w:rPr>
                <w:t>DB00674.</w:t>
              </w:r>
            </w:hyperlink>
            <w:r>
              <w:rPr>
                <w:rFonts w:ascii="Verdana" w:hAnsi="Verdana"/>
                <w:color w:val="222222"/>
                <w:sz w:val="20"/>
                <w:szCs w:val="20"/>
              </w:rPr>
              <w:t> Galantamine. </w:t>
            </w:r>
            <w:r>
              <w:rPr>
                <w:rFonts w:ascii="Verdana" w:hAnsi="Verdana"/>
                <w:color w:val="222222"/>
                <w:sz w:val="20"/>
                <w:szCs w:val="20"/>
              </w:rPr>
              <w:br/>
            </w:r>
            <w:hyperlink r:id="rId62" w:history="1">
              <w:r>
                <w:rPr>
                  <w:rStyle w:val="Hyperlink"/>
                  <w:rFonts w:ascii="Verdana" w:hAnsi="Verdana"/>
                  <w:color w:val="00709B"/>
                  <w:sz w:val="20"/>
                  <w:szCs w:val="20"/>
                </w:rPr>
                <w:t>DB00848.</w:t>
              </w:r>
            </w:hyperlink>
            <w:r>
              <w:rPr>
                <w:rFonts w:ascii="Verdana" w:hAnsi="Verdana"/>
                <w:color w:val="222222"/>
                <w:sz w:val="20"/>
                <w:szCs w:val="20"/>
              </w:rPr>
              <w:t> Levamisole. </w:t>
            </w:r>
            <w:r>
              <w:rPr>
                <w:rFonts w:ascii="Verdana" w:hAnsi="Verdana"/>
                <w:color w:val="222222"/>
                <w:sz w:val="20"/>
                <w:szCs w:val="20"/>
              </w:rPr>
              <w:br/>
            </w:r>
            <w:hyperlink r:id="rId63" w:history="1">
              <w:r>
                <w:rPr>
                  <w:rStyle w:val="Hyperlink"/>
                  <w:rFonts w:ascii="Verdana" w:hAnsi="Verdana"/>
                  <w:color w:val="00709B"/>
                  <w:sz w:val="20"/>
                  <w:szCs w:val="20"/>
                </w:rPr>
                <w:t>DB01227.</w:t>
              </w:r>
            </w:hyperlink>
            <w:r>
              <w:rPr>
                <w:rFonts w:ascii="Verdana" w:hAnsi="Verdana"/>
                <w:color w:val="222222"/>
                <w:sz w:val="20"/>
                <w:szCs w:val="20"/>
              </w:rPr>
              <w:t> </w:t>
            </w:r>
            <w:proofErr w:type="spellStart"/>
            <w:r>
              <w:rPr>
                <w:rFonts w:ascii="Verdana" w:hAnsi="Verdana"/>
                <w:color w:val="222222"/>
                <w:sz w:val="20"/>
                <w:szCs w:val="20"/>
              </w:rPr>
              <w:t>Levomethadyl</w:t>
            </w:r>
            <w:proofErr w:type="spellEnd"/>
            <w:r>
              <w:rPr>
                <w:rFonts w:ascii="Verdana" w:hAnsi="Verdana"/>
                <w:color w:val="222222"/>
                <w:sz w:val="20"/>
                <w:szCs w:val="20"/>
              </w:rPr>
              <w:t xml:space="preserve"> Acetate. </w:t>
            </w:r>
            <w:r>
              <w:rPr>
                <w:rFonts w:ascii="Verdana" w:hAnsi="Verdana"/>
                <w:color w:val="222222"/>
                <w:sz w:val="20"/>
                <w:szCs w:val="20"/>
              </w:rPr>
              <w:br/>
            </w:r>
            <w:hyperlink r:id="rId64" w:history="1">
              <w:r>
                <w:rPr>
                  <w:rStyle w:val="Hyperlink"/>
                  <w:rFonts w:ascii="Verdana" w:hAnsi="Verdana"/>
                  <w:color w:val="00709B"/>
                  <w:sz w:val="20"/>
                  <w:szCs w:val="20"/>
                </w:rPr>
                <w:t>DB00184.</w:t>
              </w:r>
            </w:hyperlink>
            <w:r>
              <w:rPr>
                <w:rFonts w:ascii="Verdana" w:hAnsi="Verdana"/>
                <w:color w:val="222222"/>
                <w:sz w:val="20"/>
                <w:szCs w:val="20"/>
              </w:rPr>
              <w:t> Nicotine. </w:t>
            </w:r>
            <w:r>
              <w:rPr>
                <w:rFonts w:ascii="Verdana" w:hAnsi="Verdana"/>
                <w:color w:val="222222"/>
                <w:sz w:val="20"/>
                <w:szCs w:val="20"/>
              </w:rPr>
              <w:br/>
            </w:r>
            <w:hyperlink r:id="rId65" w:history="1">
              <w:r>
                <w:rPr>
                  <w:rStyle w:val="Hyperlink"/>
                  <w:rFonts w:ascii="Verdana" w:hAnsi="Verdana"/>
                  <w:color w:val="00709B"/>
                  <w:sz w:val="20"/>
                  <w:szCs w:val="20"/>
                </w:rPr>
                <w:t>DB01090.</w:t>
              </w:r>
            </w:hyperlink>
            <w:r>
              <w:rPr>
                <w:rFonts w:ascii="Verdana" w:hAnsi="Verdana"/>
                <w:color w:val="222222"/>
                <w:sz w:val="20"/>
                <w:szCs w:val="20"/>
              </w:rPr>
              <w:t> Pentolinium. </w:t>
            </w:r>
            <w:r>
              <w:rPr>
                <w:rFonts w:ascii="Verdana" w:hAnsi="Verdana"/>
                <w:color w:val="222222"/>
                <w:sz w:val="20"/>
                <w:szCs w:val="20"/>
              </w:rPr>
              <w:br/>
            </w:r>
            <w:hyperlink r:id="rId66" w:history="1">
              <w:r>
                <w:rPr>
                  <w:rStyle w:val="Hyperlink"/>
                  <w:rFonts w:ascii="Verdana" w:hAnsi="Verdana"/>
                  <w:color w:val="00709B"/>
                  <w:sz w:val="20"/>
                  <w:szCs w:val="20"/>
                </w:rPr>
                <w:t>DB01273.</w:t>
              </w:r>
            </w:hyperlink>
            <w:r>
              <w:rPr>
                <w:rFonts w:ascii="Verdana" w:hAnsi="Verdana"/>
                <w:color w:val="222222"/>
                <w:sz w:val="20"/>
                <w:szCs w:val="20"/>
              </w:rPr>
              <w:t> Varenicline. </w:t>
            </w:r>
          </w:p>
        </w:tc>
      </w:tr>
    </w:tbl>
    <w:p w14:paraId="61EE9D6E" w14:textId="7118723E" w:rsidR="007B2D18" w:rsidRDefault="007B2D18"/>
    <w:p w14:paraId="51E39E19" w14:textId="06BD1FC8" w:rsidR="007B2D18" w:rsidRPr="00D806DD" w:rsidRDefault="007B2D18" w:rsidP="005237EA">
      <w:pPr>
        <w:pStyle w:val="NormalWeb"/>
        <w:spacing w:before="0" w:beforeAutospacing="0" w:after="0" w:afterAutospacing="0"/>
        <w:rPr>
          <w:color w:val="000000"/>
          <w:shd w:val="clear" w:color="auto" w:fill="FFFFFF"/>
        </w:rPr>
      </w:pPr>
      <w:r w:rsidRPr="00D806DD">
        <w:t>CHRNA3 (</w:t>
      </w:r>
      <w:r w:rsidRPr="00D806DD">
        <w:rPr>
          <w:bCs/>
          <w:color w:val="000000"/>
        </w:rPr>
        <w:t xml:space="preserve">Neuronal acetylcholine receptor subunit alpha-3) </w:t>
      </w:r>
      <w:r w:rsidR="005237EA" w:rsidRPr="00D806DD">
        <w:rPr>
          <w:bCs/>
          <w:color w:val="000000"/>
        </w:rPr>
        <w:t>encodes a nicotine neurotransmitter receptor protein called [</w:t>
      </w:r>
      <w:r w:rsidRPr="00D806DD">
        <w:rPr>
          <w:color w:val="000000"/>
          <w:shd w:val="clear" w:color="auto" w:fill="FFFFFF"/>
        </w:rPr>
        <w:t>acetylcholine</w:t>
      </w:r>
      <w:r w:rsidR="005237EA" w:rsidRPr="00D806DD">
        <w:rPr>
          <w:color w:val="000000"/>
          <w:shd w:val="clear" w:color="auto" w:fill="FFFFFF"/>
        </w:rPr>
        <w:t xml:space="preserve">](http://www.uniprot.org/citations/8906617).  It also controls [ion](http://www.uniprot.org/citations/20438829) and [serotonin](https://www.ebi.ac.uk/QuickGO/term/GO:0022850) channels in the brain.  </w:t>
      </w:r>
      <w:r w:rsidRPr="00D806DD">
        <w:rPr>
          <w:color w:val="000000"/>
          <w:shd w:val="clear" w:color="auto" w:fill="FFFFFF"/>
        </w:rPr>
        <w:t xml:space="preserve"> </w:t>
      </w:r>
      <w:r w:rsidR="005237EA" w:rsidRPr="00D806DD">
        <w:rPr>
          <w:color w:val="000000"/>
          <w:shd w:val="clear" w:color="auto" w:fill="FFFFFF"/>
        </w:rPr>
        <w:t>Variants in this gene have been associated with [nicotine dependence](</w:t>
      </w:r>
      <w:hyperlink r:id="rId67" w:history="1">
        <w:r w:rsidR="005237EA" w:rsidRPr="00D806DD">
          <w:rPr>
            <w:rStyle w:val="Hyperlink"/>
          </w:rPr>
          <w:t>https://www.ncbi.nlm.nih.gov/pubmed/22290489</w:t>
        </w:r>
      </w:hyperlink>
      <w:r w:rsidR="005237EA" w:rsidRPr="00D806DD">
        <w:rPr>
          <w:color w:val="000000"/>
          <w:shd w:val="clear" w:color="auto" w:fill="FFFFFF"/>
        </w:rPr>
        <w:t>), increased daily [cigarette consumption](</w:t>
      </w:r>
      <w:hyperlink r:id="rId68" w:history="1">
        <w:r w:rsidR="005237EA" w:rsidRPr="00D806DD">
          <w:rPr>
            <w:rStyle w:val="Hyperlink"/>
          </w:rPr>
          <w:t>https://www.ncbi.nlm.nih.gov/pubmed/23870182</w:t>
        </w:r>
      </w:hyperlink>
      <w:r w:rsidR="005237EA" w:rsidRPr="00D806DD">
        <w:rPr>
          <w:color w:val="000000"/>
          <w:shd w:val="clear" w:color="auto" w:fill="FFFFFF"/>
        </w:rPr>
        <w:t>), [lung cancer](</w:t>
      </w:r>
      <w:hyperlink r:id="rId69" w:history="1">
        <w:r w:rsidR="005237EA" w:rsidRPr="00D806DD">
          <w:rPr>
            <w:rStyle w:val="Hyperlink"/>
          </w:rPr>
          <w:t>https://www.ncbi.nlm.nih.gov/pubmed/19836008</w:t>
        </w:r>
      </w:hyperlink>
      <w:r w:rsidR="005237EA" w:rsidRPr="00D806DD">
        <w:rPr>
          <w:color w:val="000000"/>
          <w:shd w:val="clear" w:color="auto" w:fill="FFFFFF"/>
        </w:rPr>
        <w:t xml:space="preserve">), </w:t>
      </w:r>
      <w:r w:rsidR="00194693" w:rsidRPr="00D806DD">
        <w:rPr>
          <w:color w:val="000000"/>
          <w:shd w:val="clear" w:color="auto" w:fill="FFFFFF"/>
        </w:rPr>
        <w:t>[</w:t>
      </w:r>
      <w:r w:rsidR="005237EA" w:rsidRPr="00D806DD">
        <w:rPr>
          <w:color w:val="000000"/>
          <w:shd w:val="clear" w:color="auto" w:fill="FFFFFF"/>
        </w:rPr>
        <w:t>COPD</w:t>
      </w:r>
      <w:r w:rsidR="00194693" w:rsidRPr="00D806DD">
        <w:rPr>
          <w:color w:val="000000"/>
          <w:shd w:val="clear" w:color="auto" w:fill="FFFFFF"/>
        </w:rPr>
        <w:t>](https://www.ncbi.nlm.nih.gov/pubmed/24621683)</w:t>
      </w:r>
      <w:r w:rsidR="005237EA" w:rsidRPr="00D806DD">
        <w:rPr>
          <w:color w:val="000000"/>
          <w:shd w:val="clear" w:color="auto" w:fill="FFFFFF"/>
        </w:rPr>
        <w:t>, [cocaine dependence](</w:t>
      </w:r>
      <w:hyperlink r:id="rId70" w:history="1">
        <w:r w:rsidR="005237EA" w:rsidRPr="00D806DD">
          <w:rPr>
            <w:rStyle w:val="Hyperlink"/>
          </w:rPr>
          <w:t>https://www.ncbi.nlm.nih.gov/pubmed/20485328</w:t>
        </w:r>
      </w:hyperlink>
      <w:r w:rsidR="005237EA" w:rsidRPr="00D806DD">
        <w:rPr>
          <w:color w:val="000000"/>
          <w:shd w:val="clear" w:color="auto" w:fill="FFFFFF"/>
        </w:rPr>
        <w:t>), and [CFS](</w:t>
      </w:r>
      <w:hyperlink r:id="rId71" w:history="1">
        <w:r w:rsidR="005237EA" w:rsidRPr="00D806DD">
          <w:rPr>
            <w:rStyle w:val="Hyperlink"/>
            <w:shd w:val="clear" w:color="auto" w:fill="FFFFFF"/>
          </w:rPr>
          <w:t>https://www.ncbi.nlm.nih.gov/pubmed/27099524</w:t>
        </w:r>
      </w:hyperlink>
      <w:r w:rsidR="005237EA" w:rsidRPr="00D806DD">
        <w:rPr>
          <w:color w:val="000000"/>
          <w:shd w:val="clear" w:color="auto" w:fill="FFFFFF"/>
        </w:rPr>
        <w:t>).</w:t>
      </w:r>
      <w:r w:rsidRPr="00D806DD">
        <w:rPr>
          <w:color w:val="000000"/>
          <w:shd w:val="clear" w:color="auto" w:fill="FFFFFF"/>
        </w:rPr>
        <w:t xml:space="preserve"> </w:t>
      </w:r>
    </w:p>
    <w:p w14:paraId="711E5E8D" w14:textId="351E2BDA" w:rsidR="005237EA" w:rsidRPr="00D806DD" w:rsidRDefault="005237EA" w:rsidP="005237EA">
      <w:pPr>
        <w:pStyle w:val="NormalWeb"/>
        <w:spacing w:before="0" w:beforeAutospacing="0" w:after="0" w:afterAutospacing="0"/>
        <w:rPr>
          <w:color w:val="000000"/>
          <w:shd w:val="clear" w:color="auto" w:fill="FFFFFF"/>
        </w:rPr>
      </w:pPr>
    </w:p>
    <w:p w14:paraId="618521EF" w14:textId="73351B3C" w:rsidR="005237EA" w:rsidRPr="00D806DD" w:rsidRDefault="005237EA" w:rsidP="005237EA">
      <w:pPr>
        <w:pStyle w:val="NormalWeb"/>
        <w:spacing w:before="0" w:beforeAutospacing="0" w:after="0" w:afterAutospacing="0"/>
        <w:rPr>
          <w:color w:val="000000"/>
          <w:shd w:val="clear" w:color="auto" w:fill="FFFFFF"/>
        </w:rPr>
      </w:pPr>
      <w:r w:rsidRPr="00D806DD">
        <w:rPr>
          <w:color w:val="000000"/>
          <w:shd w:val="clear" w:color="auto" w:fill="FFFFFF"/>
        </w:rPr>
        <w:t>Brain and nervous system, immune system,</w:t>
      </w:r>
    </w:p>
    <w:p w14:paraId="6E31B1E5" w14:textId="38410282" w:rsidR="005237EA" w:rsidRPr="00D806DD" w:rsidRDefault="005237EA" w:rsidP="005237EA">
      <w:pPr>
        <w:pStyle w:val="NormalWeb"/>
        <w:spacing w:before="0" w:beforeAutospacing="0" w:after="0" w:afterAutospacing="0"/>
        <w:rPr>
          <w:color w:val="000000"/>
          <w:shd w:val="clear" w:color="auto" w:fill="FFFFFF"/>
        </w:rPr>
      </w:pPr>
    </w:p>
    <w:p w14:paraId="57607577" w14:textId="77777777" w:rsidR="00612DA8" w:rsidRPr="00D806DD" w:rsidRDefault="00612DA8" w:rsidP="00612DA8">
      <w:pPr>
        <w:rPr>
          <w:rFonts w:ascii="Times New Roman" w:hAnsi="Times New Roman" w:cs="Times New Roman"/>
          <w:sz w:val="24"/>
          <w:szCs w:val="24"/>
        </w:rPr>
      </w:pPr>
    </w:p>
    <w:p w14:paraId="1E010911" w14:textId="7C288784" w:rsidR="00194693" w:rsidRPr="00D806DD" w:rsidRDefault="00D806DD" w:rsidP="00194693">
      <w:pPr>
        <w:rPr>
          <w:rFonts w:ascii="Times New Roman" w:hAnsi="Times New Roman" w:cs="Times New Roman"/>
          <w:sz w:val="24"/>
          <w:szCs w:val="24"/>
        </w:rPr>
      </w:pPr>
      <w:r w:rsidRPr="00D806DD">
        <w:rPr>
          <w:rFonts w:ascii="Times New Roman" w:hAnsi="Times New Roman" w:cs="Times New Roman"/>
          <w:color w:val="000000"/>
          <w:sz w:val="24"/>
          <w:szCs w:val="24"/>
          <w:shd w:val="clear" w:color="auto" w:fill="FFFFFF"/>
        </w:rPr>
        <w:t>T</w:t>
      </w:r>
      <w:r w:rsidR="00851C2A">
        <w:rPr>
          <w:rFonts w:ascii="Times New Roman" w:hAnsi="Times New Roman" w:cs="Times New Roman"/>
          <w:color w:val="000000"/>
          <w:sz w:val="24"/>
          <w:szCs w:val="24"/>
          <w:shd w:val="clear" w:color="auto" w:fill="FFFFFF"/>
        </w:rPr>
        <w:t>he</w:t>
      </w:r>
      <w:r w:rsidRPr="00D806DD">
        <w:rPr>
          <w:rFonts w:ascii="Times New Roman" w:hAnsi="Times New Roman" w:cs="Times New Roman"/>
          <w:color w:val="000000"/>
          <w:sz w:val="24"/>
          <w:szCs w:val="24"/>
          <w:shd w:val="clear" w:color="auto" w:fill="FFFFFF"/>
        </w:rPr>
        <w:t xml:space="preserve"> CHRNA3 protein plays a role in developing nicotine dependence and regulat</w:t>
      </w:r>
      <w:r w:rsidR="00851C2A">
        <w:rPr>
          <w:rFonts w:ascii="Times New Roman" w:hAnsi="Times New Roman" w:cs="Times New Roman"/>
          <w:color w:val="000000"/>
          <w:sz w:val="24"/>
          <w:szCs w:val="24"/>
          <w:shd w:val="clear" w:color="auto" w:fill="FFFFFF"/>
        </w:rPr>
        <w:t>ing</w:t>
      </w:r>
      <w:r w:rsidRPr="00D806DD">
        <w:rPr>
          <w:rFonts w:ascii="Times New Roman" w:hAnsi="Times New Roman" w:cs="Times New Roman"/>
          <w:color w:val="000000"/>
          <w:sz w:val="24"/>
          <w:szCs w:val="24"/>
          <w:shd w:val="clear" w:color="auto" w:fill="FFFFFF"/>
        </w:rPr>
        <w:t xml:space="preserve"> nicotine receptor proliferation and destruction.  </w:t>
      </w:r>
      <w:r w:rsidR="00194693" w:rsidRPr="00D806DD">
        <w:rPr>
          <w:rFonts w:ascii="Times New Roman" w:hAnsi="Times New Roman" w:cs="Times New Roman"/>
          <w:color w:val="000000"/>
          <w:sz w:val="24"/>
          <w:szCs w:val="24"/>
          <w:shd w:val="clear" w:color="auto" w:fill="FFFFFF"/>
        </w:rPr>
        <w:t xml:space="preserve">Incorrect formation of the nicotine neurotransmitter receptor protein has a variety of effects.  This </w:t>
      </w:r>
      <w:r w:rsidRPr="00D806DD">
        <w:rPr>
          <w:rFonts w:ascii="Times New Roman" w:hAnsi="Times New Roman" w:cs="Times New Roman"/>
          <w:color w:val="000000"/>
          <w:sz w:val="24"/>
          <w:szCs w:val="24"/>
          <w:shd w:val="clear" w:color="auto" w:fill="FFFFFF"/>
        </w:rPr>
        <w:t>heterozygous</w:t>
      </w:r>
      <w:r w:rsidR="00194693" w:rsidRPr="00D806DD">
        <w:rPr>
          <w:rFonts w:ascii="Times New Roman" w:hAnsi="Times New Roman" w:cs="Times New Roman"/>
          <w:color w:val="000000"/>
          <w:sz w:val="24"/>
          <w:szCs w:val="24"/>
          <w:shd w:val="clear" w:color="auto" w:fill="FFFFFF"/>
        </w:rPr>
        <w:t xml:space="preserve"> variant causes increased risk of </w:t>
      </w:r>
      <w:r w:rsidRPr="00D806DD">
        <w:rPr>
          <w:rFonts w:ascii="Times New Roman" w:hAnsi="Times New Roman" w:cs="Times New Roman"/>
          <w:color w:val="000000"/>
          <w:sz w:val="24"/>
          <w:szCs w:val="24"/>
          <w:shd w:val="clear" w:color="auto" w:fill="FFFFFF"/>
        </w:rPr>
        <w:t>[</w:t>
      </w:r>
      <w:r w:rsidR="00194693" w:rsidRPr="00D806DD">
        <w:rPr>
          <w:rFonts w:ascii="Times New Roman" w:hAnsi="Times New Roman" w:cs="Times New Roman"/>
          <w:color w:val="000000"/>
          <w:sz w:val="24"/>
          <w:szCs w:val="24"/>
          <w:shd w:val="clear" w:color="auto" w:fill="FFFFFF"/>
        </w:rPr>
        <w:t>lung cancer</w:t>
      </w:r>
      <w:r w:rsidRPr="00D806DD">
        <w:rPr>
          <w:rFonts w:ascii="Times New Roman" w:hAnsi="Times New Roman" w:cs="Times New Roman"/>
          <w:color w:val="000000"/>
          <w:sz w:val="24"/>
          <w:szCs w:val="24"/>
          <w:shd w:val="clear" w:color="auto" w:fill="FFFFFF"/>
        </w:rPr>
        <w:t>](</w:t>
      </w:r>
      <w:hyperlink r:id="rId72" w:history="1">
        <w:r w:rsidRPr="00D806DD">
          <w:rPr>
            <w:rStyle w:val="Hyperlink"/>
            <w:rFonts w:ascii="Times New Roman" w:hAnsi="Times New Roman" w:cs="Times New Roman"/>
            <w:sz w:val="24"/>
            <w:szCs w:val="24"/>
          </w:rPr>
          <w:t>https://www.ncbi.nlm.nih.gov/pubmed/23094028</w:t>
        </w:r>
      </w:hyperlink>
      <w:r w:rsidRPr="00D806DD">
        <w:rPr>
          <w:rFonts w:ascii="Times New Roman" w:hAnsi="Times New Roman" w:cs="Times New Roman"/>
          <w:color w:val="000000"/>
          <w:sz w:val="24"/>
          <w:szCs w:val="24"/>
          <w:shd w:val="clear" w:color="auto" w:fill="FFFFFF"/>
        </w:rPr>
        <w:t>)</w:t>
      </w:r>
      <w:r w:rsidR="00194693" w:rsidRPr="00D806DD">
        <w:rPr>
          <w:rFonts w:ascii="Times New Roman" w:hAnsi="Times New Roman" w:cs="Times New Roman"/>
          <w:color w:val="000000"/>
          <w:sz w:val="24"/>
          <w:szCs w:val="24"/>
          <w:shd w:val="clear" w:color="auto" w:fill="FFFFFF"/>
        </w:rPr>
        <w:t>, with an [odds ratio of 1.2](</w:t>
      </w:r>
      <w:r w:rsidR="00194693" w:rsidRPr="00D806DD">
        <w:rPr>
          <w:rFonts w:ascii="Times New Roman" w:hAnsi="Times New Roman" w:cs="Times New Roman"/>
          <w:sz w:val="24"/>
          <w:szCs w:val="24"/>
        </w:rPr>
        <w:t xml:space="preserve"> </w:t>
      </w:r>
      <w:hyperlink r:id="rId73" w:history="1">
        <w:r w:rsidR="00194693" w:rsidRPr="00D806DD">
          <w:rPr>
            <w:rStyle w:val="Hyperlink"/>
            <w:rFonts w:ascii="Times New Roman" w:hAnsi="Times New Roman" w:cs="Times New Roman"/>
            <w:sz w:val="24"/>
            <w:szCs w:val="24"/>
          </w:rPr>
          <w:t>https://www.ncbi.nlm.nih.gov/pubmed/28827732</w:t>
        </w:r>
      </w:hyperlink>
      <w:r w:rsidR="00194693" w:rsidRPr="00D806DD">
        <w:rPr>
          <w:rFonts w:ascii="Times New Roman" w:hAnsi="Times New Roman" w:cs="Times New Roman"/>
          <w:color w:val="000000"/>
          <w:sz w:val="24"/>
          <w:szCs w:val="24"/>
          <w:shd w:val="clear" w:color="auto" w:fill="FFFFFF"/>
        </w:rPr>
        <w:t>), and [COPD](</w:t>
      </w:r>
      <w:hyperlink r:id="rId74" w:history="1">
        <w:r w:rsidR="00194693" w:rsidRPr="00D806DD">
          <w:rPr>
            <w:rStyle w:val="Hyperlink"/>
            <w:rFonts w:ascii="Times New Roman" w:hAnsi="Times New Roman" w:cs="Times New Roman"/>
            <w:sz w:val="24"/>
            <w:szCs w:val="24"/>
            <w:shd w:val="clear" w:color="auto" w:fill="FFFFFF"/>
          </w:rPr>
          <w:t>https://www.ncbi.nlm.nih.gov/pubmed/24621683</w:t>
        </w:r>
      </w:hyperlink>
      <w:r w:rsidR="00194693" w:rsidRPr="00D806DD">
        <w:rPr>
          <w:rFonts w:ascii="Times New Roman" w:hAnsi="Times New Roman" w:cs="Times New Roman"/>
          <w:color w:val="000000"/>
          <w:sz w:val="24"/>
          <w:szCs w:val="24"/>
          <w:shd w:val="clear" w:color="auto" w:fill="FFFFFF"/>
        </w:rPr>
        <w:t>), with an [odds ratio of 1.39](</w:t>
      </w:r>
      <w:hyperlink r:id="rId75" w:history="1">
        <w:r w:rsidR="00194693" w:rsidRPr="00D806DD">
          <w:rPr>
            <w:rStyle w:val="Hyperlink"/>
            <w:rFonts w:ascii="Times New Roman" w:hAnsi="Times New Roman" w:cs="Times New Roman"/>
            <w:sz w:val="24"/>
            <w:szCs w:val="24"/>
            <w:shd w:val="clear" w:color="auto" w:fill="FFFFFF"/>
          </w:rPr>
          <w:t>https://www.ncbi.nlm.nih.gov/pubmed/24621683</w:t>
        </w:r>
      </w:hyperlink>
      <w:r w:rsidR="00194693" w:rsidRPr="00D806DD">
        <w:rPr>
          <w:rFonts w:ascii="Times New Roman" w:hAnsi="Times New Roman" w:cs="Times New Roman"/>
          <w:color w:val="000000"/>
          <w:sz w:val="24"/>
          <w:szCs w:val="24"/>
          <w:shd w:val="clear" w:color="auto" w:fill="FFFFFF"/>
        </w:rPr>
        <w:t>).  It causes an [increase](</w:t>
      </w:r>
      <w:hyperlink r:id="rId76" w:history="1">
        <w:r w:rsidR="00194693" w:rsidRPr="00D806DD">
          <w:rPr>
            <w:rStyle w:val="Hyperlink"/>
            <w:rFonts w:ascii="Times New Roman" w:hAnsi="Times New Roman" w:cs="Times New Roman"/>
            <w:sz w:val="24"/>
            <w:szCs w:val="24"/>
          </w:rPr>
          <w:t>https://www.ncbi.nlm.nih.gov/pubmed/29030599</w:t>
        </w:r>
      </w:hyperlink>
      <w:r w:rsidR="00194693" w:rsidRPr="00D806DD">
        <w:rPr>
          <w:rFonts w:ascii="Times New Roman" w:hAnsi="Times New Roman" w:cs="Times New Roman"/>
          <w:sz w:val="24"/>
          <w:szCs w:val="24"/>
        </w:rPr>
        <w:t>)</w:t>
      </w:r>
      <w:r w:rsidR="00194693" w:rsidRPr="00D806DD">
        <w:rPr>
          <w:rFonts w:ascii="Times New Roman" w:hAnsi="Times New Roman" w:cs="Times New Roman"/>
          <w:color w:val="000000"/>
          <w:sz w:val="24"/>
          <w:szCs w:val="24"/>
          <w:shd w:val="clear" w:color="auto" w:fill="FFFFFF"/>
        </w:rPr>
        <w:t xml:space="preserve"> of [one</w:t>
      </w:r>
      <w:r w:rsidRPr="00D806DD">
        <w:rPr>
          <w:rFonts w:ascii="Times New Roman" w:hAnsi="Times New Roman" w:cs="Times New Roman"/>
          <w:color w:val="000000"/>
          <w:sz w:val="24"/>
          <w:szCs w:val="24"/>
          <w:shd w:val="clear" w:color="auto" w:fill="FFFFFF"/>
        </w:rPr>
        <w:t>](</w:t>
      </w:r>
      <w:hyperlink r:id="rId77" w:history="1">
        <w:r w:rsidRPr="00D806DD">
          <w:rPr>
            <w:rStyle w:val="Hyperlink"/>
            <w:rFonts w:ascii="Times New Roman" w:hAnsi="Times New Roman" w:cs="Times New Roman"/>
            <w:sz w:val="24"/>
            <w:szCs w:val="24"/>
            <w:shd w:val="clear" w:color="auto" w:fill="FFFFFF"/>
          </w:rPr>
          <w:t>https://www.ncbi.nlm.nih.gov/pubmed/21559498</w:t>
        </w:r>
      </w:hyperlink>
      <w:r w:rsidRPr="00D806DD">
        <w:rPr>
          <w:rFonts w:ascii="Times New Roman" w:hAnsi="Times New Roman" w:cs="Times New Roman"/>
          <w:color w:val="000000"/>
          <w:sz w:val="24"/>
          <w:szCs w:val="24"/>
          <w:shd w:val="clear" w:color="auto" w:fill="FFFFFF"/>
        </w:rPr>
        <w:t xml:space="preserve">) </w:t>
      </w:r>
      <w:r w:rsidR="00194693" w:rsidRPr="00D806DD">
        <w:rPr>
          <w:rFonts w:ascii="Times New Roman" w:hAnsi="Times New Roman" w:cs="Times New Roman"/>
          <w:color w:val="000000"/>
          <w:sz w:val="24"/>
          <w:szCs w:val="24"/>
          <w:shd w:val="clear" w:color="auto" w:fill="FFFFFF"/>
        </w:rPr>
        <w:t xml:space="preserve"> </w:t>
      </w:r>
      <w:r w:rsidRPr="00D806DD">
        <w:rPr>
          <w:rFonts w:ascii="Times New Roman" w:hAnsi="Times New Roman" w:cs="Times New Roman"/>
          <w:color w:val="000000"/>
          <w:sz w:val="24"/>
          <w:szCs w:val="24"/>
          <w:shd w:val="clear" w:color="auto" w:fill="FFFFFF"/>
        </w:rPr>
        <w:t>[</w:t>
      </w:r>
      <w:r w:rsidR="00194693" w:rsidRPr="00D806DD">
        <w:rPr>
          <w:rFonts w:ascii="Times New Roman" w:hAnsi="Times New Roman" w:cs="Times New Roman"/>
          <w:color w:val="000000"/>
          <w:sz w:val="24"/>
          <w:szCs w:val="24"/>
          <w:shd w:val="clear" w:color="auto" w:fill="FFFFFF"/>
        </w:rPr>
        <w:t>cigarette](</w:t>
      </w:r>
      <w:hyperlink r:id="rId78" w:history="1">
        <w:r w:rsidR="00194693" w:rsidRPr="00D806DD">
          <w:rPr>
            <w:rStyle w:val="Hyperlink"/>
            <w:rFonts w:ascii="Times New Roman" w:hAnsi="Times New Roman" w:cs="Times New Roman"/>
            <w:sz w:val="24"/>
            <w:szCs w:val="24"/>
          </w:rPr>
          <w:t>https://www.ncbi.nlm.nih.gov/pubmed/23870182</w:t>
        </w:r>
      </w:hyperlink>
      <w:r w:rsidR="00194693" w:rsidRPr="00D806DD">
        <w:rPr>
          <w:rFonts w:ascii="Times New Roman" w:hAnsi="Times New Roman" w:cs="Times New Roman"/>
          <w:color w:val="000000"/>
          <w:sz w:val="24"/>
          <w:szCs w:val="24"/>
          <w:shd w:val="clear" w:color="auto" w:fill="FFFFFF"/>
        </w:rPr>
        <w:t>) [per day](</w:t>
      </w:r>
      <w:hyperlink r:id="rId79" w:history="1">
        <w:r w:rsidR="00194693" w:rsidRPr="00D806DD">
          <w:rPr>
            <w:rStyle w:val="Hyperlink"/>
            <w:rFonts w:ascii="Times New Roman" w:hAnsi="Times New Roman" w:cs="Times New Roman"/>
            <w:sz w:val="24"/>
            <w:szCs w:val="24"/>
          </w:rPr>
          <w:t>https://www.ncbi.nlm.nih.gov/pubmed/20418890</w:t>
        </w:r>
      </w:hyperlink>
      <w:r w:rsidR="00194693" w:rsidRPr="00D806DD">
        <w:rPr>
          <w:rFonts w:ascii="Times New Roman" w:hAnsi="Times New Roman" w:cs="Times New Roman"/>
          <w:sz w:val="24"/>
          <w:szCs w:val="24"/>
        </w:rPr>
        <w:t>)</w:t>
      </w:r>
      <w:r w:rsidR="00194693" w:rsidRPr="00D806DD">
        <w:rPr>
          <w:rFonts w:ascii="Times New Roman" w:hAnsi="Times New Roman" w:cs="Times New Roman"/>
          <w:color w:val="000000"/>
          <w:sz w:val="24"/>
          <w:szCs w:val="24"/>
          <w:shd w:val="clear" w:color="auto" w:fill="FFFFFF"/>
        </w:rPr>
        <w:t xml:space="preserve"> </w:t>
      </w:r>
      <w:r w:rsidR="00194693" w:rsidRPr="00D806DD">
        <w:rPr>
          <w:rFonts w:ascii="Times New Roman" w:hAnsi="Times New Roman" w:cs="Times New Roman"/>
          <w:sz w:val="24"/>
          <w:szCs w:val="24"/>
        </w:rPr>
        <w:t xml:space="preserve">and may also cause [smoking persistence]( </w:t>
      </w:r>
      <w:hyperlink r:id="rId80" w:history="1">
        <w:r w:rsidR="00194693" w:rsidRPr="00D806DD">
          <w:rPr>
            <w:rStyle w:val="Hyperlink"/>
            <w:rFonts w:ascii="Times New Roman" w:hAnsi="Times New Roman" w:cs="Times New Roman"/>
            <w:sz w:val="24"/>
            <w:szCs w:val="24"/>
          </w:rPr>
          <w:t>https://www.ncbi.nlm.nih.gov/pubmed/22290489</w:t>
        </w:r>
      </w:hyperlink>
      <w:r w:rsidR="00194693" w:rsidRPr="00D806DD">
        <w:rPr>
          <w:rFonts w:ascii="Times New Roman" w:hAnsi="Times New Roman" w:cs="Times New Roman"/>
          <w:sz w:val="24"/>
          <w:szCs w:val="24"/>
        </w:rPr>
        <w:t>)</w:t>
      </w:r>
      <w:r w:rsidR="00194693" w:rsidRPr="00D806DD">
        <w:rPr>
          <w:rFonts w:ascii="Times New Roman" w:hAnsi="Times New Roman" w:cs="Times New Roman"/>
          <w:color w:val="000000"/>
          <w:sz w:val="24"/>
          <w:szCs w:val="24"/>
          <w:shd w:val="clear" w:color="auto" w:fill="FFFFFF"/>
        </w:rPr>
        <w:t xml:space="preserve">.  </w:t>
      </w:r>
      <w:r w:rsidRPr="00D806DD">
        <w:rPr>
          <w:rFonts w:ascii="Times New Roman" w:hAnsi="Times New Roman" w:cs="Times New Roman"/>
          <w:color w:val="000000"/>
          <w:sz w:val="24"/>
          <w:szCs w:val="24"/>
          <w:shd w:val="clear" w:color="auto" w:fill="FFFFFF"/>
        </w:rPr>
        <w:t xml:space="preserve">However, the C allele is protective, with a [decrease of 3.25 packs per year per C </w:t>
      </w:r>
      <w:r w:rsidRPr="00D806DD">
        <w:rPr>
          <w:rFonts w:ascii="Times New Roman" w:hAnsi="Times New Roman" w:cs="Times New Roman"/>
          <w:color w:val="000000"/>
          <w:sz w:val="24"/>
          <w:szCs w:val="24"/>
          <w:shd w:val="clear" w:color="auto" w:fill="FFFFFF"/>
        </w:rPr>
        <w:lastRenderedPageBreak/>
        <w:t>allele](</w:t>
      </w:r>
      <w:hyperlink r:id="rId81" w:history="1">
        <w:r w:rsidRPr="00D806DD">
          <w:rPr>
            <w:rStyle w:val="Hyperlink"/>
            <w:rFonts w:ascii="Times New Roman" w:hAnsi="Times New Roman" w:cs="Times New Roman"/>
            <w:sz w:val="24"/>
            <w:szCs w:val="24"/>
          </w:rPr>
          <w:t>https://www.ncbi.nlm.nih.gov/pubmed/21436384</w:t>
        </w:r>
      </w:hyperlink>
      <w:r w:rsidRPr="00D806DD">
        <w:rPr>
          <w:rFonts w:ascii="Times New Roman" w:hAnsi="Times New Roman" w:cs="Times New Roman"/>
          <w:color w:val="000000"/>
          <w:sz w:val="24"/>
          <w:szCs w:val="24"/>
          <w:shd w:val="clear" w:color="auto" w:fill="FFFFFF"/>
        </w:rPr>
        <w:t xml:space="preserve">). </w:t>
      </w:r>
      <w:r w:rsidR="00851C2A">
        <w:rPr>
          <w:rFonts w:ascii="Times New Roman" w:hAnsi="Times New Roman" w:cs="Times New Roman"/>
          <w:color w:val="000000"/>
          <w:sz w:val="24"/>
          <w:szCs w:val="24"/>
          <w:shd w:val="clear" w:color="auto" w:fill="FFFFFF"/>
        </w:rPr>
        <w:t xml:space="preserve">Finally, </w:t>
      </w:r>
      <w:r w:rsidR="00194693" w:rsidRPr="00D806DD">
        <w:rPr>
          <w:rFonts w:ascii="Times New Roman" w:hAnsi="Times New Roman" w:cs="Times New Roman"/>
          <w:color w:val="000000"/>
          <w:sz w:val="24"/>
          <w:szCs w:val="24"/>
          <w:shd w:val="clear" w:color="auto" w:fill="FFFFFF"/>
        </w:rPr>
        <w:t xml:space="preserve">his variant may cause an increase in [cocaine </w:t>
      </w:r>
      <w:proofErr w:type="gramStart"/>
      <w:r w:rsidR="00194693" w:rsidRPr="00D806DD">
        <w:rPr>
          <w:rFonts w:ascii="Times New Roman" w:hAnsi="Times New Roman" w:cs="Times New Roman"/>
          <w:color w:val="000000"/>
          <w:sz w:val="24"/>
          <w:szCs w:val="24"/>
          <w:shd w:val="clear" w:color="auto" w:fill="FFFFFF"/>
        </w:rPr>
        <w:t>dependence](</w:t>
      </w:r>
      <w:proofErr w:type="gramEnd"/>
      <w:r w:rsidRPr="00D806DD">
        <w:rPr>
          <w:rFonts w:ascii="Times New Roman" w:hAnsi="Times New Roman" w:cs="Times New Roman"/>
          <w:sz w:val="24"/>
          <w:szCs w:val="24"/>
        </w:rPr>
        <w:fldChar w:fldCharType="begin"/>
      </w:r>
      <w:r w:rsidRPr="00D806DD">
        <w:rPr>
          <w:rFonts w:ascii="Times New Roman" w:hAnsi="Times New Roman" w:cs="Times New Roman"/>
          <w:sz w:val="24"/>
          <w:szCs w:val="24"/>
        </w:rPr>
        <w:instrText xml:space="preserve"> HYPERLINK "https://www.ncbi.nlm.nih.gov/pubmed/20485328" </w:instrText>
      </w:r>
      <w:r w:rsidRPr="00D806DD">
        <w:rPr>
          <w:rFonts w:ascii="Times New Roman" w:hAnsi="Times New Roman" w:cs="Times New Roman"/>
          <w:sz w:val="24"/>
          <w:szCs w:val="24"/>
        </w:rPr>
        <w:fldChar w:fldCharType="separate"/>
      </w:r>
      <w:r w:rsidRPr="00D806DD">
        <w:rPr>
          <w:rStyle w:val="Hyperlink"/>
          <w:rFonts w:ascii="Times New Roman" w:hAnsi="Times New Roman" w:cs="Times New Roman"/>
          <w:sz w:val="24"/>
          <w:szCs w:val="24"/>
        </w:rPr>
        <w:t>https://www.ncbi.nlm.nih.gov/pubmed/20485328</w:t>
      </w:r>
      <w:r w:rsidRPr="00D806DD">
        <w:rPr>
          <w:rFonts w:ascii="Times New Roman" w:hAnsi="Times New Roman" w:cs="Times New Roman"/>
          <w:sz w:val="24"/>
          <w:szCs w:val="24"/>
        </w:rPr>
        <w:fldChar w:fldCharType="end"/>
      </w:r>
      <w:r w:rsidR="00194693" w:rsidRPr="00D806DD">
        <w:rPr>
          <w:rFonts w:ascii="Times New Roman" w:hAnsi="Times New Roman" w:cs="Times New Roman"/>
          <w:color w:val="000000"/>
          <w:sz w:val="24"/>
          <w:szCs w:val="24"/>
          <w:shd w:val="clear" w:color="auto" w:fill="FFFFFF"/>
        </w:rPr>
        <w:t xml:space="preserve">).   </w:t>
      </w:r>
    </w:p>
    <w:p w14:paraId="5C2B3B92" w14:textId="77777777" w:rsidR="00D806DD" w:rsidRPr="00D806DD" w:rsidRDefault="00D806DD" w:rsidP="00D806DD">
      <w:pPr>
        <w:pStyle w:val="NormalWeb"/>
        <w:spacing w:before="0" w:beforeAutospacing="0" w:after="0" w:afterAutospacing="0"/>
        <w:rPr>
          <w:color w:val="000000"/>
          <w:shd w:val="clear" w:color="auto" w:fill="FFFFFF"/>
        </w:rPr>
      </w:pPr>
    </w:p>
    <w:p w14:paraId="63F1D6F7" w14:textId="4CA9B747" w:rsidR="00D806DD" w:rsidRDefault="00D806DD" w:rsidP="00D806DD">
      <w:pPr>
        <w:pStyle w:val="NormalWeb"/>
        <w:spacing w:before="0" w:beforeAutospacing="0" w:after="0" w:afterAutospacing="0"/>
        <w:rPr>
          <w:color w:val="000000"/>
          <w:shd w:val="clear" w:color="auto" w:fill="FFFFFF"/>
        </w:rPr>
      </w:pPr>
      <w:r w:rsidRPr="00D806DD">
        <w:rPr>
          <w:color w:val="000000"/>
          <w:shd w:val="clear" w:color="auto" w:fill="FFFFFF"/>
        </w:rPr>
        <w:t>People also should not smoke or use cocaine.  If you do smoke, be aware of your risk for dependency and increased difficulty of quitting smoking.</w:t>
      </w:r>
    </w:p>
    <w:p w14:paraId="25E90E37" w14:textId="78D30B46" w:rsidR="00BA0AF0" w:rsidRDefault="00BA0AF0" w:rsidP="00D806DD">
      <w:pPr>
        <w:pStyle w:val="NormalWeb"/>
        <w:spacing w:before="0" w:beforeAutospacing="0" w:after="0" w:afterAutospacing="0"/>
        <w:rPr>
          <w:color w:val="000000"/>
          <w:shd w:val="clear" w:color="auto" w:fill="FFFFFF"/>
        </w:rPr>
      </w:pPr>
    </w:p>
    <w:p w14:paraId="5158E13C" w14:textId="77777777" w:rsidR="00BA0AF0" w:rsidRDefault="00BA0AF0" w:rsidP="00BA0AF0">
      <w:pPr>
        <w:pStyle w:val="NormalWeb"/>
        <w:spacing w:before="0" w:beforeAutospacing="0" w:after="0" w:afterAutospacing="0"/>
        <w:rPr>
          <w:color w:val="000000"/>
          <w:shd w:val="clear" w:color="auto" w:fill="FFFFFF"/>
        </w:rPr>
      </w:pPr>
      <w:r>
        <w:rPr>
          <w:color w:val="000000"/>
          <w:shd w:val="clear" w:color="auto" w:fill="FFFFFF"/>
        </w:rPr>
        <w:t xml:space="preserve">[Many factors may decrease your risk of lung </w:t>
      </w:r>
      <w:proofErr w:type="gramStart"/>
      <w:r>
        <w:rPr>
          <w:color w:val="000000"/>
          <w:shd w:val="clear" w:color="auto" w:fill="FFFFFF"/>
        </w:rPr>
        <w:t>cancer](</w:t>
      </w:r>
      <w:proofErr w:type="gramEnd"/>
      <w:r w:rsidRPr="00BA0AF0">
        <w:rPr>
          <w:color w:val="000000"/>
          <w:shd w:val="clear" w:color="auto" w:fill="FFFFFF"/>
        </w:rPr>
        <w:t>https://www.cancer.gov/types/lung/patient/lung-prevention-pdq#section/all</w:t>
      </w:r>
      <w:r>
        <w:rPr>
          <w:color w:val="000000"/>
          <w:shd w:val="clear" w:color="auto" w:fill="FFFFFF"/>
        </w:rPr>
        <w:t>).</w:t>
      </w:r>
    </w:p>
    <w:p w14:paraId="59C5A319" w14:textId="77777777" w:rsidR="00BA0AF0"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 xml:space="preserve">*   </w:t>
      </w:r>
      <w:r>
        <w:rPr>
          <w:color w:val="000000"/>
          <w:shd w:val="clear" w:color="auto" w:fill="FFFFFF"/>
        </w:rPr>
        <w:t>Avoid c</w:t>
      </w:r>
      <w:r w:rsidRPr="0083564D">
        <w:rPr>
          <w:color w:val="000000"/>
          <w:shd w:val="clear" w:color="auto" w:fill="FFFFFF"/>
        </w:rPr>
        <w:t>igarette, cigar, pipe smoking</w:t>
      </w:r>
      <w:r>
        <w:rPr>
          <w:color w:val="000000"/>
          <w:shd w:val="clear" w:color="auto" w:fill="FFFFFF"/>
        </w:rPr>
        <w:t>, and s</w:t>
      </w:r>
      <w:r w:rsidRPr="0083564D">
        <w:rPr>
          <w:color w:val="000000"/>
          <w:shd w:val="clear" w:color="auto" w:fill="FFFFFF"/>
        </w:rPr>
        <w:t>econdhand smoke</w:t>
      </w:r>
      <w:r>
        <w:rPr>
          <w:color w:val="000000"/>
          <w:shd w:val="clear" w:color="auto" w:fill="FFFFFF"/>
        </w:rPr>
        <w:t>.</w:t>
      </w:r>
    </w:p>
    <w:p w14:paraId="0E0EC9EE" w14:textId="77777777" w:rsidR="00BA0AF0" w:rsidRPr="0083564D"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 xml:space="preserve">*   </w:t>
      </w:r>
      <w:r>
        <w:rPr>
          <w:color w:val="000000"/>
          <w:shd w:val="clear" w:color="auto" w:fill="FFFFFF"/>
        </w:rPr>
        <w:t>Have less than one alcoholic drink per day.</w:t>
      </w:r>
    </w:p>
    <w:p w14:paraId="68656CC0" w14:textId="77777777" w:rsidR="00BA0AF0" w:rsidRPr="0083564D"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 xml:space="preserve">*   </w:t>
      </w:r>
      <w:r>
        <w:rPr>
          <w:color w:val="000000"/>
          <w:shd w:val="clear" w:color="auto" w:fill="FFFFFF"/>
        </w:rPr>
        <w:t>Practice safe sex, and avoid HIV</w:t>
      </w:r>
      <w:r w:rsidRPr="0083564D">
        <w:rPr>
          <w:color w:val="000000"/>
          <w:shd w:val="clear" w:color="auto" w:fill="FFFFFF"/>
        </w:rPr>
        <w:t xml:space="preserve"> infection</w:t>
      </w:r>
    </w:p>
    <w:p w14:paraId="1609F1EC" w14:textId="77777777" w:rsidR="00BA0AF0"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 xml:space="preserve">*   </w:t>
      </w:r>
      <w:r>
        <w:rPr>
          <w:color w:val="000000"/>
          <w:shd w:val="clear" w:color="auto" w:fill="FFFFFF"/>
        </w:rPr>
        <w:t>Avoid r</w:t>
      </w:r>
      <w:r w:rsidRPr="0083564D">
        <w:rPr>
          <w:color w:val="000000"/>
          <w:shd w:val="clear" w:color="auto" w:fill="FFFFFF"/>
        </w:rPr>
        <w:t>adiation exposure</w:t>
      </w:r>
      <w:r>
        <w:rPr>
          <w:color w:val="000000"/>
          <w:shd w:val="clear" w:color="auto" w:fill="FFFFFF"/>
        </w:rPr>
        <w:t>, including a</w:t>
      </w:r>
      <w:r w:rsidRPr="0083564D">
        <w:rPr>
          <w:color w:val="000000"/>
          <w:shd w:val="clear" w:color="auto" w:fill="FFFFFF"/>
        </w:rPr>
        <w:t>tomic bomb radiation, radiation therapy, imaging tests, and radon</w:t>
      </w:r>
      <w:r>
        <w:rPr>
          <w:color w:val="000000"/>
          <w:shd w:val="clear" w:color="auto" w:fill="FFFFFF"/>
        </w:rPr>
        <w:t>.</w:t>
      </w:r>
    </w:p>
    <w:p w14:paraId="16929AFE" w14:textId="77777777" w:rsidR="00BA0AF0"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 xml:space="preserve">*   </w:t>
      </w:r>
      <w:r>
        <w:rPr>
          <w:color w:val="000000"/>
          <w:shd w:val="clear" w:color="auto" w:fill="FFFFFF"/>
        </w:rPr>
        <w:t>Avoid environmental toxins such as a</w:t>
      </w:r>
      <w:r w:rsidRPr="0083564D">
        <w:rPr>
          <w:color w:val="000000"/>
          <w:shd w:val="clear" w:color="auto" w:fill="FFFFFF"/>
        </w:rPr>
        <w:t>sbestos</w:t>
      </w:r>
      <w:r>
        <w:rPr>
          <w:color w:val="000000"/>
          <w:shd w:val="clear" w:color="auto" w:fill="FFFFFF"/>
        </w:rPr>
        <w:t>, a</w:t>
      </w:r>
      <w:r w:rsidRPr="0083564D">
        <w:rPr>
          <w:color w:val="000000"/>
          <w:shd w:val="clear" w:color="auto" w:fill="FFFFFF"/>
        </w:rPr>
        <w:t>rsenic</w:t>
      </w:r>
      <w:r>
        <w:rPr>
          <w:color w:val="000000"/>
          <w:shd w:val="clear" w:color="auto" w:fill="FFFFFF"/>
        </w:rPr>
        <w:t>, c</w:t>
      </w:r>
      <w:r w:rsidRPr="0083564D">
        <w:rPr>
          <w:color w:val="000000"/>
          <w:shd w:val="clear" w:color="auto" w:fill="FFFFFF"/>
        </w:rPr>
        <w:t>hromium</w:t>
      </w:r>
      <w:r>
        <w:rPr>
          <w:color w:val="000000"/>
          <w:shd w:val="clear" w:color="auto" w:fill="FFFFFF"/>
        </w:rPr>
        <w:t>, n</w:t>
      </w:r>
      <w:r w:rsidRPr="0083564D">
        <w:rPr>
          <w:color w:val="000000"/>
          <w:shd w:val="clear" w:color="auto" w:fill="FFFFFF"/>
        </w:rPr>
        <w:t>ickel</w:t>
      </w:r>
      <w:r>
        <w:rPr>
          <w:color w:val="000000"/>
          <w:shd w:val="clear" w:color="auto" w:fill="FFFFFF"/>
        </w:rPr>
        <w:t>, b</w:t>
      </w:r>
      <w:r w:rsidRPr="0083564D">
        <w:rPr>
          <w:color w:val="000000"/>
          <w:shd w:val="clear" w:color="auto" w:fill="FFFFFF"/>
        </w:rPr>
        <w:t>eryllium</w:t>
      </w:r>
      <w:r>
        <w:rPr>
          <w:color w:val="000000"/>
          <w:shd w:val="clear" w:color="auto" w:fill="FFFFFF"/>
        </w:rPr>
        <w:t>, c</w:t>
      </w:r>
      <w:r w:rsidRPr="0083564D">
        <w:rPr>
          <w:color w:val="000000"/>
          <w:shd w:val="clear" w:color="auto" w:fill="FFFFFF"/>
        </w:rPr>
        <w:t>admium</w:t>
      </w:r>
      <w:r>
        <w:rPr>
          <w:color w:val="000000"/>
          <w:shd w:val="clear" w:color="auto" w:fill="FFFFFF"/>
        </w:rPr>
        <w:t>, t</w:t>
      </w:r>
      <w:r w:rsidRPr="0083564D">
        <w:rPr>
          <w:color w:val="000000"/>
          <w:shd w:val="clear" w:color="auto" w:fill="FFFFFF"/>
        </w:rPr>
        <w:t>ar</w:t>
      </w:r>
      <w:r>
        <w:rPr>
          <w:color w:val="000000"/>
          <w:shd w:val="clear" w:color="auto" w:fill="FFFFFF"/>
        </w:rPr>
        <w:t>,</w:t>
      </w:r>
      <w:r w:rsidRPr="0083564D">
        <w:rPr>
          <w:color w:val="000000"/>
          <w:shd w:val="clear" w:color="auto" w:fill="FFFFFF"/>
        </w:rPr>
        <w:t xml:space="preserve"> soot</w:t>
      </w:r>
      <w:r>
        <w:rPr>
          <w:color w:val="000000"/>
          <w:shd w:val="clear" w:color="auto" w:fill="FFFFFF"/>
        </w:rPr>
        <w:t>, and sir pollution.</w:t>
      </w:r>
    </w:p>
    <w:p w14:paraId="1150B4DA" w14:textId="77777777" w:rsidR="00BA0AF0"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w:t>
      </w:r>
      <w:proofErr w:type="gramStart"/>
      <w:r w:rsidRPr="00D806DD">
        <w:rPr>
          <w:color w:val="000000"/>
          <w:shd w:val="clear" w:color="auto" w:fill="FFFFFF"/>
        </w:rPr>
        <w:t xml:space="preserve">   </w:t>
      </w:r>
      <w:r>
        <w:rPr>
          <w:color w:val="000000"/>
          <w:shd w:val="clear" w:color="auto" w:fill="FFFFFF"/>
        </w:rPr>
        <w:t>[</w:t>
      </w:r>
      <w:proofErr w:type="gramEnd"/>
      <w:r w:rsidRPr="0083564D">
        <w:rPr>
          <w:color w:val="000000"/>
          <w:shd w:val="clear" w:color="auto" w:fill="FFFFFF"/>
        </w:rPr>
        <w:t>Beta carotene supplements</w:t>
      </w:r>
      <w:r>
        <w:rPr>
          <w:color w:val="000000"/>
          <w:shd w:val="clear" w:color="auto" w:fill="FFFFFF"/>
        </w:rPr>
        <w:t>, made from</w:t>
      </w:r>
      <w:r w:rsidRPr="00BA0AF0">
        <w:rPr>
          <w:color w:val="000000"/>
          <w:shd w:val="clear" w:color="auto" w:fill="FFFFFF"/>
        </w:rPr>
        <w:t xml:space="preserve"> yellow and orange fruits and vegetables and dark green, leafy vegetables</w:t>
      </w:r>
      <w:r>
        <w:rPr>
          <w:color w:val="000000"/>
          <w:shd w:val="clear" w:color="auto" w:fill="FFFFFF"/>
        </w:rPr>
        <w:t>,](</w:t>
      </w:r>
      <w:r w:rsidRPr="0083564D">
        <w:rPr>
          <w:color w:val="000000"/>
          <w:shd w:val="clear" w:color="auto" w:fill="FFFFFF"/>
        </w:rPr>
        <w:t>https://www.cancer.gov/types/lung/patient/lung-prevention-pdq#section/all</w:t>
      </w:r>
      <w:r>
        <w:rPr>
          <w:color w:val="000000"/>
          <w:shd w:val="clear" w:color="auto" w:fill="FFFFFF"/>
        </w:rPr>
        <w:t>)</w:t>
      </w:r>
      <w:r w:rsidRPr="0083564D">
        <w:rPr>
          <w:color w:val="000000"/>
          <w:shd w:val="clear" w:color="auto" w:fill="FFFFFF"/>
        </w:rPr>
        <w:t xml:space="preserve"> </w:t>
      </w:r>
      <w:r>
        <w:rPr>
          <w:color w:val="000000"/>
          <w:shd w:val="clear" w:color="auto" w:fill="FFFFFF"/>
        </w:rPr>
        <w:t>may help reduce risk for</w:t>
      </w:r>
      <w:r w:rsidRPr="0083564D">
        <w:rPr>
          <w:color w:val="000000"/>
          <w:shd w:val="clear" w:color="auto" w:fill="FFFFFF"/>
        </w:rPr>
        <w:t xml:space="preserve"> heavy smokers</w:t>
      </w:r>
      <w:r>
        <w:rPr>
          <w:color w:val="000000"/>
          <w:shd w:val="clear" w:color="auto" w:fill="FFFFFF"/>
        </w:rPr>
        <w:t>.</w:t>
      </w:r>
    </w:p>
    <w:p w14:paraId="4FD0A9A8" w14:textId="77777777" w:rsidR="00D806DD" w:rsidRPr="00D806DD" w:rsidRDefault="00D806DD" w:rsidP="00D806DD">
      <w:pPr>
        <w:pStyle w:val="NormalWeb"/>
        <w:spacing w:before="0" w:beforeAutospacing="0" w:after="0" w:afterAutospacing="0"/>
        <w:rPr>
          <w:color w:val="000000"/>
          <w:shd w:val="clear" w:color="auto" w:fill="FFFFFF"/>
        </w:rPr>
      </w:pPr>
    </w:p>
    <w:p w14:paraId="13096967" w14:textId="77777777" w:rsidR="00D806DD" w:rsidRPr="00D806DD" w:rsidRDefault="00D806DD" w:rsidP="00D806DD">
      <w:pPr>
        <w:rPr>
          <w:rFonts w:ascii="Times New Roman" w:hAnsi="Times New Roman" w:cs="Times New Roman"/>
          <w:sz w:val="24"/>
          <w:szCs w:val="24"/>
        </w:rPr>
      </w:pPr>
      <w:r w:rsidRPr="00D806DD">
        <w:rPr>
          <w:rFonts w:ascii="Times New Roman" w:hAnsi="Times New Roman" w:cs="Times New Roman"/>
          <w:color w:val="000000"/>
          <w:sz w:val="24"/>
          <w:szCs w:val="24"/>
          <w:shd w:val="clear" w:color="auto" w:fill="FFFFFF"/>
        </w:rPr>
        <w:t>[</w:t>
      </w:r>
      <w:hyperlink r:id="rId82" w:history="1">
        <w:r w:rsidRPr="00D806DD">
          <w:rPr>
            <w:rFonts w:ascii="Times New Roman" w:hAnsi="Times New Roman" w:cs="Times New Roman"/>
            <w:color w:val="000000"/>
            <w:sz w:val="24"/>
            <w:szCs w:val="24"/>
            <w:shd w:val="clear" w:color="auto" w:fill="FFFFFF"/>
          </w:rPr>
          <w:t>Medications</w:t>
        </w:r>
      </w:hyperlink>
      <w:r w:rsidRPr="00D806DD">
        <w:rPr>
          <w:rFonts w:ascii="Times New Roman" w:hAnsi="Times New Roman" w:cs="Times New Roman"/>
          <w:color w:val="000000"/>
          <w:sz w:val="24"/>
          <w:szCs w:val="24"/>
          <w:shd w:val="clear" w:color="auto" w:fill="FFFFFF"/>
        </w:rPr>
        <w:t>](</w:t>
      </w:r>
      <w:hyperlink r:id="rId83" w:history="1">
        <w:r w:rsidRPr="00D806DD">
          <w:rPr>
            <w:rStyle w:val="Hyperlink"/>
            <w:rFonts w:ascii="Times New Roman" w:hAnsi="Times New Roman" w:cs="Times New Roman"/>
            <w:sz w:val="24"/>
            <w:szCs w:val="24"/>
          </w:rPr>
          <w:t>http://www.uniprot.org/uniprot/P32297</w:t>
        </w:r>
      </w:hyperlink>
      <w:r w:rsidRPr="00D806DD">
        <w:rPr>
          <w:rFonts w:ascii="Times New Roman" w:hAnsi="Times New Roman" w:cs="Times New Roman"/>
          <w:sz w:val="24"/>
          <w:szCs w:val="24"/>
        </w:rPr>
        <w:t>)</w:t>
      </w:r>
      <w:r w:rsidRPr="00D806DD">
        <w:rPr>
          <w:rFonts w:ascii="Times New Roman" w:hAnsi="Times New Roman" w:cs="Times New Roman"/>
          <w:color w:val="000000"/>
          <w:sz w:val="24"/>
          <w:szCs w:val="24"/>
          <w:shd w:val="clear" w:color="auto" w:fill="FFFFFF"/>
        </w:rPr>
        <w:t xml:space="preserve"> indicated for use for CHRNA3 issues include: </w:t>
      </w:r>
      <w:r w:rsidRPr="00D806DD">
        <w:rPr>
          <w:rFonts w:ascii="Times New Roman" w:hAnsi="Times New Roman" w:cs="Times New Roman"/>
          <w:color w:val="222222"/>
          <w:sz w:val="24"/>
          <w:szCs w:val="24"/>
        </w:rPr>
        <w:t>[Bupropion](</w:t>
      </w:r>
      <w:hyperlink r:id="rId84" w:history="1">
        <w:r w:rsidRPr="00D806DD">
          <w:rPr>
            <w:rStyle w:val="Hyperlink"/>
            <w:rFonts w:ascii="Times New Roman" w:hAnsi="Times New Roman" w:cs="Times New Roman"/>
            <w:sz w:val="24"/>
            <w:szCs w:val="24"/>
          </w:rPr>
          <w:t>https://www.drugbank.ca/drugs/DB01156</w:t>
        </w:r>
      </w:hyperlink>
      <w:r w:rsidRPr="00D806DD">
        <w:rPr>
          <w:rFonts w:ascii="Times New Roman" w:hAnsi="Times New Roman" w:cs="Times New Roman"/>
          <w:color w:val="222222"/>
          <w:sz w:val="24"/>
          <w:szCs w:val="24"/>
        </w:rPr>
        <w:t>), [Cytisine](</w:t>
      </w:r>
      <w:hyperlink r:id="rId85" w:history="1">
        <w:r w:rsidRPr="00D806DD">
          <w:rPr>
            <w:rStyle w:val="Hyperlink"/>
            <w:rFonts w:ascii="Times New Roman" w:hAnsi="Times New Roman" w:cs="Times New Roman"/>
            <w:sz w:val="24"/>
            <w:szCs w:val="24"/>
          </w:rPr>
          <w:t>https://www.drugbank.ca/drugs/DB09028</w:t>
        </w:r>
      </w:hyperlink>
      <w:r w:rsidRPr="00D806DD">
        <w:rPr>
          <w:rFonts w:ascii="Times New Roman" w:hAnsi="Times New Roman" w:cs="Times New Roman"/>
          <w:color w:val="222222"/>
          <w:sz w:val="24"/>
          <w:szCs w:val="24"/>
        </w:rPr>
        <w:t>), [Dextromethorphan](</w:t>
      </w:r>
      <w:hyperlink r:id="rId86" w:history="1">
        <w:r w:rsidRPr="00D806DD">
          <w:rPr>
            <w:rStyle w:val="Hyperlink"/>
            <w:rFonts w:ascii="Times New Roman" w:hAnsi="Times New Roman" w:cs="Times New Roman"/>
            <w:sz w:val="24"/>
            <w:szCs w:val="24"/>
          </w:rPr>
          <w:t>https://www.drugbank.ca/drugs/DB00514</w:t>
        </w:r>
      </w:hyperlink>
      <w:r w:rsidRPr="00D806DD">
        <w:rPr>
          <w:rFonts w:ascii="Times New Roman" w:hAnsi="Times New Roman" w:cs="Times New Roman"/>
          <w:color w:val="222222"/>
          <w:sz w:val="24"/>
          <w:szCs w:val="24"/>
        </w:rPr>
        <w:t>), [Ethanol](</w:t>
      </w:r>
      <w:hyperlink r:id="rId87" w:history="1">
        <w:r w:rsidRPr="00D806DD">
          <w:rPr>
            <w:rStyle w:val="Hyperlink"/>
            <w:rFonts w:ascii="Times New Roman" w:hAnsi="Times New Roman" w:cs="Times New Roman"/>
            <w:sz w:val="24"/>
            <w:szCs w:val="24"/>
          </w:rPr>
          <w:t>https://www.drugbank.ca/drugs/DB00898</w:t>
        </w:r>
      </w:hyperlink>
      <w:r w:rsidRPr="00D806DD">
        <w:rPr>
          <w:rFonts w:ascii="Times New Roman" w:hAnsi="Times New Roman" w:cs="Times New Roman"/>
          <w:color w:val="222222"/>
          <w:sz w:val="24"/>
          <w:szCs w:val="24"/>
        </w:rPr>
        <w:t>), [Galantamine](</w:t>
      </w:r>
      <w:hyperlink r:id="rId88" w:history="1">
        <w:r w:rsidRPr="00D806DD">
          <w:rPr>
            <w:rStyle w:val="Hyperlink"/>
            <w:rFonts w:ascii="Times New Roman" w:hAnsi="Times New Roman" w:cs="Times New Roman"/>
            <w:sz w:val="24"/>
            <w:szCs w:val="24"/>
          </w:rPr>
          <w:t>https://www.drugbank.ca/drugs/DB00674</w:t>
        </w:r>
      </w:hyperlink>
      <w:r w:rsidRPr="00D806DD">
        <w:rPr>
          <w:rFonts w:ascii="Times New Roman" w:hAnsi="Times New Roman" w:cs="Times New Roman"/>
          <w:color w:val="222222"/>
          <w:sz w:val="24"/>
          <w:szCs w:val="24"/>
        </w:rPr>
        <w:t>), [Levamisole](</w:t>
      </w:r>
      <w:hyperlink r:id="rId89" w:history="1">
        <w:r w:rsidRPr="00D806DD">
          <w:rPr>
            <w:rStyle w:val="Hyperlink"/>
            <w:rFonts w:ascii="Times New Roman" w:hAnsi="Times New Roman" w:cs="Times New Roman"/>
            <w:sz w:val="24"/>
            <w:szCs w:val="24"/>
          </w:rPr>
          <w:t>https://www.drugbank.ca/drugs/DB00848</w:t>
        </w:r>
      </w:hyperlink>
      <w:r w:rsidRPr="00D806DD">
        <w:rPr>
          <w:rFonts w:ascii="Times New Roman" w:hAnsi="Times New Roman" w:cs="Times New Roman"/>
          <w:color w:val="222222"/>
          <w:sz w:val="24"/>
          <w:szCs w:val="24"/>
        </w:rPr>
        <w:t>), [Levomethadyl Acetate](</w:t>
      </w:r>
      <w:hyperlink r:id="rId90" w:history="1">
        <w:r w:rsidRPr="00D806DD">
          <w:rPr>
            <w:rStyle w:val="Hyperlink"/>
            <w:rFonts w:ascii="Times New Roman" w:hAnsi="Times New Roman" w:cs="Times New Roman"/>
            <w:sz w:val="24"/>
            <w:szCs w:val="24"/>
          </w:rPr>
          <w:t>https://www.drugbank.ca/drugs/DB01227</w:t>
        </w:r>
      </w:hyperlink>
      <w:r w:rsidRPr="00D806DD">
        <w:rPr>
          <w:rFonts w:ascii="Times New Roman" w:hAnsi="Times New Roman" w:cs="Times New Roman"/>
          <w:color w:val="222222"/>
          <w:sz w:val="24"/>
          <w:szCs w:val="24"/>
        </w:rPr>
        <w:t>), [Nicotine](</w:t>
      </w:r>
      <w:hyperlink r:id="rId91" w:history="1">
        <w:r w:rsidRPr="00D806DD">
          <w:rPr>
            <w:rStyle w:val="Hyperlink"/>
            <w:rFonts w:ascii="Times New Roman" w:hAnsi="Times New Roman" w:cs="Times New Roman"/>
            <w:sz w:val="24"/>
            <w:szCs w:val="24"/>
          </w:rPr>
          <w:t>https://www.drugbank.ca/drugs/DB00184</w:t>
        </w:r>
      </w:hyperlink>
      <w:r w:rsidRPr="00D806DD">
        <w:rPr>
          <w:rFonts w:ascii="Times New Roman" w:hAnsi="Times New Roman" w:cs="Times New Roman"/>
          <w:color w:val="222222"/>
          <w:sz w:val="24"/>
          <w:szCs w:val="24"/>
        </w:rPr>
        <w:t>), [Pentolinium](</w:t>
      </w:r>
      <w:hyperlink r:id="rId92" w:history="1">
        <w:r w:rsidRPr="00D806DD">
          <w:rPr>
            <w:rStyle w:val="Hyperlink"/>
            <w:rFonts w:ascii="Times New Roman" w:hAnsi="Times New Roman" w:cs="Times New Roman"/>
            <w:sz w:val="24"/>
            <w:szCs w:val="24"/>
          </w:rPr>
          <w:t>https://www.drugbank.ca/drugs/DB01090</w:t>
        </w:r>
      </w:hyperlink>
      <w:r w:rsidRPr="00D806DD">
        <w:rPr>
          <w:rFonts w:ascii="Times New Roman" w:hAnsi="Times New Roman" w:cs="Times New Roman"/>
          <w:color w:val="222222"/>
          <w:sz w:val="24"/>
          <w:szCs w:val="24"/>
        </w:rPr>
        <w:t>), and [Varenicline](https://www.drugbank.ca/drugs/DB01273).</w:t>
      </w:r>
    </w:p>
    <w:p w14:paraId="5E5C8256" w14:textId="77777777" w:rsidR="00194693" w:rsidRPr="00D806DD" w:rsidRDefault="00194693" w:rsidP="00194693">
      <w:pPr>
        <w:rPr>
          <w:rFonts w:ascii="Times New Roman" w:hAnsi="Times New Roman" w:cs="Times New Roman"/>
          <w:color w:val="000000"/>
          <w:sz w:val="24"/>
          <w:szCs w:val="24"/>
          <w:shd w:val="clear" w:color="auto" w:fill="FFFFFF"/>
        </w:rPr>
      </w:pPr>
    </w:p>
    <w:p w14:paraId="4095BD07" w14:textId="4A77843E" w:rsidR="00612DA8" w:rsidRPr="00D806DD" w:rsidRDefault="00D806DD" w:rsidP="00194693">
      <w:pPr>
        <w:rPr>
          <w:rFonts w:ascii="Times New Roman" w:hAnsi="Times New Roman" w:cs="Times New Roman"/>
          <w:color w:val="000000"/>
          <w:sz w:val="24"/>
          <w:szCs w:val="24"/>
          <w:shd w:val="clear" w:color="auto" w:fill="FFFFFF"/>
        </w:rPr>
      </w:pPr>
      <w:r w:rsidRPr="00D806DD">
        <w:rPr>
          <w:rFonts w:ascii="Times New Roman" w:hAnsi="Times New Roman" w:cs="Times New Roman"/>
          <w:color w:val="000000"/>
          <w:sz w:val="24"/>
          <w:szCs w:val="24"/>
          <w:shd w:val="clear" w:color="auto" w:fill="FFFFFF"/>
        </w:rPr>
        <w:t>T</w:t>
      </w:r>
      <w:r w:rsidR="00851C2A">
        <w:rPr>
          <w:rFonts w:ascii="Times New Roman" w:hAnsi="Times New Roman" w:cs="Times New Roman"/>
          <w:color w:val="000000"/>
          <w:sz w:val="24"/>
          <w:szCs w:val="24"/>
          <w:shd w:val="clear" w:color="auto" w:fill="FFFFFF"/>
        </w:rPr>
        <w:t>he</w:t>
      </w:r>
      <w:r w:rsidRPr="00D806DD">
        <w:rPr>
          <w:rFonts w:ascii="Times New Roman" w:hAnsi="Times New Roman" w:cs="Times New Roman"/>
          <w:color w:val="000000"/>
          <w:sz w:val="24"/>
          <w:szCs w:val="24"/>
          <w:shd w:val="clear" w:color="auto" w:fill="FFFFFF"/>
        </w:rPr>
        <w:t xml:space="preserve"> CHRNA3 protein plays a role in developing nicotine dependence and regulat</w:t>
      </w:r>
      <w:r w:rsidR="00851C2A">
        <w:rPr>
          <w:rFonts w:ascii="Times New Roman" w:hAnsi="Times New Roman" w:cs="Times New Roman"/>
          <w:color w:val="000000"/>
          <w:sz w:val="24"/>
          <w:szCs w:val="24"/>
          <w:shd w:val="clear" w:color="auto" w:fill="FFFFFF"/>
        </w:rPr>
        <w:t>ing</w:t>
      </w:r>
      <w:r w:rsidRPr="00D806DD">
        <w:rPr>
          <w:rFonts w:ascii="Times New Roman" w:hAnsi="Times New Roman" w:cs="Times New Roman"/>
          <w:color w:val="000000"/>
          <w:sz w:val="24"/>
          <w:szCs w:val="24"/>
          <w:shd w:val="clear" w:color="auto" w:fill="FFFFFF"/>
        </w:rPr>
        <w:t xml:space="preserve"> nicotine receptor proliferation and destruction.  </w:t>
      </w:r>
      <w:r w:rsidR="00612DA8" w:rsidRPr="00D806DD">
        <w:rPr>
          <w:rFonts w:ascii="Times New Roman" w:hAnsi="Times New Roman" w:cs="Times New Roman"/>
          <w:color w:val="000000"/>
          <w:sz w:val="24"/>
          <w:szCs w:val="24"/>
          <w:shd w:val="clear" w:color="auto" w:fill="FFFFFF"/>
        </w:rPr>
        <w:t xml:space="preserve">Incorrect formation of the nicotine neurotransmitter receptor protein has a variety of effects.  </w:t>
      </w:r>
      <w:r w:rsidR="00194693" w:rsidRPr="00D806DD">
        <w:rPr>
          <w:rFonts w:ascii="Times New Roman" w:hAnsi="Times New Roman" w:cs="Times New Roman"/>
          <w:color w:val="000000"/>
          <w:sz w:val="24"/>
          <w:szCs w:val="24"/>
          <w:shd w:val="clear" w:color="auto" w:fill="FFFFFF"/>
        </w:rPr>
        <w:t xml:space="preserve">This homozygous variant causes greatly increased risk of </w:t>
      </w:r>
      <w:r w:rsidRPr="00D806DD">
        <w:rPr>
          <w:rFonts w:ascii="Times New Roman" w:hAnsi="Times New Roman" w:cs="Times New Roman"/>
          <w:color w:val="000000"/>
          <w:sz w:val="24"/>
          <w:szCs w:val="24"/>
          <w:shd w:val="clear" w:color="auto" w:fill="FFFFFF"/>
        </w:rPr>
        <w:t>[lung cancer](</w:t>
      </w:r>
      <w:hyperlink r:id="rId93" w:history="1">
        <w:r w:rsidRPr="00D806DD">
          <w:rPr>
            <w:rStyle w:val="Hyperlink"/>
            <w:rFonts w:ascii="Times New Roman" w:hAnsi="Times New Roman" w:cs="Times New Roman"/>
            <w:sz w:val="24"/>
            <w:szCs w:val="24"/>
          </w:rPr>
          <w:t>https://www.ncbi.nlm.nih.gov/pubmed/23094028</w:t>
        </w:r>
      </w:hyperlink>
      <w:r w:rsidRPr="00D806DD">
        <w:rPr>
          <w:rFonts w:ascii="Times New Roman" w:hAnsi="Times New Roman" w:cs="Times New Roman"/>
          <w:color w:val="000000"/>
          <w:sz w:val="24"/>
          <w:szCs w:val="24"/>
          <w:shd w:val="clear" w:color="auto" w:fill="FFFFFF"/>
        </w:rPr>
        <w:t>)</w:t>
      </w:r>
      <w:r w:rsidR="00194693" w:rsidRPr="00D806DD">
        <w:rPr>
          <w:rFonts w:ascii="Times New Roman" w:hAnsi="Times New Roman" w:cs="Times New Roman"/>
          <w:color w:val="000000"/>
          <w:sz w:val="24"/>
          <w:szCs w:val="24"/>
          <w:shd w:val="clear" w:color="auto" w:fill="FFFFFF"/>
        </w:rPr>
        <w:t>, with an [odds ratio of 1.</w:t>
      </w:r>
      <w:r w:rsidRPr="00D806DD">
        <w:rPr>
          <w:rFonts w:ascii="Times New Roman" w:hAnsi="Times New Roman" w:cs="Times New Roman"/>
          <w:color w:val="000000"/>
          <w:sz w:val="24"/>
          <w:szCs w:val="24"/>
          <w:shd w:val="clear" w:color="auto" w:fill="FFFFFF"/>
        </w:rPr>
        <w:t>44</w:t>
      </w:r>
      <w:r w:rsidR="00194693" w:rsidRPr="00D806DD">
        <w:rPr>
          <w:rFonts w:ascii="Times New Roman" w:hAnsi="Times New Roman" w:cs="Times New Roman"/>
          <w:color w:val="000000"/>
          <w:sz w:val="24"/>
          <w:szCs w:val="24"/>
          <w:shd w:val="clear" w:color="auto" w:fill="FFFFFF"/>
        </w:rPr>
        <w:t>](</w:t>
      </w:r>
      <w:hyperlink r:id="rId94" w:history="1">
        <w:r w:rsidRPr="00D806DD">
          <w:rPr>
            <w:rStyle w:val="Hyperlink"/>
            <w:rFonts w:ascii="Times New Roman" w:hAnsi="Times New Roman" w:cs="Times New Roman"/>
            <w:sz w:val="24"/>
            <w:szCs w:val="24"/>
            <w:shd w:val="clear" w:color="auto" w:fill="FFFFFF"/>
          </w:rPr>
          <w:t>https://www.ncbi.nlm.nih.gov/pubmed/21559498</w:t>
        </w:r>
      </w:hyperlink>
      <w:r w:rsidR="00194693" w:rsidRPr="00D806DD">
        <w:rPr>
          <w:rFonts w:ascii="Times New Roman" w:hAnsi="Times New Roman" w:cs="Times New Roman"/>
          <w:color w:val="000000"/>
          <w:sz w:val="24"/>
          <w:szCs w:val="24"/>
          <w:shd w:val="clear" w:color="auto" w:fill="FFFFFF"/>
        </w:rPr>
        <w:t>), and [COPD](</w:t>
      </w:r>
      <w:hyperlink r:id="rId95" w:history="1">
        <w:r w:rsidR="00194693" w:rsidRPr="00D806DD">
          <w:rPr>
            <w:rStyle w:val="Hyperlink"/>
            <w:rFonts w:ascii="Times New Roman" w:hAnsi="Times New Roman" w:cs="Times New Roman"/>
            <w:sz w:val="24"/>
            <w:szCs w:val="24"/>
            <w:shd w:val="clear" w:color="auto" w:fill="FFFFFF"/>
          </w:rPr>
          <w:t>https://www.ncbi.nlm.nih.gov/pubmed/24621683</w:t>
        </w:r>
      </w:hyperlink>
      <w:r w:rsidR="00194693" w:rsidRPr="00D806DD">
        <w:rPr>
          <w:rFonts w:ascii="Times New Roman" w:hAnsi="Times New Roman" w:cs="Times New Roman"/>
          <w:color w:val="000000"/>
          <w:sz w:val="24"/>
          <w:szCs w:val="24"/>
          <w:shd w:val="clear" w:color="auto" w:fill="FFFFFF"/>
        </w:rPr>
        <w:t>), with an [odds ratio of 1.39](</w:t>
      </w:r>
      <w:hyperlink r:id="rId96" w:history="1">
        <w:r w:rsidR="00194693" w:rsidRPr="00D806DD">
          <w:rPr>
            <w:rStyle w:val="Hyperlink"/>
            <w:rFonts w:ascii="Times New Roman" w:hAnsi="Times New Roman" w:cs="Times New Roman"/>
            <w:sz w:val="24"/>
            <w:szCs w:val="24"/>
            <w:shd w:val="clear" w:color="auto" w:fill="FFFFFF"/>
          </w:rPr>
          <w:t>https://www.ncbi.nlm.nih.gov/pubmed/24621683</w:t>
        </w:r>
      </w:hyperlink>
      <w:r w:rsidR="00194693" w:rsidRPr="00D806DD">
        <w:rPr>
          <w:rFonts w:ascii="Times New Roman" w:hAnsi="Times New Roman" w:cs="Times New Roman"/>
          <w:color w:val="000000"/>
          <w:sz w:val="24"/>
          <w:szCs w:val="24"/>
          <w:shd w:val="clear" w:color="auto" w:fill="FFFFFF"/>
        </w:rPr>
        <w:t>).     It causes an [increase](</w:t>
      </w:r>
      <w:hyperlink r:id="rId97" w:history="1">
        <w:r w:rsidR="00194693" w:rsidRPr="00D806DD">
          <w:rPr>
            <w:rStyle w:val="Hyperlink"/>
            <w:rFonts w:ascii="Times New Roman" w:hAnsi="Times New Roman" w:cs="Times New Roman"/>
            <w:sz w:val="24"/>
            <w:szCs w:val="24"/>
          </w:rPr>
          <w:t>https://www.ncbi.nlm.nih.gov/pubmed/29030599</w:t>
        </w:r>
      </w:hyperlink>
      <w:r w:rsidR="00194693" w:rsidRPr="00D806DD">
        <w:rPr>
          <w:rFonts w:ascii="Times New Roman" w:hAnsi="Times New Roman" w:cs="Times New Roman"/>
          <w:sz w:val="24"/>
          <w:szCs w:val="24"/>
        </w:rPr>
        <w:t>)</w:t>
      </w:r>
      <w:r w:rsidR="00194693" w:rsidRPr="00D806DD">
        <w:rPr>
          <w:rFonts w:ascii="Times New Roman" w:hAnsi="Times New Roman" w:cs="Times New Roman"/>
          <w:color w:val="000000"/>
          <w:sz w:val="24"/>
          <w:szCs w:val="24"/>
          <w:shd w:val="clear" w:color="auto" w:fill="FFFFFF"/>
        </w:rPr>
        <w:t xml:space="preserve"> of [two</w:t>
      </w:r>
      <w:r w:rsidRPr="00D806DD">
        <w:rPr>
          <w:rFonts w:ascii="Times New Roman" w:hAnsi="Times New Roman" w:cs="Times New Roman"/>
          <w:color w:val="000000"/>
          <w:sz w:val="24"/>
          <w:szCs w:val="24"/>
          <w:shd w:val="clear" w:color="auto" w:fill="FFFFFF"/>
        </w:rPr>
        <w:t>](</w:t>
      </w:r>
      <w:hyperlink r:id="rId98" w:history="1">
        <w:r w:rsidRPr="00D806DD">
          <w:rPr>
            <w:rStyle w:val="Hyperlink"/>
            <w:rFonts w:ascii="Times New Roman" w:hAnsi="Times New Roman" w:cs="Times New Roman"/>
            <w:sz w:val="24"/>
            <w:szCs w:val="24"/>
            <w:shd w:val="clear" w:color="auto" w:fill="FFFFFF"/>
          </w:rPr>
          <w:t>https://www.ncbi.nlm.nih.gov/pubmed/21559498</w:t>
        </w:r>
      </w:hyperlink>
      <w:r w:rsidRPr="00D806DD">
        <w:rPr>
          <w:rFonts w:ascii="Times New Roman" w:hAnsi="Times New Roman" w:cs="Times New Roman"/>
          <w:color w:val="000000"/>
          <w:sz w:val="24"/>
          <w:szCs w:val="24"/>
          <w:shd w:val="clear" w:color="auto" w:fill="FFFFFF"/>
        </w:rPr>
        <w:t>)</w:t>
      </w:r>
      <w:r w:rsidR="00194693" w:rsidRPr="00D806DD">
        <w:rPr>
          <w:rFonts w:ascii="Times New Roman" w:hAnsi="Times New Roman" w:cs="Times New Roman"/>
          <w:color w:val="000000"/>
          <w:sz w:val="24"/>
          <w:szCs w:val="24"/>
          <w:shd w:val="clear" w:color="auto" w:fill="FFFFFF"/>
        </w:rPr>
        <w:t xml:space="preserve"> </w:t>
      </w:r>
      <w:r w:rsidRPr="00D806DD">
        <w:rPr>
          <w:rFonts w:ascii="Times New Roman" w:hAnsi="Times New Roman" w:cs="Times New Roman"/>
          <w:color w:val="000000"/>
          <w:sz w:val="24"/>
          <w:szCs w:val="24"/>
          <w:shd w:val="clear" w:color="auto" w:fill="FFFFFF"/>
        </w:rPr>
        <w:t>[</w:t>
      </w:r>
      <w:r w:rsidR="00194693" w:rsidRPr="00D806DD">
        <w:rPr>
          <w:rFonts w:ascii="Times New Roman" w:hAnsi="Times New Roman" w:cs="Times New Roman"/>
          <w:color w:val="000000"/>
          <w:sz w:val="24"/>
          <w:szCs w:val="24"/>
          <w:shd w:val="clear" w:color="auto" w:fill="FFFFFF"/>
        </w:rPr>
        <w:t>cigarettes](</w:t>
      </w:r>
      <w:hyperlink r:id="rId99" w:history="1">
        <w:r w:rsidR="00194693" w:rsidRPr="00D806DD">
          <w:rPr>
            <w:rStyle w:val="Hyperlink"/>
            <w:rFonts w:ascii="Times New Roman" w:hAnsi="Times New Roman" w:cs="Times New Roman"/>
            <w:sz w:val="24"/>
            <w:szCs w:val="24"/>
          </w:rPr>
          <w:t>https://www.ncbi.nlm.nih.gov/pubmed/23870182</w:t>
        </w:r>
      </w:hyperlink>
      <w:r w:rsidR="00194693" w:rsidRPr="00D806DD">
        <w:rPr>
          <w:rFonts w:ascii="Times New Roman" w:hAnsi="Times New Roman" w:cs="Times New Roman"/>
          <w:color w:val="000000"/>
          <w:sz w:val="24"/>
          <w:szCs w:val="24"/>
          <w:shd w:val="clear" w:color="auto" w:fill="FFFFFF"/>
        </w:rPr>
        <w:t>) [per day](</w:t>
      </w:r>
      <w:hyperlink r:id="rId100" w:history="1">
        <w:r w:rsidR="00194693" w:rsidRPr="00D806DD">
          <w:rPr>
            <w:rStyle w:val="Hyperlink"/>
            <w:rFonts w:ascii="Times New Roman" w:hAnsi="Times New Roman" w:cs="Times New Roman"/>
            <w:sz w:val="24"/>
            <w:szCs w:val="24"/>
          </w:rPr>
          <w:t>https://www.ncbi.nlm.nih.gov/pubmed/20418890</w:t>
        </w:r>
      </w:hyperlink>
      <w:r w:rsidR="00194693" w:rsidRPr="00D806DD">
        <w:rPr>
          <w:rFonts w:ascii="Times New Roman" w:hAnsi="Times New Roman" w:cs="Times New Roman"/>
          <w:sz w:val="24"/>
          <w:szCs w:val="24"/>
        </w:rPr>
        <w:t xml:space="preserve">) and may also cause greatly increased [smoking persistence]( </w:t>
      </w:r>
      <w:hyperlink r:id="rId101" w:history="1">
        <w:r w:rsidR="00194693" w:rsidRPr="00D806DD">
          <w:rPr>
            <w:rStyle w:val="Hyperlink"/>
            <w:rFonts w:ascii="Times New Roman" w:hAnsi="Times New Roman" w:cs="Times New Roman"/>
            <w:sz w:val="24"/>
            <w:szCs w:val="24"/>
          </w:rPr>
          <w:t>https://www.ncbi.nlm.nih.gov/pubmed/22290489</w:t>
        </w:r>
      </w:hyperlink>
      <w:r w:rsidR="00194693" w:rsidRPr="00D806DD">
        <w:rPr>
          <w:rFonts w:ascii="Times New Roman" w:hAnsi="Times New Roman" w:cs="Times New Roman"/>
          <w:sz w:val="24"/>
          <w:szCs w:val="24"/>
        </w:rPr>
        <w:t>)</w:t>
      </w:r>
      <w:r w:rsidR="00194693" w:rsidRPr="00D806DD">
        <w:rPr>
          <w:rFonts w:ascii="Times New Roman" w:hAnsi="Times New Roman" w:cs="Times New Roman"/>
          <w:color w:val="000000"/>
          <w:sz w:val="24"/>
          <w:szCs w:val="24"/>
          <w:shd w:val="clear" w:color="auto" w:fill="FFFFFF"/>
        </w:rPr>
        <w:t xml:space="preserve">. This variant may cause an increase in [cocaine </w:t>
      </w:r>
      <w:proofErr w:type="gramStart"/>
      <w:r w:rsidR="00194693" w:rsidRPr="00D806DD">
        <w:rPr>
          <w:rFonts w:ascii="Times New Roman" w:hAnsi="Times New Roman" w:cs="Times New Roman"/>
          <w:color w:val="000000"/>
          <w:sz w:val="24"/>
          <w:szCs w:val="24"/>
          <w:shd w:val="clear" w:color="auto" w:fill="FFFFFF"/>
        </w:rPr>
        <w:t>dependence](</w:t>
      </w:r>
      <w:proofErr w:type="gramEnd"/>
      <w:r w:rsidR="00194693" w:rsidRPr="00D806DD">
        <w:rPr>
          <w:rFonts w:ascii="Times New Roman" w:hAnsi="Times New Roman" w:cs="Times New Roman"/>
          <w:sz w:val="24"/>
          <w:szCs w:val="24"/>
        </w:rPr>
        <w:fldChar w:fldCharType="begin"/>
      </w:r>
      <w:r w:rsidR="00194693" w:rsidRPr="00D806DD">
        <w:rPr>
          <w:rFonts w:ascii="Times New Roman" w:hAnsi="Times New Roman" w:cs="Times New Roman"/>
          <w:sz w:val="24"/>
          <w:szCs w:val="24"/>
        </w:rPr>
        <w:instrText xml:space="preserve"> HYPERLINK "https://www.ncbi.nlm.nih.gov/pubmed/20485328" </w:instrText>
      </w:r>
      <w:r w:rsidR="00194693" w:rsidRPr="00D806DD">
        <w:rPr>
          <w:rFonts w:ascii="Times New Roman" w:hAnsi="Times New Roman" w:cs="Times New Roman"/>
          <w:sz w:val="24"/>
          <w:szCs w:val="24"/>
        </w:rPr>
        <w:fldChar w:fldCharType="separate"/>
      </w:r>
      <w:r w:rsidR="00194693" w:rsidRPr="00D806DD">
        <w:rPr>
          <w:rStyle w:val="Hyperlink"/>
          <w:rFonts w:ascii="Times New Roman" w:hAnsi="Times New Roman" w:cs="Times New Roman"/>
          <w:sz w:val="24"/>
          <w:szCs w:val="24"/>
        </w:rPr>
        <w:t>https://www.ncbi.nlm.nih.gov/pubmed/20485328</w:t>
      </w:r>
      <w:r w:rsidR="00194693" w:rsidRPr="00D806DD">
        <w:rPr>
          <w:rFonts w:ascii="Times New Roman" w:hAnsi="Times New Roman" w:cs="Times New Roman"/>
          <w:sz w:val="24"/>
          <w:szCs w:val="24"/>
        </w:rPr>
        <w:fldChar w:fldCharType="end"/>
      </w:r>
      <w:r w:rsidR="00194693" w:rsidRPr="00D806DD">
        <w:rPr>
          <w:rFonts w:ascii="Times New Roman" w:hAnsi="Times New Roman" w:cs="Times New Roman"/>
          <w:color w:val="000000"/>
          <w:sz w:val="24"/>
          <w:szCs w:val="24"/>
          <w:shd w:val="clear" w:color="auto" w:fill="FFFFFF"/>
        </w:rPr>
        <w:t xml:space="preserve">).   </w:t>
      </w:r>
    </w:p>
    <w:p w14:paraId="5BD97E0E" w14:textId="77777777" w:rsidR="00612DA8" w:rsidRPr="00D806DD" w:rsidRDefault="00612DA8" w:rsidP="00612DA8">
      <w:pPr>
        <w:pStyle w:val="NormalWeb"/>
        <w:spacing w:after="0"/>
        <w:rPr>
          <w:color w:val="000000"/>
          <w:shd w:val="clear" w:color="auto" w:fill="FFFFFF"/>
        </w:rPr>
      </w:pPr>
      <w:r w:rsidRPr="00D806DD">
        <w:rPr>
          <w:color w:val="000000"/>
          <w:shd w:val="clear" w:color="auto" w:fill="FFFFFF"/>
        </w:rPr>
        <w:lastRenderedPageBreak/>
        <w:t>Natural killer cells (NKC) are a type of white blood cells found in the blood, bone marrow, spleen, and lymph nodes. They kill viral infected cells and tumorous cells. CFS patients have half the cellular efficiency of the normal population with a [17% cellular death</w:t>
      </w:r>
    </w:p>
    <w:p w14:paraId="318C3543" w14:textId="48003925" w:rsidR="00612DA8" w:rsidRPr="00D806DD" w:rsidRDefault="00612DA8" w:rsidP="00612DA8">
      <w:pPr>
        <w:pStyle w:val="NormalWeb"/>
        <w:spacing w:before="0" w:beforeAutospacing="0" w:after="0" w:afterAutospacing="0"/>
        <w:rPr>
          <w:color w:val="000000"/>
          <w:shd w:val="clear" w:color="auto" w:fill="FFFFFF"/>
        </w:rPr>
      </w:pPr>
      <w:proofErr w:type="gramStart"/>
      <w:r w:rsidRPr="00D806DD">
        <w:rPr>
          <w:color w:val="000000"/>
          <w:shd w:val="clear" w:color="auto" w:fill="FFFFFF"/>
        </w:rPr>
        <w:t>rate](</w:t>
      </w:r>
      <w:proofErr w:type="gramEnd"/>
      <w:r w:rsidRPr="00D806DD">
        <w:rPr>
          <w:color w:val="000000"/>
          <w:shd w:val="clear" w:color="auto" w:fill="FFFFFF"/>
        </w:rPr>
        <w:t>https://www.ncbi.nlm.nih.gov/pubmed/27099524). The C78606381T (</w:t>
      </w:r>
      <w:proofErr w:type="gramStart"/>
      <w:r w:rsidRPr="00D806DD">
        <w:rPr>
          <w:color w:val="000000"/>
          <w:shd w:val="clear" w:color="auto" w:fill="FFFFFF"/>
        </w:rPr>
        <w:t>T;T</w:t>
      </w:r>
      <w:proofErr w:type="gramEnd"/>
      <w:r w:rsidRPr="00D806DD">
        <w:rPr>
          <w:color w:val="000000"/>
          <w:shd w:val="clear" w:color="auto" w:fill="FFFFFF"/>
        </w:rPr>
        <w:t>) variant decreases gene expression in both the DNA and RNA, causing significant reduction in NKC activity. This variant was five as common in [CFS patients at 85.7% with an odds ratio of 6.22.](</w:t>
      </w:r>
      <w:hyperlink r:id="rId102" w:history="1">
        <w:r w:rsidRPr="00D806DD">
          <w:rPr>
            <w:rStyle w:val="Hyperlink"/>
            <w:shd w:val="clear" w:color="auto" w:fill="FFFFFF"/>
          </w:rPr>
          <w:t>https://www.ncbi.nlm.nih.gov/pubmed/27099524</w:t>
        </w:r>
      </w:hyperlink>
      <w:r w:rsidRPr="00D806DD">
        <w:rPr>
          <w:color w:val="000000"/>
          <w:shd w:val="clear" w:color="auto" w:fill="FFFFFF"/>
        </w:rPr>
        <w:t>)</w:t>
      </w:r>
    </w:p>
    <w:p w14:paraId="264569E5" w14:textId="5ECE4335" w:rsidR="00612DA8" w:rsidRDefault="00612DA8" w:rsidP="00612DA8">
      <w:pPr>
        <w:pStyle w:val="NormalWeb"/>
        <w:spacing w:before="0" w:beforeAutospacing="0" w:after="0" w:afterAutospacing="0"/>
        <w:rPr>
          <w:color w:val="000000"/>
          <w:shd w:val="clear" w:color="auto" w:fill="FFFFFF"/>
        </w:rPr>
      </w:pPr>
    </w:p>
    <w:p w14:paraId="29F53700" w14:textId="77777777" w:rsidR="00851C2A" w:rsidRPr="00D806DD" w:rsidRDefault="00851C2A" w:rsidP="00612DA8">
      <w:pPr>
        <w:pStyle w:val="NormalWeb"/>
        <w:spacing w:before="0" w:beforeAutospacing="0" w:after="0" w:afterAutospacing="0"/>
        <w:rPr>
          <w:color w:val="000000"/>
          <w:shd w:val="clear" w:color="auto" w:fill="FFFFFF"/>
        </w:rPr>
      </w:pPr>
    </w:p>
    <w:p w14:paraId="1F39C42C" w14:textId="4193CA4A" w:rsidR="00851C2A" w:rsidRDefault="00851C2A" w:rsidP="00851C2A">
      <w:pPr>
        <w:pStyle w:val="NormalWeb"/>
        <w:spacing w:before="0" w:beforeAutospacing="0" w:after="0" w:afterAutospacing="0"/>
        <w:rPr>
          <w:color w:val="000000"/>
          <w:shd w:val="clear" w:color="auto" w:fill="FFFFFF"/>
        </w:rPr>
      </w:pPr>
      <w:bookmarkStart w:id="0" w:name="_GoBack"/>
      <w:r w:rsidRPr="00D806DD">
        <w:rPr>
          <w:color w:val="000000"/>
          <w:shd w:val="clear" w:color="auto" w:fill="FFFFFF"/>
        </w:rPr>
        <w:t xml:space="preserve">People also should not smoke or use cocaine.  If you do smoke, be aware of your </w:t>
      </w:r>
      <w:r>
        <w:rPr>
          <w:color w:val="000000"/>
          <w:shd w:val="clear" w:color="auto" w:fill="FFFFFF"/>
        </w:rPr>
        <w:t>greatly increased</w:t>
      </w:r>
      <w:r w:rsidRPr="00D806DD">
        <w:rPr>
          <w:color w:val="000000"/>
          <w:shd w:val="clear" w:color="auto" w:fill="FFFFFF"/>
        </w:rPr>
        <w:t xml:space="preserve"> risk for dependency</w:t>
      </w:r>
      <w:r>
        <w:rPr>
          <w:color w:val="000000"/>
          <w:shd w:val="clear" w:color="auto" w:fill="FFFFFF"/>
        </w:rPr>
        <w:t xml:space="preserve"> and </w:t>
      </w:r>
      <w:r w:rsidRPr="00D806DD">
        <w:rPr>
          <w:color w:val="000000"/>
          <w:shd w:val="clear" w:color="auto" w:fill="FFFFFF"/>
        </w:rPr>
        <w:t xml:space="preserve">difficulty of quitting </w:t>
      </w:r>
      <w:proofErr w:type="gramStart"/>
      <w:r w:rsidRPr="00D806DD">
        <w:rPr>
          <w:color w:val="000000"/>
          <w:shd w:val="clear" w:color="auto" w:fill="FFFFFF"/>
        </w:rPr>
        <w:t>smoking</w:t>
      </w:r>
      <w:r>
        <w:rPr>
          <w:color w:val="000000"/>
          <w:shd w:val="clear" w:color="auto" w:fill="FFFFFF"/>
        </w:rPr>
        <w:t>, and</w:t>
      </w:r>
      <w:proofErr w:type="gramEnd"/>
      <w:r>
        <w:rPr>
          <w:color w:val="000000"/>
          <w:shd w:val="clear" w:color="auto" w:fill="FFFFFF"/>
        </w:rPr>
        <w:t xml:space="preserve"> consider regular checks for lung cancer.</w:t>
      </w:r>
    </w:p>
    <w:p w14:paraId="5DC43ECA" w14:textId="77777777" w:rsidR="00BA0AF0" w:rsidRDefault="00BA0AF0" w:rsidP="00851C2A">
      <w:pPr>
        <w:pStyle w:val="NormalWeb"/>
        <w:spacing w:before="0" w:beforeAutospacing="0" w:after="0" w:afterAutospacing="0"/>
        <w:rPr>
          <w:color w:val="000000"/>
          <w:shd w:val="clear" w:color="auto" w:fill="FFFFFF"/>
        </w:rPr>
      </w:pPr>
    </w:p>
    <w:p w14:paraId="7555CD76" w14:textId="77777777" w:rsidR="00BA0AF0" w:rsidRDefault="00BA0AF0" w:rsidP="00BA0AF0">
      <w:pPr>
        <w:pStyle w:val="NormalWeb"/>
        <w:spacing w:before="0" w:beforeAutospacing="0" w:after="0" w:afterAutospacing="0"/>
        <w:rPr>
          <w:color w:val="000000"/>
          <w:shd w:val="clear" w:color="auto" w:fill="FFFFFF"/>
        </w:rPr>
      </w:pPr>
      <w:r>
        <w:rPr>
          <w:color w:val="000000"/>
          <w:shd w:val="clear" w:color="auto" w:fill="FFFFFF"/>
        </w:rPr>
        <w:t xml:space="preserve">[Many factors may decrease your risk of lung </w:t>
      </w:r>
      <w:proofErr w:type="gramStart"/>
      <w:r>
        <w:rPr>
          <w:color w:val="000000"/>
          <w:shd w:val="clear" w:color="auto" w:fill="FFFFFF"/>
        </w:rPr>
        <w:t>cancer](</w:t>
      </w:r>
      <w:proofErr w:type="gramEnd"/>
      <w:r w:rsidRPr="00BA0AF0">
        <w:rPr>
          <w:color w:val="000000"/>
          <w:shd w:val="clear" w:color="auto" w:fill="FFFFFF"/>
        </w:rPr>
        <w:t>https://www.cancer.gov/types/lung/patient/lung-prevention-pdq#section/all</w:t>
      </w:r>
      <w:r>
        <w:rPr>
          <w:color w:val="000000"/>
          <w:shd w:val="clear" w:color="auto" w:fill="FFFFFF"/>
        </w:rPr>
        <w:t>).</w:t>
      </w:r>
    </w:p>
    <w:p w14:paraId="77B82B70" w14:textId="77777777" w:rsidR="00BA0AF0"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 xml:space="preserve">*   </w:t>
      </w:r>
      <w:r>
        <w:rPr>
          <w:color w:val="000000"/>
          <w:shd w:val="clear" w:color="auto" w:fill="FFFFFF"/>
        </w:rPr>
        <w:t>Avoid c</w:t>
      </w:r>
      <w:r w:rsidRPr="0083564D">
        <w:rPr>
          <w:color w:val="000000"/>
          <w:shd w:val="clear" w:color="auto" w:fill="FFFFFF"/>
        </w:rPr>
        <w:t>igarette, cigar, pipe smoking</w:t>
      </w:r>
      <w:r>
        <w:rPr>
          <w:color w:val="000000"/>
          <w:shd w:val="clear" w:color="auto" w:fill="FFFFFF"/>
        </w:rPr>
        <w:t>, and s</w:t>
      </w:r>
      <w:r w:rsidRPr="0083564D">
        <w:rPr>
          <w:color w:val="000000"/>
          <w:shd w:val="clear" w:color="auto" w:fill="FFFFFF"/>
        </w:rPr>
        <w:t>econdhand smoke</w:t>
      </w:r>
      <w:r>
        <w:rPr>
          <w:color w:val="000000"/>
          <w:shd w:val="clear" w:color="auto" w:fill="FFFFFF"/>
        </w:rPr>
        <w:t>.</w:t>
      </w:r>
    </w:p>
    <w:p w14:paraId="6F676664" w14:textId="77777777" w:rsidR="00BA0AF0" w:rsidRPr="0083564D"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 xml:space="preserve">*   </w:t>
      </w:r>
      <w:r>
        <w:rPr>
          <w:color w:val="000000"/>
          <w:shd w:val="clear" w:color="auto" w:fill="FFFFFF"/>
        </w:rPr>
        <w:t>Have less than one alcoholic drink per day.</w:t>
      </w:r>
    </w:p>
    <w:p w14:paraId="6CCFEA29" w14:textId="77777777" w:rsidR="00BA0AF0" w:rsidRPr="0083564D"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 xml:space="preserve">*   </w:t>
      </w:r>
      <w:r>
        <w:rPr>
          <w:color w:val="000000"/>
          <w:shd w:val="clear" w:color="auto" w:fill="FFFFFF"/>
        </w:rPr>
        <w:t>Practice safe sex, and avoid HIV</w:t>
      </w:r>
      <w:r w:rsidRPr="0083564D">
        <w:rPr>
          <w:color w:val="000000"/>
          <w:shd w:val="clear" w:color="auto" w:fill="FFFFFF"/>
        </w:rPr>
        <w:t xml:space="preserve"> infection</w:t>
      </w:r>
    </w:p>
    <w:p w14:paraId="7F570D05" w14:textId="77777777" w:rsidR="00BA0AF0"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 xml:space="preserve">*   </w:t>
      </w:r>
      <w:r>
        <w:rPr>
          <w:color w:val="000000"/>
          <w:shd w:val="clear" w:color="auto" w:fill="FFFFFF"/>
        </w:rPr>
        <w:t>Avoid r</w:t>
      </w:r>
      <w:r w:rsidRPr="0083564D">
        <w:rPr>
          <w:color w:val="000000"/>
          <w:shd w:val="clear" w:color="auto" w:fill="FFFFFF"/>
        </w:rPr>
        <w:t>adiation exposure</w:t>
      </w:r>
      <w:r>
        <w:rPr>
          <w:color w:val="000000"/>
          <w:shd w:val="clear" w:color="auto" w:fill="FFFFFF"/>
        </w:rPr>
        <w:t>, including a</w:t>
      </w:r>
      <w:r w:rsidRPr="0083564D">
        <w:rPr>
          <w:color w:val="000000"/>
          <w:shd w:val="clear" w:color="auto" w:fill="FFFFFF"/>
        </w:rPr>
        <w:t>tomic bomb radiation, radiation therapy, imaging tests, and radon</w:t>
      </w:r>
      <w:r>
        <w:rPr>
          <w:color w:val="000000"/>
          <w:shd w:val="clear" w:color="auto" w:fill="FFFFFF"/>
        </w:rPr>
        <w:t>.</w:t>
      </w:r>
    </w:p>
    <w:p w14:paraId="499B68D5" w14:textId="77777777" w:rsidR="00BA0AF0"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 xml:space="preserve">*   </w:t>
      </w:r>
      <w:r>
        <w:rPr>
          <w:color w:val="000000"/>
          <w:shd w:val="clear" w:color="auto" w:fill="FFFFFF"/>
        </w:rPr>
        <w:t>Avoid environmental toxins such as a</w:t>
      </w:r>
      <w:r w:rsidRPr="0083564D">
        <w:rPr>
          <w:color w:val="000000"/>
          <w:shd w:val="clear" w:color="auto" w:fill="FFFFFF"/>
        </w:rPr>
        <w:t>sbestos</w:t>
      </w:r>
      <w:r>
        <w:rPr>
          <w:color w:val="000000"/>
          <w:shd w:val="clear" w:color="auto" w:fill="FFFFFF"/>
        </w:rPr>
        <w:t>, a</w:t>
      </w:r>
      <w:r w:rsidRPr="0083564D">
        <w:rPr>
          <w:color w:val="000000"/>
          <w:shd w:val="clear" w:color="auto" w:fill="FFFFFF"/>
        </w:rPr>
        <w:t>rsenic</w:t>
      </w:r>
      <w:r>
        <w:rPr>
          <w:color w:val="000000"/>
          <w:shd w:val="clear" w:color="auto" w:fill="FFFFFF"/>
        </w:rPr>
        <w:t>, c</w:t>
      </w:r>
      <w:r w:rsidRPr="0083564D">
        <w:rPr>
          <w:color w:val="000000"/>
          <w:shd w:val="clear" w:color="auto" w:fill="FFFFFF"/>
        </w:rPr>
        <w:t>hromium</w:t>
      </w:r>
      <w:r>
        <w:rPr>
          <w:color w:val="000000"/>
          <w:shd w:val="clear" w:color="auto" w:fill="FFFFFF"/>
        </w:rPr>
        <w:t>, n</w:t>
      </w:r>
      <w:r w:rsidRPr="0083564D">
        <w:rPr>
          <w:color w:val="000000"/>
          <w:shd w:val="clear" w:color="auto" w:fill="FFFFFF"/>
        </w:rPr>
        <w:t>ickel</w:t>
      </w:r>
      <w:r>
        <w:rPr>
          <w:color w:val="000000"/>
          <w:shd w:val="clear" w:color="auto" w:fill="FFFFFF"/>
        </w:rPr>
        <w:t>, b</w:t>
      </w:r>
      <w:r w:rsidRPr="0083564D">
        <w:rPr>
          <w:color w:val="000000"/>
          <w:shd w:val="clear" w:color="auto" w:fill="FFFFFF"/>
        </w:rPr>
        <w:t>eryllium</w:t>
      </w:r>
      <w:r>
        <w:rPr>
          <w:color w:val="000000"/>
          <w:shd w:val="clear" w:color="auto" w:fill="FFFFFF"/>
        </w:rPr>
        <w:t>, c</w:t>
      </w:r>
      <w:r w:rsidRPr="0083564D">
        <w:rPr>
          <w:color w:val="000000"/>
          <w:shd w:val="clear" w:color="auto" w:fill="FFFFFF"/>
        </w:rPr>
        <w:t>admium</w:t>
      </w:r>
      <w:r>
        <w:rPr>
          <w:color w:val="000000"/>
          <w:shd w:val="clear" w:color="auto" w:fill="FFFFFF"/>
        </w:rPr>
        <w:t>, t</w:t>
      </w:r>
      <w:r w:rsidRPr="0083564D">
        <w:rPr>
          <w:color w:val="000000"/>
          <w:shd w:val="clear" w:color="auto" w:fill="FFFFFF"/>
        </w:rPr>
        <w:t>ar</w:t>
      </w:r>
      <w:r>
        <w:rPr>
          <w:color w:val="000000"/>
          <w:shd w:val="clear" w:color="auto" w:fill="FFFFFF"/>
        </w:rPr>
        <w:t>,</w:t>
      </w:r>
      <w:r w:rsidRPr="0083564D">
        <w:rPr>
          <w:color w:val="000000"/>
          <w:shd w:val="clear" w:color="auto" w:fill="FFFFFF"/>
        </w:rPr>
        <w:t xml:space="preserve"> soot</w:t>
      </w:r>
      <w:r>
        <w:rPr>
          <w:color w:val="000000"/>
          <w:shd w:val="clear" w:color="auto" w:fill="FFFFFF"/>
        </w:rPr>
        <w:t>, and sir pollution.</w:t>
      </w:r>
    </w:p>
    <w:p w14:paraId="6A11A27F" w14:textId="77777777" w:rsidR="00BA0AF0"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w:t>
      </w:r>
      <w:proofErr w:type="gramStart"/>
      <w:r w:rsidRPr="00D806DD">
        <w:rPr>
          <w:color w:val="000000"/>
          <w:shd w:val="clear" w:color="auto" w:fill="FFFFFF"/>
        </w:rPr>
        <w:t xml:space="preserve">   </w:t>
      </w:r>
      <w:r>
        <w:rPr>
          <w:color w:val="000000"/>
          <w:shd w:val="clear" w:color="auto" w:fill="FFFFFF"/>
        </w:rPr>
        <w:t>[</w:t>
      </w:r>
      <w:proofErr w:type="gramEnd"/>
      <w:r w:rsidRPr="0083564D">
        <w:rPr>
          <w:color w:val="000000"/>
          <w:shd w:val="clear" w:color="auto" w:fill="FFFFFF"/>
        </w:rPr>
        <w:t>Beta carotene supplements</w:t>
      </w:r>
      <w:r>
        <w:rPr>
          <w:color w:val="000000"/>
          <w:shd w:val="clear" w:color="auto" w:fill="FFFFFF"/>
        </w:rPr>
        <w:t>, made from</w:t>
      </w:r>
      <w:r w:rsidRPr="00BA0AF0">
        <w:rPr>
          <w:color w:val="000000"/>
          <w:shd w:val="clear" w:color="auto" w:fill="FFFFFF"/>
        </w:rPr>
        <w:t xml:space="preserve"> yellow and orange fruits and vegetables and dark green, leafy vegetables</w:t>
      </w:r>
      <w:r>
        <w:rPr>
          <w:color w:val="000000"/>
          <w:shd w:val="clear" w:color="auto" w:fill="FFFFFF"/>
        </w:rPr>
        <w:t>,](</w:t>
      </w:r>
      <w:r w:rsidRPr="0083564D">
        <w:rPr>
          <w:color w:val="000000"/>
          <w:shd w:val="clear" w:color="auto" w:fill="FFFFFF"/>
        </w:rPr>
        <w:t>https://www.cancer.gov/types/lung/patient/lung-prevention-pdq#section/all</w:t>
      </w:r>
      <w:r>
        <w:rPr>
          <w:color w:val="000000"/>
          <w:shd w:val="clear" w:color="auto" w:fill="FFFFFF"/>
        </w:rPr>
        <w:t>)</w:t>
      </w:r>
      <w:r w:rsidRPr="0083564D">
        <w:rPr>
          <w:color w:val="000000"/>
          <w:shd w:val="clear" w:color="auto" w:fill="FFFFFF"/>
        </w:rPr>
        <w:t xml:space="preserve"> </w:t>
      </w:r>
      <w:r>
        <w:rPr>
          <w:color w:val="000000"/>
          <w:shd w:val="clear" w:color="auto" w:fill="FFFFFF"/>
        </w:rPr>
        <w:t>may help reduce risk for</w:t>
      </w:r>
      <w:r w:rsidRPr="0083564D">
        <w:rPr>
          <w:color w:val="000000"/>
          <w:shd w:val="clear" w:color="auto" w:fill="FFFFFF"/>
        </w:rPr>
        <w:t xml:space="preserve"> heavy smokers</w:t>
      </w:r>
      <w:r>
        <w:rPr>
          <w:color w:val="000000"/>
          <w:shd w:val="clear" w:color="auto" w:fill="FFFFFF"/>
        </w:rPr>
        <w:t>.</w:t>
      </w:r>
    </w:p>
    <w:p w14:paraId="0627805D" w14:textId="77777777" w:rsidR="00851C2A" w:rsidRPr="00D806DD" w:rsidRDefault="00851C2A" w:rsidP="00851C2A">
      <w:pPr>
        <w:pStyle w:val="NormalWeb"/>
        <w:spacing w:before="0" w:beforeAutospacing="0" w:after="0" w:afterAutospacing="0"/>
        <w:rPr>
          <w:color w:val="000000"/>
          <w:shd w:val="clear" w:color="auto" w:fill="FFFFFF"/>
        </w:rPr>
      </w:pPr>
    </w:p>
    <w:p w14:paraId="347421FD" w14:textId="77777777" w:rsidR="00851C2A" w:rsidRPr="00D806DD" w:rsidRDefault="00851C2A" w:rsidP="00851C2A">
      <w:pPr>
        <w:rPr>
          <w:rFonts w:ascii="Times New Roman" w:hAnsi="Times New Roman" w:cs="Times New Roman"/>
          <w:sz w:val="24"/>
          <w:szCs w:val="24"/>
        </w:rPr>
      </w:pPr>
      <w:r w:rsidRPr="00D806DD">
        <w:rPr>
          <w:rFonts w:ascii="Times New Roman" w:hAnsi="Times New Roman" w:cs="Times New Roman"/>
          <w:color w:val="000000"/>
          <w:sz w:val="24"/>
          <w:szCs w:val="24"/>
          <w:shd w:val="clear" w:color="auto" w:fill="FFFFFF"/>
        </w:rPr>
        <w:t>[</w:t>
      </w:r>
      <w:hyperlink r:id="rId103" w:history="1">
        <w:r w:rsidRPr="00D806DD">
          <w:rPr>
            <w:rFonts w:ascii="Times New Roman" w:hAnsi="Times New Roman" w:cs="Times New Roman"/>
            <w:color w:val="000000"/>
            <w:sz w:val="24"/>
            <w:szCs w:val="24"/>
            <w:shd w:val="clear" w:color="auto" w:fill="FFFFFF"/>
          </w:rPr>
          <w:t>Medications</w:t>
        </w:r>
      </w:hyperlink>
      <w:r w:rsidRPr="00D806DD">
        <w:rPr>
          <w:rFonts w:ascii="Times New Roman" w:hAnsi="Times New Roman" w:cs="Times New Roman"/>
          <w:color w:val="000000"/>
          <w:sz w:val="24"/>
          <w:szCs w:val="24"/>
          <w:shd w:val="clear" w:color="auto" w:fill="FFFFFF"/>
        </w:rPr>
        <w:t>](</w:t>
      </w:r>
      <w:hyperlink r:id="rId104" w:history="1">
        <w:r w:rsidRPr="00D806DD">
          <w:rPr>
            <w:rStyle w:val="Hyperlink"/>
            <w:rFonts w:ascii="Times New Roman" w:hAnsi="Times New Roman" w:cs="Times New Roman"/>
            <w:sz w:val="24"/>
            <w:szCs w:val="24"/>
          </w:rPr>
          <w:t>http://www.uniprot.org/uniprot/P32297</w:t>
        </w:r>
      </w:hyperlink>
      <w:r w:rsidRPr="00D806DD">
        <w:rPr>
          <w:rFonts w:ascii="Times New Roman" w:hAnsi="Times New Roman" w:cs="Times New Roman"/>
          <w:sz w:val="24"/>
          <w:szCs w:val="24"/>
        </w:rPr>
        <w:t>)</w:t>
      </w:r>
      <w:r w:rsidRPr="00D806DD">
        <w:rPr>
          <w:rFonts w:ascii="Times New Roman" w:hAnsi="Times New Roman" w:cs="Times New Roman"/>
          <w:color w:val="000000"/>
          <w:sz w:val="24"/>
          <w:szCs w:val="24"/>
          <w:shd w:val="clear" w:color="auto" w:fill="FFFFFF"/>
        </w:rPr>
        <w:t xml:space="preserve"> indicated for use for CHRNA3 issues include: </w:t>
      </w:r>
      <w:r>
        <w:rPr>
          <w:rFonts w:ascii="Times New Roman" w:hAnsi="Times New Roman" w:cs="Times New Roman"/>
          <w:color w:val="000000"/>
          <w:sz w:val="24"/>
          <w:szCs w:val="24"/>
          <w:shd w:val="clear" w:color="auto" w:fill="FFFFFF"/>
        </w:rPr>
        <w:t>[</w:t>
      </w:r>
      <w:r w:rsidRPr="00D806DD">
        <w:rPr>
          <w:rFonts w:ascii="Times New Roman" w:hAnsi="Times New Roman" w:cs="Times New Roman"/>
          <w:color w:val="222222"/>
          <w:sz w:val="24"/>
          <w:szCs w:val="24"/>
        </w:rPr>
        <w:t>Bupropion](</w:t>
      </w:r>
      <w:hyperlink r:id="rId105" w:history="1">
        <w:r w:rsidRPr="00D806DD">
          <w:rPr>
            <w:rStyle w:val="Hyperlink"/>
            <w:rFonts w:ascii="Times New Roman" w:hAnsi="Times New Roman" w:cs="Times New Roman"/>
            <w:sz w:val="24"/>
            <w:szCs w:val="24"/>
          </w:rPr>
          <w:t>https://www.drugbank.ca/drugs/DB01156</w:t>
        </w:r>
      </w:hyperlink>
      <w:r w:rsidRPr="00D806DD">
        <w:rPr>
          <w:rFonts w:ascii="Times New Roman" w:hAnsi="Times New Roman" w:cs="Times New Roman"/>
          <w:color w:val="222222"/>
          <w:sz w:val="24"/>
          <w:szCs w:val="24"/>
        </w:rPr>
        <w:t>), [Cytisine](</w:t>
      </w:r>
      <w:hyperlink r:id="rId106" w:history="1">
        <w:r w:rsidRPr="00D806DD">
          <w:rPr>
            <w:rStyle w:val="Hyperlink"/>
            <w:rFonts w:ascii="Times New Roman" w:hAnsi="Times New Roman" w:cs="Times New Roman"/>
            <w:sz w:val="24"/>
            <w:szCs w:val="24"/>
          </w:rPr>
          <w:t>https://www.drugbank.ca/drugs/DB09028</w:t>
        </w:r>
      </w:hyperlink>
      <w:r w:rsidRPr="00D806DD">
        <w:rPr>
          <w:rFonts w:ascii="Times New Roman" w:hAnsi="Times New Roman" w:cs="Times New Roman"/>
          <w:color w:val="222222"/>
          <w:sz w:val="24"/>
          <w:szCs w:val="24"/>
        </w:rPr>
        <w:t>), [Dextromethorphan](</w:t>
      </w:r>
      <w:hyperlink r:id="rId107" w:history="1">
        <w:r w:rsidRPr="00D806DD">
          <w:rPr>
            <w:rStyle w:val="Hyperlink"/>
            <w:rFonts w:ascii="Times New Roman" w:hAnsi="Times New Roman" w:cs="Times New Roman"/>
            <w:sz w:val="24"/>
            <w:szCs w:val="24"/>
          </w:rPr>
          <w:t>https://www.drugbank.ca/drugs/DB00514</w:t>
        </w:r>
      </w:hyperlink>
      <w:r w:rsidRPr="00D806DD">
        <w:rPr>
          <w:rFonts w:ascii="Times New Roman" w:hAnsi="Times New Roman" w:cs="Times New Roman"/>
          <w:color w:val="222222"/>
          <w:sz w:val="24"/>
          <w:szCs w:val="24"/>
        </w:rPr>
        <w:t>), [Ethanol](</w:t>
      </w:r>
      <w:hyperlink r:id="rId108" w:history="1">
        <w:r w:rsidRPr="00D806DD">
          <w:rPr>
            <w:rStyle w:val="Hyperlink"/>
            <w:rFonts w:ascii="Times New Roman" w:hAnsi="Times New Roman" w:cs="Times New Roman"/>
            <w:sz w:val="24"/>
            <w:szCs w:val="24"/>
          </w:rPr>
          <w:t>https://www.drugbank.ca/drugs/DB00898</w:t>
        </w:r>
      </w:hyperlink>
      <w:r w:rsidRPr="00D806DD">
        <w:rPr>
          <w:rFonts w:ascii="Times New Roman" w:hAnsi="Times New Roman" w:cs="Times New Roman"/>
          <w:color w:val="222222"/>
          <w:sz w:val="24"/>
          <w:szCs w:val="24"/>
        </w:rPr>
        <w:t>), [Galantamine](</w:t>
      </w:r>
      <w:hyperlink r:id="rId109" w:history="1">
        <w:r w:rsidRPr="00D806DD">
          <w:rPr>
            <w:rStyle w:val="Hyperlink"/>
            <w:rFonts w:ascii="Times New Roman" w:hAnsi="Times New Roman" w:cs="Times New Roman"/>
            <w:sz w:val="24"/>
            <w:szCs w:val="24"/>
          </w:rPr>
          <w:t>https://www.drugbank.ca/drugs/DB00674</w:t>
        </w:r>
      </w:hyperlink>
      <w:r w:rsidRPr="00D806DD">
        <w:rPr>
          <w:rFonts w:ascii="Times New Roman" w:hAnsi="Times New Roman" w:cs="Times New Roman"/>
          <w:color w:val="222222"/>
          <w:sz w:val="24"/>
          <w:szCs w:val="24"/>
        </w:rPr>
        <w:t>), [Levamisole](</w:t>
      </w:r>
      <w:hyperlink r:id="rId110" w:history="1">
        <w:r w:rsidRPr="00D806DD">
          <w:rPr>
            <w:rStyle w:val="Hyperlink"/>
            <w:rFonts w:ascii="Times New Roman" w:hAnsi="Times New Roman" w:cs="Times New Roman"/>
            <w:sz w:val="24"/>
            <w:szCs w:val="24"/>
          </w:rPr>
          <w:t>https://www.drugbank.ca/drugs/DB00848</w:t>
        </w:r>
      </w:hyperlink>
      <w:r w:rsidRPr="00D806DD">
        <w:rPr>
          <w:rFonts w:ascii="Times New Roman" w:hAnsi="Times New Roman" w:cs="Times New Roman"/>
          <w:color w:val="222222"/>
          <w:sz w:val="24"/>
          <w:szCs w:val="24"/>
        </w:rPr>
        <w:t>), [Levomethadyl Acetate](</w:t>
      </w:r>
      <w:hyperlink r:id="rId111" w:history="1">
        <w:r w:rsidRPr="00D806DD">
          <w:rPr>
            <w:rStyle w:val="Hyperlink"/>
            <w:rFonts w:ascii="Times New Roman" w:hAnsi="Times New Roman" w:cs="Times New Roman"/>
            <w:sz w:val="24"/>
            <w:szCs w:val="24"/>
          </w:rPr>
          <w:t>https://www.drugbank.ca/drugs/DB01227</w:t>
        </w:r>
      </w:hyperlink>
      <w:r w:rsidRPr="00D806DD">
        <w:rPr>
          <w:rFonts w:ascii="Times New Roman" w:hAnsi="Times New Roman" w:cs="Times New Roman"/>
          <w:color w:val="222222"/>
          <w:sz w:val="24"/>
          <w:szCs w:val="24"/>
        </w:rPr>
        <w:t>), [Nicotine](</w:t>
      </w:r>
      <w:hyperlink r:id="rId112" w:history="1">
        <w:r w:rsidRPr="00D806DD">
          <w:rPr>
            <w:rStyle w:val="Hyperlink"/>
            <w:rFonts w:ascii="Times New Roman" w:hAnsi="Times New Roman" w:cs="Times New Roman"/>
            <w:sz w:val="24"/>
            <w:szCs w:val="24"/>
          </w:rPr>
          <w:t>https://www.drugbank.ca/drugs/DB00184</w:t>
        </w:r>
      </w:hyperlink>
      <w:r w:rsidRPr="00D806DD">
        <w:rPr>
          <w:rFonts w:ascii="Times New Roman" w:hAnsi="Times New Roman" w:cs="Times New Roman"/>
          <w:color w:val="222222"/>
          <w:sz w:val="24"/>
          <w:szCs w:val="24"/>
        </w:rPr>
        <w:t>), [Pentolinium](</w:t>
      </w:r>
      <w:hyperlink r:id="rId113" w:history="1">
        <w:r w:rsidRPr="00D806DD">
          <w:rPr>
            <w:rStyle w:val="Hyperlink"/>
            <w:rFonts w:ascii="Times New Roman" w:hAnsi="Times New Roman" w:cs="Times New Roman"/>
            <w:sz w:val="24"/>
            <w:szCs w:val="24"/>
          </w:rPr>
          <w:t>https://www.drugbank.ca/drugs/DB01090</w:t>
        </w:r>
      </w:hyperlink>
      <w:r w:rsidRPr="00D806DD">
        <w:rPr>
          <w:rFonts w:ascii="Times New Roman" w:hAnsi="Times New Roman" w:cs="Times New Roman"/>
          <w:color w:val="222222"/>
          <w:sz w:val="24"/>
          <w:szCs w:val="24"/>
        </w:rPr>
        <w:t>), and [Varenicline](https://www.drugbank.ca/drugs/DB01273).</w:t>
      </w:r>
    </w:p>
    <w:p w14:paraId="0CF291B8" w14:textId="77777777" w:rsidR="00D806DD" w:rsidRPr="00D806DD" w:rsidRDefault="00D806DD" w:rsidP="00612DA8">
      <w:pPr>
        <w:pStyle w:val="NormalWeb"/>
        <w:spacing w:before="0" w:beforeAutospacing="0" w:after="0" w:afterAutospacing="0"/>
        <w:rPr>
          <w:color w:val="000000"/>
          <w:shd w:val="clear" w:color="auto" w:fill="FFFFFF"/>
        </w:rPr>
      </w:pPr>
    </w:p>
    <w:p w14:paraId="66E878A5" w14:textId="77777777" w:rsidR="00612DA8" w:rsidRPr="00D806DD" w:rsidRDefault="00612DA8" w:rsidP="00612DA8">
      <w:pPr>
        <w:pStyle w:val="NormalWeb"/>
        <w:spacing w:before="0" w:beforeAutospacing="0" w:after="0" w:afterAutospacing="0"/>
        <w:rPr>
          <w:color w:val="000000"/>
          <w:shd w:val="clear" w:color="auto" w:fill="FFFFFF"/>
        </w:rPr>
      </w:pPr>
      <w:r w:rsidRPr="00D806DD">
        <w:rPr>
          <w:color w:val="000000"/>
          <w:shd w:val="clear" w:color="auto" w:fill="FFFFFF"/>
        </w:rPr>
        <w:t xml:space="preserve">Many dietary supplements have </w:t>
      </w:r>
      <w:proofErr w:type="gramStart"/>
      <w:r w:rsidRPr="00D806DD">
        <w:rPr>
          <w:color w:val="000000"/>
          <w:shd w:val="clear" w:color="auto" w:fill="FFFFFF"/>
        </w:rPr>
        <w:t>been found</w:t>
      </w:r>
      <w:proofErr w:type="gramEnd"/>
      <w:r w:rsidRPr="00D806DD">
        <w:rPr>
          <w:color w:val="000000"/>
          <w:shd w:val="clear" w:color="auto" w:fill="FFFFFF"/>
        </w:rPr>
        <w:t xml:space="preserve"> to increase or decrease natural killer cell function.</w:t>
      </w:r>
    </w:p>
    <w:p w14:paraId="059E1CCC" w14:textId="77777777" w:rsidR="00612DA8" w:rsidRPr="00D806DD" w:rsidRDefault="00612DA8" w:rsidP="00612DA8">
      <w:pPr>
        <w:pStyle w:val="NormalWeb"/>
        <w:spacing w:before="0" w:beforeAutospacing="0" w:after="0" w:afterAutospacing="0"/>
        <w:rPr>
          <w:color w:val="000000"/>
          <w:shd w:val="clear" w:color="auto" w:fill="FFFFFF"/>
        </w:rPr>
      </w:pPr>
      <w:r w:rsidRPr="00D806DD">
        <w:rPr>
          <w:color w:val="000000"/>
          <w:shd w:val="clear" w:color="auto" w:fill="FFFFFF"/>
        </w:rPr>
        <w:t>*</w:t>
      </w:r>
      <w:proofErr w:type="gramStart"/>
      <w:r w:rsidRPr="00D806DD">
        <w:rPr>
          <w:color w:val="000000"/>
          <w:shd w:val="clear" w:color="auto" w:fill="FFFFFF"/>
        </w:rPr>
        <w:t xml:space="preserve">   [</w:t>
      </w:r>
      <w:proofErr w:type="gramEnd"/>
      <w:r w:rsidRPr="00D806DD">
        <w:rPr>
          <w:color w:val="000000"/>
          <w:shd w:val="clear" w:color="auto" w:fill="FFFFFF"/>
        </w:rPr>
        <w:t>Resveratrol](https://www.ncbi.nlm.nih.gov/pmc/articles/PMC4855330/) stimulates the immune system in increase NKC activity, but</w:t>
      </w:r>
    </w:p>
    <w:p w14:paraId="1DC37BC7" w14:textId="77777777" w:rsidR="00612DA8" w:rsidRPr="00D806DD" w:rsidRDefault="00612DA8" w:rsidP="00612DA8">
      <w:pPr>
        <w:pStyle w:val="NormalWeb"/>
        <w:spacing w:before="0" w:beforeAutospacing="0" w:after="0" w:afterAutospacing="0"/>
        <w:rPr>
          <w:color w:val="000000"/>
          <w:shd w:val="clear" w:color="auto" w:fill="FFFFFF"/>
        </w:rPr>
      </w:pPr>
      <w:r w:rsidRPr="00D806DD">
        <w:rPr>
          <w:color w:val="000000"/>
          <w:shd w:val="clear" w:color="auto" w:fill="FFFFFF"/>
        </w:rPr>
        <w:t xml:space="preserve">    sufficient body concentration can only </w:t>
      </w:r>
      <w:proofErr w:type="gramStart"/>
      <w:r w:rsidRPr="00D806DD">
        <w:rPr>
          <w:color w:val="000000"/>
          <w:shd w:val="clear" w:color="auto" w:fill="FFFFFF"/>
        </w:rPr>
        <w:t>be achieved</w:t>
      </w:r>
      <w:proofErr w:type="gramEnd"/>
      <w:r w:rsidRPr="00D806DD">
        <w:rPr>
          <w:color w:val="000000"/>
          <w:shd w:val="clear" w:color="auto" w:fill="FFFFFF"/>
        </w:rPr>
        <w:t xml:space="preserve"> through supplementation.</w:t>
      </w:r>
    </w:p>
    <w:p w14:paraId="6F704793" w14:textId="77777777" w:rsidR="00612DA8" w:rsidRPr="00D806DD" w:rsidRDefault="00612DA8" w:rsidP="00612DA8">
      <w:pPr>
        <w:pStyle w:val="NormalWeb"/>
        <w:spacing w:before="0" w:beforeAutospacing="0" w:after="0" w:afterAutospacing="0"/>
        <w:rPr>
          <w:color w:val="000000"/>
          <w:shd w:val="clear" w:color="auto" w:fill="FFFFFF"/>
        </w:rPr>
      </w:pPr>
      <w:r w:rsidRPr="00D806DD">
        <w:rPr>
          <w:color w:val="000000"/>
          <w:shd w:val="clear" w:color="auto" w:fill="FFFFFF"/>
        </w:rPr>
        <w:t>*</w:t>
      </w:r>
      <w:proofErr w:type="gramStart"/>
      <w:r w:rsidRPr="00D806DD">
        <w:rPr>
          <w:color w:val="000000"/>
          <w:shd w:val="clear" w:color="auto" w:fill="FFFFFF"/>
        </w:rPr>
        <w:t xml:space="preserve">   [</w:t>
      </w:r>
      <w:proofErr w:type="gramEnd"/>
      <w:r w:rsidRPr="00D806DD">
        <w:rPr>
          <w:color w:val="000000"/>
          <w:shd w:val="clear" w:color="auto" w:fill="FFFFFF"/>
        </w:rPr>
        <w:t>Myricetin](https://www.ncbi.nlm.nih.gov/pubmed/25075019), a flavonoid found in food and red wine, can increase NKC activity.</w:t>
      </w:r>
    </w:p>
    <w:p w14:paraId="4176BAC7" w14:textId="77777777" w:rsidR="00612DA8" w:rsidRPr="00D806DD" w:rsidRDefault="00612DA8" w:rsidP="00612DA8">
      <w:pPr>
        <w:pStyle w:val="NormalWeb"/>
        <w:spacing w:before="0" w:beforeAutospacing="0" w:after="0" w:afterAutospacing="0"/>
        <w:rPr>
          <w:color w:val="000000"/>
          <w:shd w:val="clear" w:color="auto" w:fill="FFFFFF"/>
        </w:rPr>
      </w:pPr>
      <w:r w:rsidRPr="00D806DD">
        <w:rPr>
          <w:color w:val="000000"/>
          <w:shd w:val="clear" w:color="auto" w:fill="FFFFFF"/>
        </w:rPr>
        <w:t>*</w:t>
      </w:r>
      <w:proofErr w:type="gramStart"/>
      <w:r w:rsidRPr="00D806DD">
        <w:rPr>
          <w:color w:val="000000"/>
          <w:shd w:val="clear" w:color="auto" w:fill="FFFFFF"/>
        </w:rPr>
        <w:t xml:space="preserve">   [</w:t>
      </w:r>
      <w:proofErr w:type="gramEnd"/>
      <w:r w:rsidRPr="00D806DD">
        <w:rPr>
          <w:color w:val="000000"/>
          <w:shd w:val="clear" w:color="auto" w:fill="FFFFFF"/>
        </w:rPr>
        <w:t>Quercetin](https://www.ncbi.nlm.nih.gov/pubmed/19449452), a flavonoid in onions and fruits may improve NKC and T cell function.</w:t>
      </w:r>
    </w:p>
    <w:p w14:paraId="1D1D0EDE" w14:textId="02E83F2F" w:rsidR="00612DA8" w:rsidRPr="00D806DD" w:rsidRDefault="00612DA8" w:rsidP="00612DA8">
      <w:pPr>
        <w:pStyle w:val="NormalWeb"/>
        <w:spacing w:before="0" w:beforeAutospacing="0" w:after="0" w:afterAutospacing="0"/>
        <w:rPr>
          <w:color w:val="000000"/>
          <w:shd w:val="clear" w:color="auto" w:fill="FFFFFF"/>
        </w:rPr>
      </w:pPr>
      <w:r w:rsidRPr="00D806DD">
        <w:rPr>
          <w:color w:val="000000"/>
          <w:shd w:val="clear" w:color="auto" w:fill="FFFFFF"/>
        </w:rPr>
        <w:lastRenderedPageBreak/>
        <w:t>*</w:t>
      </w:r>
      <w:proofErr w:type="gramStart"/>
      <w:r w:rsidRPr="00D806DD">
        <w:rPr>
          <w:color w:val="000000"/>
          <w:shd w:val="clear" w:color="auto" w:fill="FFFFFF"/>
        </w:rPr>
        <w:t xml:space="preserve">   [</w:t>
      </w:r>
      <w:proofErr w:type="gramEnd"/>
      <w:r w:rsidRPr="00D806DD">
        <w:rPr>
          <w:color w:val="000000"/>
          <w:shd w:val="clear" w:color="auto" w:fill="FFFFFF"/>
        </w:rPr>
        <w:t>Histone deacetylase inhibitors (</w:t>
      </w:r>
      <w:proofErr w:type="spellStart"/>
      <w:r w:rsidRPr="00D806DD">
        <w:rPr>
          <w:color w:val="000000"/>
          <w:shd w:val="clear" w:color="auto" w:fill="FFFFFF"/>
        </w:rPr>
        <w:t>HDACi</w:t>
      </w:r>
      <w:proofErr w:type="spellEnd"/>
      <w:r w:rsidRPr="00D806DD">
        <w:rPr>
          <w:color w:val="000000"/>
          <w:shd w:val="clear" w:color="auto" w:fill="FFFFFF"/>
        </w:rPr>
        <w:t xml:space="preserve">) including </w:t>
      </w:r>
      <w:proofErr w:type="spellStart"/>
      <w:r w:rsidRPr="00D806DD">
        <w:rPr>
          <w:color w:val="000000"/>
          <w:shd w:val="clear" w:color="auto" w:fill="FFFFFF"/>
        </w:rPr>
        <w:t>suberoylanilide</w:t>
      </w:r>
      <w:proofErr w:type="spellEnd"/>
      <w:r w:rsidRPr="00D806DD">
        <w:rPr>
          <w:color w:val="000000"/>
          <w:shd w:val="clear" w:color="auto" w:fill="FFFFFF"/>
        </w:rPr>
        <w:t xml:space="preserve"> hydroxamic acid and </w:t>
      </w:r>
      <w:proofErr w:type="spellStart"/>
      <w:r w:rsidRPr="00D806DD">
        <w:rPr>
          <w:color w:val="000000"/>
          <w:shd w:val="clear" w:color="auto" w:fill="FFFFFF"/>
        </w:rPr>
        <w:t>valproric</w:t>
      </w:r>
      <w:proofErr w:type="spellEnd"/>
      <w:r w:rsidRPr="00D806DD">
        <w:rPr>
          <w:color w:val="000000"/>
          <w:shd w:val="clear" w:color="auto" w:fill="FFFFFF"/>
        </w:rPr>
        <w:t xml:space="preserve"> acid](https://www.ncbi.nlm.nih.gov/pubmed/17349632/) impair NKC function, and should be avoided.</w:t>
      </w:r>
    </w:p>
    <w:p w14:paraId="48FB72BC" w14:textId="7DCC5791" w:rsidR="00D806DD" w:rsidRDefault="00D806DD" w:rsidP="00D806DD">
      <w:pPr>
        <w:pStyle w:val="NormalWeb"/>
        <w:spacing w:before="0" w:beforeAutospacing="0" w:after="0" w:afterAutospacing="0"/>
        <w:rPr>
          <w:color w:val="000000"/>
          <w:shd w:val="clear" w:color="auto" w:fill="FFFFFF"/>
        </w:rPr>
      </w:pPr>
      <w:bookmarkStart w:id="1" w:name="_Hlk511773107"/>
      <w:bookmarkEnd w:id="0"/>
    </w:p>
    <w:p w14:paraId="23484AA4" w14:textId="54295631" w:rsidR="00851C2A" w:rsidRDefault="00851C2A" w:rsidP="00D806DD">
      <w:pPr>
        <w:pStyle w:val="NormalWeb"/>
        <w:spacing w:before="0" w:beforeAutospacing="0" w:after="0" w:afterAutospacing="0"/>
        <w:rPr>
          <w:color w:val="000000"/>
          <w:shd w:val="clear" w:color="auto" w:fill="FFFFFF"/>
        </w:rPr>
      </w:pPr>
    </w:p>
    <w:p w14:paraId="50DC7ABA" w14:textId="446580D7" w:rsidR="00B705D1" w:rsidRDefault="00B705D1" w:rsidP="00D806DD">
      <w:pPr>
        <w:pStyle w:val="NormalWeb"/>
        <w:spacing w:before="0" w:beforeAutospacing="0" w:after="0" w:afterAutospacing="0"/>
        <w:rPr>
          <w:color w:val="000000"/>
          <w:shd w:val="clear" w:color="auto" w:fill="FFFFFF"/>
        </w:rPr>
      </w:pPr>
      <w:hyperlink r:id="rId114" w:history="1">
        <w:r w:rsidRPr="00FB1B95">
          <w:rPr>
            <w:rStyle w:val="Hyperlink"/>
            <w:shd w:val="clear" w:color="auto" w:fill="FFFFFF"/>
          </w:rPr>
          <w:t>https://www.ncbi.nlm.nih.gov/pubmed/28474623</w:t>
        </w:r>
      </w:hyperlink>
    </w:p>
    <w:p w14:paraId="652E1C61" w14:textId="77777777" w:rsidR="00B705D1" w:rsidRDefault="00B705D1" w:rsidP="00D806DD">
      <w:pPr>
        <w:pStyle w:val="NormalWeb"/>
        <w:spacing w:before="0" w:beforeAutospacing="0" w:after="0" w:afterAutospacing="0"/>
        <w:rPr>
          <w:color w:val="000000"/>
          <w:shd w:val="clear" w:color="auto" w:fill="FFFFFF"/>
        </w:rPr>
      </w:pPr>
    </w:p>
    <w:p w14:paraId="4755AB55" w14:textId="77777777" w:rsidR="00B705D1" w:rsidRDefault="00B705D1" w:rsidP="00B705D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The rs13180 (IREB2), rs16969968 (CHRNA5) and </w:t>
      </w:r>
      <w:r>
        <w:rPr>
          <w:rStyle w:val="highlight"/>
          <w:rFonts w:ascii="Arial" w:hAnsi="Arial" w:cs="Arial"/>
          <w:color w:val="000000"/>
          <w:sz w:val="25"/>
          <w:szCs w:val="25"/>
        </w:rPr>
        <w:t>rs1051730</w:t>
      </w:r>
      <w:r>
        <w:rPr>
          <w:rFonts w:ascii="Arial" w:hAnsi="Arial" w:cs="Arial"/>
          <w:color w:val="000000"/>
          <w:sz w:val="25"/>
          <w:szCs w:val="25"/>
        </w:rPr>
        <w:t> (CHRNA3) were significantly associated with COPD in additive model [</w:t>
      </w:r>
      <w:proofErr w:type="spellStart"/>
      <w:r>
        <w:rPr>
          <w:rFonts w:ascii="Arial" w:hAnsi="Arial" w:cs="Arial"/>
          <w:color w:val="000000"/>
          <w:sz w:val="25"/>
          <w:szCs w:val="25"/>
        </w:rPr>
        <w:t>Padj</w:t>
      </w:r>
      <w:proofErr w:type="spellEnd"/>
      <w:r>
        <w:rPr>
          <w:rFonts w:ascii="Arial" w:hAnsi="Arial" w:cs="Arial"/>
          <w:color w:val="000000"/>
          <w:sz w:val="25"/>
          <w:szCs w:val="25"/>
        </w:rPr>
        <w:t xml:space="preserve"> =0.00001, odds ratio (OR)=0.64; </w:t>
      </w:r>
      <w:proofErr w:type="spellStart"/>
      <w:r>
        <w:rPr>
          <w:rFonts w:ascii="Arial" w:hAnsi="Arial" w:cs="Arial"/>
          <w:color w:val="000000"/>
          <w:sz w:val="25"/>
          <w:szCs w:val="25"/>
        </w:rPr>
        <w:t>Padj</w:t>
      </w:r>
      <w:proofErr w:type="spellEnd"/>
      <w:r>
        <w:rPr>
          <w:rFonts w:ascii="Arial" w:hAnsi="Arial" w:cs="Arial"/>
          <w:color w:val="000000"/>
          <w:sz w:val="25"/>
          <w:szCs w:val="25"/>
        </w:rPr>
        <w:t xml:space="preserve"> =0.0001, OR=1.41 and </w:t>
      </w:r>
      <w:proofErr w:type="spellStart"/>
      <w:r>
        <w:rPr>
          <w:rFonts w:ascii="Arial" w:hAnsi="Arial" w:cs="Arial"/>
          <w:color w:val="000000"/>
          <w:sz w:val="25"/>
          <w:szCs w:val="25"/>
        </w:rPr>
        <w:t>Padj</w:t>
      </w:r>
      <w:proofErr w:type="spellEnd"/>
      <w:r>
        <w:rPr>
          <w:rFonts w:ascii="Arial" w:hAnsi="Arial" w:cs="Arial"/>
          <w:color w:val="000000"/>
          <w:sz w:val="25"/>
          <w:szCs w:val="25"/>
        </w:rPr>
        <w:t xml:space="preserve"> =0.0001, OR=1.47]. The C-G haplotype by rs13180 and </w:t>
      </w:r>
      <w:r>
        <w:rPr>
          <w:rStyle w:val="highlight"/>
          <w:rFonts w:ascii="Arial" w:hAnsi="Arial" w:cs="Arial"/>
          <w:color w:val="000000"/>
          <w:sz w:val="25"/>
          <w:szCs w:val="25"/>
        </w:rPr>
        <w:t>rs1051730</w:t>
      </w:r>
      <w:r>
        <w:rPr>
          <w:rFonts w:ascii="Arial" w:hAnsi="Arial" w:cs="Arial"/>
          <w:color w:val="000000"/>
          <w:sz w:val="25"/>
          <w:szCs w:val="25"/>
        </w:rPr>
        <w:t> was a protective factor for COPD in our population (</w:t>
      </w:r>
      <w:proofErr w:type="spellStart"/>
      <w:r>
        <w:rPr>
          <w:rFonts w:ascii="Arial" w:hAnsi="Arial" w:cs="Arial"/>
          <w:color w:val="000000"/>
          <w:sz w:val="25"/>
          <w:szCs w:val="25"/>
        </w:rPr>
        <w:t>Padj</w:t>
      </w:r>
      <w:proofErr w:type="spellEnd"/>
      <w:r>
        <w:rPr>
          <w:rFonts w:ascii="Arial" w:hAnsi="Arial" w:cs="Arial"/>
          <w:color w:val="000000"/>
          <w:sz w:val="25"/>
          <w:szCs w:val="25"/>
        </w:rPr>
        <w:t xml:space="preserve"> =0.0005, OR=0.61). These results </w:t>
      </w:r>
      <w:proofErr w:type="gramStart"/>
      <w:r>
        <w:rPr>
          <w:rFonts w:ascii="Arial" w:hAnsi="Arial" w:cs="Arial"/>
          <w:color w:val="000000"/>
          <w:sz w:val="25"/>
          <w:szCs w:val="25"/>
        </w:rPr>
        <w:t>were confirmed</w:t>
      </w:r>
      <w:proofErr w:type="gramEnd"/>
      <w:r>
        <w:rPr>
          <w:rFonts w:ascii="Arial" w:hAnsi="Arial" w:cs="Arial"/>
          <w:color w:val="000000"/>
          <w:sz w:val="25"/>
          <w:szCs w:val="25"/>
        </w:rPr>
        <w:t xml:space="preserve"> only in smokers. The rs16969968 and </w:t>
      </w:r>
      <w:r>
        <w:rPr>
          <w:rStyle w:val="highlight"/>
          <w:rFonts w:ascii="Arial" w:hAnsi="Arial" w:cs="Arial"/>
          <w:color w:val="000000"/>
          <w:sz w:val="25"/>
          <w:szCs w:val="25"/>
        </w:rPr>
        <w:t>rs1051730</w:t>
      </w:r>
      <w:r>
        <w:rPr>
          <w:rFonts w:ascii="Arial" w:hAnsi="Arial" w:cs="Arial"/>
          <w:color w:val="000000"/>
          <w:sz w:val="25"/>
          <w:szCs w:val="25"/>
        </w:rPr>
        <w:t> were associated with decrease of forced expiratory volume in 1 sec % predicted (</w:t>
      </w:r>
      <w:proofErr w:type="spellStart"/>
      <w:r>
        <w:rPr>
          <w:rFonts w:ascii="Arial" w:hAnsi="Arial" w:cs="Arial"/>
          <w:color w:val="000000"/>
          <w:sz w:val="25"/>
          <w:szCs w:val="25"/>
        </w:rPr>
        <w:t>Padj</w:t>
      </w:r>
      <w:proofErr w:type="spellEnd"/>
      <w:r>
        <w:rPr>
          <w:rFonts w:ascii="Arial" w:hAnsi="Arial" w:cs="Arial"/>
          <w:color w:val="000000"/>
          <w:sz w:val="25"/>
          <w:szCs w:val="25"/>
        </w:rPr>
        <w:t xml:space="preserve"> =0.005 and </w:t>
      </w:r>
      <w:proofErr w:type="spellStart"/>
      <w:r>
        <w:rPr>
          <w:rFonts w:ascii="Arial" w:hAnsi="Arial" w:cs="Arial"/>
          <w:color w:val="000000"/>
          <w:sz w:val="25"/>
          <w:szCs w:val="25"/>
        </w:rPr>
        <w:t>Padj</w:t>
      </w:r>
      <w:proofErr w:type="spellEnd"/>
      <w:r>
        <w:rPr>
          <w:rFonts w:ascii="Arial" w:hAnsi="Arial" w:cs="Arial"/>
          <w:color w:val="000000"/>
          <w:sz w:val="25"/>
          <w:szCs w:val="25"/>
        </w:rPr>
        <w:t xml:space="preserve"> =0.0019).</w:t>
      </w:r>
    </w:p>
    <w:p w14:paraId="3C9AAA7B" w14:textId="77777777" w:rsidR="00B705D1" w:rsidRDefault="00B705D1" w:rsidP="00B705D1">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INTERPRETATION &amp; CONCLUSIONS:</w:t>
      </w:r>
    </w:p>
    <w:p w14:paraId="148AF8EB" w14:textId="050C8D74" w:rsidR="00B705D1" w:rsidRDefault="00B705D1" w:rsidP="00B705D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Our study showed the association of rs13180, rs16969968 and </w:t>
      </w:r>
      <w:r>
        <w:rPr>
          <w:rStyle w:val="highlight"/>
          <w:rFonts w:ascii="Arial" w:hAnsi="Arial" w:cs="Arial"/>
          <w:color w:val="000000"/>
          <w:sz w:val="25"/>
          <w:szCs w:val="25"/>
        </w:rPr>
        <w:t>rs1051730</w:t>
      </w:r>
      <w:r>
        <w:rPr>
          <w:rFonts w:ascii="Arial" w:hAnsi="Arial" w:cs="Arial"/>
          <w:color w:val="000000"/>
          <w:sz w:val="25"/>
          <w:szCs w:val="25"/>
        </w:rPr>
        <w:t xml:space="preserve"> with COPD and lung function in Tatar population from Russia. Further studies need to </w:t>
      </w:r>
      <w:proofErr w:type="gramStart"/>
      <w:r>
        <w:rPr>
          <w:rFonts w:ascii="Arial" w:hAnsi="Arial" w:cs="Arial"/>
          <w:color w:val="000000"/>
          <w:sz w:val="25"/>
          <w:szCs w:val="25"/>
        </w:rPr>
        <w:t>be done</w:t>
      </w:r>
      <w:proofErr w:type="gramEnd"/>
      <w:r>
        <w:rPr>
          <w:rFonts w:ascii="Arial" w:hAnsi="Arial" w:cs="Arial"/>
          <w:color w:val="000000"/>
          <w:sz w:val="25"/>
          <w:szCs w:val="25"/>
        </w:rPr>
        <w:t xml:space="preserve"> in other ethnic populations.</w:t>
      </w:r>
    </w:p>
    <w:p w14:paraId="4D9B4A58" w14:textId="319D3F33" w:rsidR="00B705D1" w:rsidRDefault="00B705D1" w:rsidP="00B705D1">
      <w:pPr>
        <w:pStyle w:val="NormalWeb"/>
        <w:shd w:val="clear" w:color="auto" w:fill="FFFFFF"/>
        <w:spacing w:before="0" w:beforeAutospacing="0" w:after="120" w:afterAutospacing="0"/>
        <w:rPr>
          <w:rFonts w:ascii="Arial" w:hAnsi="Arial" w:cs="Arial"/>
          <w:color w:val="000000"/>
          <w:sz w:val="25"/>
          <w:szCs w:val="25"/>
        </w:rPr>
      </w:pPr>
      <w:hyperlink r:id="rId115" w:history="1">
        <w:r w:rsidRPr="00FB1B95">
          <w:rPr>
            <w:rStyle w:val="Hyperlink"/>
            <w:rFonts w:ascii="Arial" w:hAnsi="Arial" w:cs="Arial"/>
            <w:sz w:val="25"/>
            <w:szCs w:val="25"/>
          </w:rPr>
          <w:t>https://www.ncbi.nlm.nih.gov/pubmed/28049019</w:t>
        </w:r>
      </w:hyperlink>
    </w:p>
    <w:p w14:paraId="6902AF93" w14:textId="77777777" w:rsidR="00B705D1" w:rsidRDefault="00B705D1" w:rsidP="00B705D1">
      <w:pPr>
        <w:pStyle w:val="NormalWeb"/>
        <w:shd w:val="clear" w:color="auto" w:fill="FFFFFF"/>
        <w:spacing w:before="0" w:beforeAutospacing="0" w:after="120" w:afterAutospacing="0"/>
        <w:rPr>
          <w:rFonts w:ascii="Arial" w:hAnsi="Arial" w:cs="Arial"/>
          <w:color w:val="000000"/>
          <w:sz w:val="25"/>
          <w:szCs w:val="25"/>
        </w:rPr>
      </w:pPr>
    </w:p>
    <w:p w14:paraId="1E04592A" w14:textId="788E61E3" w:rsidR="00B705D1" w:rsidRDefault="00B705D1" w:rsidP="00B705D1">
      <w:pPr>
        <w:pStyle w:val="NormalWeb"/>
        <w:shd w:val="clear" w:color="auto" w:fill="FFFFFF"/>
        <w:spacing w:before="0" w:beforeAutospacing="0" w:after="12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 </w:t>
      </w:r>
      <w:r>
        <w:rPr>
          <w:rStyle w:val="highlight"/>
          <w:rFonts w:ascii="Arial" w:hAnsi="Arial" w:cs="Arial"/>
          <w:color w:val="000000"/>
          <w:sz w:val="20"/>
          <w:szCs w:val="20"/>
          <w:shd w:val="clear" w:color="auto" w:fill="FFFFFF"/>
        </w:rPr>
        <w:t>rs1051730</w:t>
      </w:r>
      <w:r>
        <w:rPr>
          <w:rFonts w:ascii="Arial" w:hAnsi="Arial" w:cs="Arial"/>
          <w:color w:val="000000"/>
          <w:sz w:val="20"/>
          <w:szCs w:val="20"/>
          <w:shd w:val="clear" w:color="auto" w:fill="FFFFFF"/>
        </w:rPr>
        <w:t> T alleles were associated with reduced risk of TJR among current smokers (HR 0.84, 95% CI 0.76-0.98, per T allele), </w:t>
      </w:r>
    </w:p>
    <w:p w14:paraId="094E43EB" w14:textId="7E9BB8DB" w:rsidR="00B705D1" w:rsidRDefault="00B705D1" w:rsidP="00B705D1">
      <w:pPr>
        <w:pStyle w:val="NormalWeb"/>
        <w:shd w:val="clear" w:color="auto" w:fill="FFFFFF"/>
        <w:spacing w:before="0" w:beforeAutospacing="0" w:after="120" w:afterAutospacing="0"/>
        <w:rPr>
          <w:rFonts w:ascii="Arial" w:hAnsi="Arial" w:cs="Arial"/>
          <w:color w:val="000000"/>
          <w:sz w:val="25"/>
          <w:szCs w:val="25"/>
        </w:rPr>
      </w:pPr>
      <w:hyperlink r:id="rId116" w:history="1">
        <w:r w:rsidRPr="00FB1B95">
          <w:rPr>
            <w:rStyle w:val="Hyperlink"/>
            <w:rFonts w:ascii="Arial" w:hAnsi="Arial" w:cs="Arial"/>
            <w:sz w:val="25"/>
            <w:szCs w:val="25"/>
          </w:rPr>
          <w:t>https://www.ncbi.nlm.nih.gov/pubmed/27663783</w:t>
        </w:r>
      </w:hyperlink>
    </w:p>
    <w:p w14:paraId="693228AD" w14:textId="77777777" w:rsidR="00B705D1" w:rsidRDefault="00B705D1" w:rsidP="00B705D1">
      <w:pPr>
        <w:pStyle w:val="NormalWeb"/>
        <w:shd w:val="clear" w:color="auto" w:fill="FFFFFF"/>
        <w:spacing w:before="0" w:beforeAutospacing="0" w:after="120" w:afterAutospacing="0"/>
        <w:rPr>
          <w:rFonts w:ascii="Arial" w:hAnsi="Arial" w:cs="Arial"/>
          <w:color w:val="000000"/>
          <w:sz w:val="25"/>
          <w:szCs w:val="25"/>
        </w:rPr>
      </w:pPr>
    </w:p>
    <w:p w14:paraId="2C99A3BA" w14:textId="0B23E0D8" w:rsidR="00B705D1" w:rsidRDefault="00B705D1" w:rsidP="00B705D1">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0"/>
          <w:szCs w:val="20"/>
          <w:shd w:val="clear" w:color="auto" w:fill="FFFFFF"/>
        </w:rPr>
        <w:t xml:space="preserve">Variants at 15q25 were significantly associated with CPD after multiple testing correction </w:t>
      </w:r>
      <w:r>
        <w:rPr>
          <w:rStyle w:val="highlight"/>
          <w:rFonts w:ascii="Arial" w:hAnsi="Arial" w:cs="Arial"/>
          <w:color w:val="000000"/>
          <w:sz w:val="20"/>
          <w:szCs w:val="20"/>
          <w:shd w:val="clear" w:color="auto" w:fill="FFFFFF"/>
        </w:rPr>
        <w:t>rs1051730</w:t>
      </w:r>
      <w:r>
        <w:rPr>
          <w:rFonts w:ascii="Arial" w:hAnsi="Arial" w:cs="Arial"/>
          <w:color w:val="000000"/>
          <w:sz w:val="20"/>
          <w:szCs w:val="20"/>
          <w:shd w:val="clear" w:color="auto" w:fill="FFFFFF"/>
        </w:rPr>
        <w:t>:</w:t>
      </w:r>
    </w:p>
    <w:p w14:paraId="50B2F233" w14:textId="7E69437D" w:rsidR="00B705D1" w:rsidRDefault="00B705D1" w:rsidP="00D806DD">
      <w:pPr>
        <w:pStyle w:val="NormalWeb"/>
        <w:spacing w:before="0" w:beforeAutospacing="0" w:after="0" w:afterAutospacing="0"/>
        <w:rPr>
          <w:color w:val="000000"/>
          <w:shd w:val="clear" w:color="auto" w:fill="FFFFFF"/>
        </w:rPr>
      </w:pPr>
      <w:hyperlink r:id="rId117" w:history="1">
        <w:r w:rsidRPr="00FB1B95">
          <w:rPr>
            <w:rStyle w:val="Hyperlink"/>
            <w:shd w:val="clear" w:color="auto" w:fill="FFFFFF"/>
          </w:rPr>
          <w:t>https://www.ncbi.nlm.nih.gov/pubmed/27613883</w:t>
        </w:r>
      </w:hyperlink>
    </w:p>
    <w:p w14:paraId="48BF3C2B" w14:textId="77777777" w:rsidR="00B705D1" w:rsidRDefault="00B705D1" w:rsidP="00D806DD">
      <w:pPr>
        <w:pStyle w:val="NormalWeb"/>
        <w:spacing w:before="0" w:beforeAutospacing="0" w:after="0" w:afterAutospacing="0"/>
        <w:rPr>
          <w:color w:val="000000"/>
          <w:shd w:val="clear" w:color="auto" w:fill="FFFFFF"/>
        </w:rPr>
      </w:pPr>
    </w:p>
    <w:p w14:paraId="6E9E113D" w14:textId="5648C490" w:rsidR="00851C2A" w:rsidRDefault="00B705D1" w:rsidP="00D806DD">
      <w:pPr>
        <w:pStyle w:val="NormalWeb"/>
        <w:spacing w:before="0" w:beforeAutospacing="0" w:after="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Self-reported amount of smoking was associated with all three dimensions of psychological distress. For </w:t>
      </w:r>
      <w:proofErr w:type="gramStart"/>
      <w:r>
        <w:rPr>
          <w:rFonts w:ascii="Arial" w:hAnsi="Arial" w:cs="Arial"/>
          <w:color w:val="000000"/>
          <w:sz w:val="20"/>
          <w:szCs w:val="20"/>
          <w:shd w:val="clear" w:color="auto" w:fill="FFFFFF"/>
        </w:rPr>
        <w:t>instance</w:t>
      </w:r>
      <w:proofErr w:type="gramEnd"/>
      <w:r>
        <w:rPr>
          <w:rFonts w:ascii="Arial" w:hAnsi="Arial" w:cs="Arial"/>
          <w:color w:val="000000"/>
          <w:sz w:val="20"/>
          <w:szCs w:val="20"/>
          <w:shd w:val="clear" w:color="auto" w:fill="FFFFFF"/>
        </w:rPr>
        <w:t xml:space="preserve"> among participants smoking 30 cigarettes/day or more, the odds ratio (OR) for stress was 1.67 (95% confidence interval [CI] 1.47-1.89) compared to never-smokers. Corresponding ORs for fatigue and hopelessness were 2.18 (95% CI 1.92-2.47) and 3.08 (95% CI 2.62-3.62). Among current smokers, </w:t>
      </w:r>
      <w:proofErr w:type="gramStart"/>
      <w:r>
        <w:rPr>
          <w:rFonts w:ascii="Arial" w:hAnsi="Arial" w:cs="Arial"/>
          <w:color w:val="000000"/>
          <w:sz w:val="20"/>
          <w:szCs w:val="20"/>
          <w:shd w:val="clear" w:color="auto" w:fill="FFFFFF"/>
        </w:rPr>
        <w:t>homozygotes</w:t>
      </w:r>
      <w:proofErr w:type="gramEnd"/>
      <w:r>
        <w:rPr>
          <w:rFonts w:ascii="Arial" w:hAnsi="Arial" w:cs="Arial"/>
          <w:color w:val="000000"/>
          <w:sz w:val="20"/>
          <w:szCs w:val="20"/>
          <w:shd w:val="clear" w:color="auto" w:fill="FFFFFF"/>
        </w:rPr>
        <w:t xml:space="preserve"> and heterozygotes for the CHRNA3 genotype had higher tobacco consumption than noncarriers. </w:t>
      </w:r>
    </w:p>
    <w:p w14:paraId="40A9B27C" w14:textId="6C766383" w:rsidR="00301C24" w:rsidRDefault="00301C24" w:rsidP="00D806DD">
      <w:pPr>
        <w:pStyle w:val="NormalWeb"/>
        <w:spacing w:before="0" w:beforeAutospacing="0" w:after="0" w:afterAutospacing="0"/>
        <w:rPr>
          <w:color w:val="000000"/>
          <w:shd w:val="clear" w:color="auto" w:fill="FFFFFF"/>
        </w:rPr>
      </w:pPr>
    </w:p>
    <w:p w14:paraId="14D481B8" w14:textId="165B4B94" w:rsidR="00301C24" w:rsidRDefault="00301C24" w:rsidP="00D806DD">
      <w:pPr>
        <w:pStyle w:val="NormalWeb"/>
        <w:spacing w:before="0" w:beforeAutospacing="0" w:after="0" w:afterAutospacing="0"/>
        <w:rPr>
          <w:color w:val="000000"/>
          <w:shd w:val="clear" w:color="auto" w:fill="FFFFFF"/>
        </w:rPr>
      </w:pPr>
      <w:hyperlink r:id="rId118" w:history="1">
        <w:r w:rsidRPr="00FB1B95">
          <w:rPr>
            <w:rStyle w:val="Hyperlink"/>
            <w:shd w:val="clear" w:color="auto" w:fill="FFFFFF"/>
          </w:rPr>
          <w:t>https://www.ncbi.nlm.nih.gov/pubmed/27127891</w:t>
        </w:r>
      </w:hyperlink>
    </w:p>
    <w:p w14:paraId="16F7B4FF" w14:textId="77777777" w:rsidR="00301C24" w:rsidRDefault="00301C24" w:rsidP="00D806DD">
      <w:pPr>
        <w:pStyle w:val="NormalWeb"/>
        <w:spacing w:before="0" w:beforeAutospacing="0" w:after="0" w:afterAutospacing="0"/>
        <w:rPr>
          <w:color w:val="000000"/>
          <w:shd w:val="clear" w:color="auto" w:fill="FFFFFF"/>
        </w:rPr>
      </w:pPr>
    </w:p>
    <w:p w14:paraId="12187075" w14:textId="476F2E7A" w:rsidR="00301C24" w:rsidRDefault="00301C24" w:rsidP="00D806DD">
      <w:pPr>
        <w:pStyle w:val="NormalWeb"/>
        <w:spacing w:before="0" w:beforeAutospacing="0" w:after="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We found a robust association between risk allele A of </w:t>
      </w:r>
      <w:r>
        <w:rPr>
          <w:rStyle w:val="highlight"/>
          <w:rFonts w:ascii="Arial" w:hAnsi="Arial" w:cs="Arial"/>
          <w:color w:val="000000"/>
          <w:sz w:val="20"/>
          <w:szCs w:val="20"/>
          <w:shd w:val="clear" w:color="auto" w:fill="FFFFFF"/>
        </w:rPr>
        <w:t>rs1051730</w:t>
      </w:r>
      <w:r>
        <w:rPr>
          <w:rFonts w:ascii="Arial" w:hAnsi="Arial" w:cs="Arial"/>
          <w:color w:val="000000"/>
          <w:sz w:val="20"/>
          <w:szCs w:val="20"/>
          <w:shd w:val="clear" w:color="auto" w:fill="FFFFFF"/>
        </w:rPr>
        <w:t> and CPD &gt;10 (odds ratio (OR)=1.77, 95% confidence interval (CI): 1.20-2.59, p=0.004),</w:t>
      </w:r>
    </w:p>
    <w:p w14:paraId="0F56E3A0" w14:textId="5EC3809D" w:rsidR="00301C24" w:rsidRDefault="00301C24" w:rsidP="00D806DD">
      <w:pPr>
        <w:pStyle w:val="NormalWeb"/>
        <w:spacing w:before="0" w:beforeAutospacing="0" w:after="0" w:afterAutospacing="0"/>
        <w:rPr>
          <w:color w:val="000000"/>
          <w:shd w:val="clear" w:color="auto" w:fill="FFFFFF"/>
        </w:rPr>
      </w:pPr>
    </w:p>
    <w:p w14:paraId="0D29F196" w14:textId="448FA34D" w:rsidR="00301C24" w:rsidRDefault="00301C24" w:rsidP="00D806DD">
      <w:pPr>
        <w:pStyle w:val="NormalWeb"/>
        <w:spacing w:before="0" w:beforeAutospacing="0" w:after="0" w:afterAutospacing="0"/>
        <w:rPr>
          <w:color w:val="000000"/>
          <w:shd w:val="clear" w:color="auto" w:fill="FFFFFF"/>
        </w:rPr>
      </w:pPr>
      <w:hyperlink r:id="rId119" w:history="1">
        <w:r w:rsidRPr="00FB1B95">
          <w:rPr>
            <w:rStyle w:val="Hyperlink"/>
            <w:shd w:val="clear" w:color="auto" w:fill="FFFFFF"/>
          </w:rPr>
          <w:t>https://www.ncbi.nlm.nih.gov/pubmed/27072204</w:t>
        </w:r>
      </w:hyperlink>
    </w:p>
    <w:p w14:paraId="1799EC85" w14:textId="77777777" w:rsidR="00301C24" w:rsidRDefault="00301C24" w:rsidP="00D806DD">
      <w:pPr>
        <w:pStyle w:val="NormalWeb"/>
        <w:spacing w:before="0" w:beforeAutospacing="0" w:after="0" w:afterAutospacing="0"/>
        <w:rPr>
          <w:color w:val="000000"/>
          <w:shd w:val="clear" w:color="auto" w:fill="FFFFFF"/>
        </w:rPr>
      </w:pPr>
    </w:p>
    <w:p w14:paraId="31E9B5C6" w14:textId="5C30FF6B" w:rsidR="00301C24" w:rsidRDefault="00301C24" w:rsidP="00D806DD">
      <w:pPr>
        <w:pStyle w:val="NormalWeb"/>
        <w:spacing w:before="0" w:beforeAutospacing="0" w:after="0" w:afterAutospacing="0"/>
        <w:rPr>
          <w:color w:val="000000"/>
          <w:shd w:val="clear" w:color="auto" w:fill="FFFFFF"/>
        </w:rPr>
      </w:pPr>
      <w:r>
        <w:rPr>
          <w:rFonts w:ascii="Arial" w:hAnsi="Arial" w:cs="Arial"/>
          <w:color w:val="000000"/>
          <w:sz w:val="20"/>
          <w:szCs w:val="20"/>
          <w:shd w:val="clear" w:color="auto" w:fill="FFFFFF"/>
        </w:rPr>
        <w:t>In summary, CHRNA3 </w:t>
      </w:r>
      <w:r>
        <w:rPr>
          <w:rStyle w:val="highlight"/>
          <w:rFonts w:ascii="Arial" w:hAnsi="Arial" w:cs="Arial"/>
          <w:color w:val="000000"/>
          <w:sz w:val="20"/>
          <w:szCs w:val="20"/>
          <w:shd w:val="clear" w:color="auto" w:fill="FFFFFF"/>
        </w:rPr>
        <w:t>rs1051730</w:t>
      </w:r>
      <w:r>
        <w:rPr>
          <w:rFonts w:ascii="Arial" w:hAnsi="Arial" w:cs="Arial"/>
          <w:color w:val="000000"/>
          <w:sz w:val="20"/>
          <w:szCs w:val="20"/>
          <w:shd w:val="clear" w:color="auto" w:fill="FFFFFF"/>
        </w:rPr>
        <w:t> (G &gt; A) and AGPHD1 rs8034191 (A &gt; G) were more susceptible to lung cancers than noncarriers.</w:t>
      </w:r>
    </w:p>
    <w:p w14:paraId="29DFE0B1" w14:textId="32D9AD7D" w:rsidR="00301C24" w:rsidRDefault="00301C24" w:rsidP="00D806DD">
      <w:pPr>
        <w:pStyle w:val="NormalWeb"/>
        <w:spacing w:before="0" w:beforeAutospacing="0" w:after="0" w:afterAutospacing="0"/>
        <w:rPr>
          <w:color w:val="000000"/>
          <w:shd w:val="clear" w:color="auto" w:fill="FFFFFF"/>
        </w:rPr>
      </w:pPr>
    </w:p>
    <w:p w14:paraId="63E16CF9" w14:textId="22DEEA57" w:rsidR="00301C24" w:rsidRDefault="00301C24" w:rsidP="00D806DD">
      <w:pPr>
        <w:pStyle w:val="NormalWeb"/>
        <w:spacing w:before="0" w:beforeAutospacing="0" w:after="0" w:afterAutospacing="0"/>
        <w:rPr>
          <w:color w:val="000000"/>
          <w:shd w:val="clear" w:color="auto" w:fill="FFFFFF"/>
        </w:rPr>
      </w:pPr>
      <w:hyperlink r:id="rId120" w:history="1">
        <w:r w:rsidRPr="00FB1B95">
          <w:rPr>
            <w:rStyle w:val="Hyperlink"/>
            <w:shd w:val="clear" w:color="auto" w:fill="FFFFFF"/>
          </w:rPr>
          <w:t>https://www.ncbi.nlm.nih.gov/pubmed/26508385</w:t>
        </w:r>
      </w:hyperlink>
    </w:p>
    <w:p w14:paraId="42BB94D8" w14:textId="77777777" w:rsidR="00301C24" w:rsidRDefault="00301C24" w:rsidP="00D806DD">
      <w:pPr>
        <w:pStyle w:val="NormalWeb"/>
        <w:spacing w:before="0" w:beforeAutospacing="0" w:after="0" w:afterAutospacing="0"/>
        <w:rPr>
          <w:color w:val="000000"/>
          <w:shd w:val="clear" w:color="auto" w:fill="FFFFFF"/>
        </w:rPr>
      </w:pPr>
    </w:p>
    <w:p w14:paraId="0DE0BA5C" w14:textId="13B571C1" w:rsidR="00301C24" w:rsidRDefault="00301C24" w:rsidP="00D806DD">
      <w:pPr>
        <w:pStyle w:val="NormalWeb"/>
        <w:spacing w:before="0" w:beforeAutospacing="0" w:after="0" w:afterAutospacing="0"/>
        <w:rPr>
          <w:color w:val="000000"/>
          <w:shd w:val="clear" w:color="auto" w:fill="FFFFFF"/>
        </w:rPr>
      </w:pPr>
      <w:r>
        <w:rPr>
          <w:rFonts w:ascii="Arial" w:hAnsi="Arial" w:cs="Arial"/>
          <w:color w:val="000000"/>
          <w:sz w:val="20"/>
          <w:szCs w:val="20"/>
          <w:shd w:val="clear" w:color="auto" w:fill="FFFFFF"/>
        </w:rPr>
        <w:t>We observed a significant association between lung cancer and </w:t>
      </w:r>
      <w:r>
        <w:rPr>
          <w:rStyle w:val="highlight"/>
          <w:rFonts w:ascii="Arial" w:hAnsi="Arial" w:cs="Arial"/>
          <w:color w:val="000000"/>
          <w:sz w:val="20"/>
          <w:szCs w:val="20"/>
          <w:shd w:val="clear" w:color="auto" w:fill="FFFFFF"/>
        </w:rPr>
        <w:t>rs1051730</w:t>
      </w:r>
      <w:r>
        <w:rPr>
          <w:rFonts w:ascii="Arial" w:hAnsi="Arial" w:cs="Arial"/>
          <w:color w:val="000000"/>
          <w:sz w:val="20"/>
          <w:szCs w:val="20"/>
          <w:shd w:val="clear" w:color="auto" w:fill="FFFFFF"/>
        </w:rPr>
        <w:t> in pooled population by using allele (OR = 1.30, 95% CI = 1.27-1.34, P &lt;  0.0001), dominant (OR = 1.41, 95% CI = 1.29-1.55, P &lt; 0.0001), recessive (OR = 1.53, 95% CI = 1.42-1.65, P &lt; 0.0001) and additive (OR = 1.75, 95% CI = 1.61-1.90, P &lt; 0.0001) models. </w:t>
      </w:r>
    </w:p>
    <w:p w14:paraId="6EAEB638" w14:textId="5BAE96D1" w:rsidR="00301C24" w:rsidRDefault="00301C24" w:rsidP="00D806DD">
      <w:pPr>
        <w:pStyle w:val="NormalWeb"/>
        <w:spacing w:before="0" w:beforeAutospacing="0" w:after="0" w:afterAutospacing="0"/>
        <w:rPr>
          <w:color w:val="000000"/>
          <w:shd w:val="clear" w:color="auto" w:fill="FFFFFF"/>
        </w:rPr>
      </w:pPr>
    </w:p>
    <w:p w14:paraId="53DCB0BB" w14:textId="6F36FB5E" w:rsidR="00301C24" w:rsidRDefault="00301C24" w:rsidP="00D806DD">
      <w:pPr>
        <w:pStyle w:val="NormalWeb"/>
        <w:spacing w:before="0" w:beforeAutospacing="0" w:after="0" w:afterAutospacing="0"/>
        <w:rPr>
          <w:color w:val="000000"/>
          <w:shd w:val="clear" w:color="auto" w:fill="FFFFFF"/>
        </w:rPr>
      </w:pPr>
      <w:hyperlink r:id="rId121" w:history="1">
        <w:r w:rsidRPr="00FB1B95">
          <w:rPr>
            <w:rStyle w:val="Hyperlink"/>
            <w:shd w:val="clear" w:color="auto" w:fill="FFFFFF"/>
          </w:rPr>
          <w:t>https://www.ncbi.nlm.nih.gov/pubmed/26054357</w:t>
        </w:r>
      </w:hyperlink>
    </w:p>
    <w:p w14:paraId="01AF5DC3" w14:textId="77777777" w:rsidR="00301C24" w:rsidRDefault="00301C24" w:rsidP="00D806DD">
      <w:pPr>
        <w:pStyle w:val="NormalWeb"/>
        <w:spacing w:before="0" w:beforeAutospacing="0" w:after="0" w:afterAutospacing="0"/>
        <w:rPr>
          <w:color w:val="000000"/>
          <w:shd w:val="clear" w:color="auto" w:fill="FFFFFF"/>
        </w:rPr>
      </w:pPr>
    </w:p>
    <w:p w14:paraId="51CD4CE1" w14:textId="4F01E5BB" w:rsidR="00301C24" w:rsidRDefault="00301C24" w:rsidP="00D806DD">
      <w:pPr>
        <w:pStyle w:val="NormalWeb"/>
        <w:spacing w:before="0" w:beforeAutospacing="0" w:after="0" w:afterAutospacing="0"/>
        <w:rPr>
          <w:color w:val="000000"/>
          <w:shd w:val="clear" w:color="auto" w:fill="FFFFFF"/>
        </w:rPr>
      </w:pPr>
      <w:r>
        <w:rPr>
          <w:rFonts w:ascii="Arial" w:hAnsi="Arial" w:cs="Arial"/>
          <w:color w:val="000000"/>
          <w:sz w:val="20"/>
          <w:szCs w:val="20"/>
          <w:shd w:val="clear" w:color="auto" w:fill="FFFFFF"/>
        </w:rPr>
        <w:t>n smokers, heterozygotes (CT) and homozygotes (TT) for </w:t>
      </w:r>
      <w:r>
        <w:rPr>
          <w:rStyle w:val="highlight"/>
          <w:rFonts w:ascii="Arial" w:hAnsi="Arial" w:cs="Arial"/>
          <w:color w:val="000000"/>
          <w:sz w:val="20"/>
          <w:szCs w:val="20"/>
          <w:shd w:val="clear" w:color="auto" w:fill="FFFFFF"/>
        </w:rPr>
        <w:t>rs1051730</w:t>
      </w:r>
      <w:r>
        <w:rPr>
          <w:rFonts w:ascii="Arial" w:hAnsi="Arial" w:cs="Arial"/>
          <w:color w:val="000000"/>
          <w:sz w:val="20"/>
          <w:szCs w:val="20"/>
          <w:shd w:val="clear" w:color="auto" w:fill="FFFFFF"/>
        </w:rPr>
        <w:t> genotype had higher smoking intensity compared with non-carriers (CC). Furthermore, in ever-smokers homozygotes had increased risk of antipsychotic medication with an odds ratio (OR) of 1.16 compared with non-carriers, Correspondingly, ORs were 1.60 (0.74-3.47) for schizophrenia and 1.31 (1.16-1.47) and 0.89 (0.58-1.36) for chronic obstructive pulmonary disease (P-interaction: 0.16). Odds ratios per </w:t>
      </w:r>
      <w:r>
        <w:rPr>
          <w:rStyle w:val="highlight"/>
          <w:rFonts w:ascii="Arial" w:hAnsi="Arial" w:cs="Arial"/>
          <w:color w:val="000000"/>
          <w:sz w:val="20"/>
          <w:szCs w:val="20"/>
          <w:shd w:val="clear" w:color="auto" w:fill="FFFFFF"/>
        </w:rPr>
        <w:t>rs1051730</w:t>
      </w:r>
      <w:r>
        <w:rPr>
          <w:rFonts w:ascii="Arial" w:hAnsi="Arial" w:cs="Arial"/>
          <w:color w:val="000000"/>
          <w:sz w:val="20"/>
          <w:szCs w:val="20"/>
          <w:shd w:val="clear" w:color="auto" w:fill="FFFFFF"/>
        </w:rPr>
        <w:t> allele for schizophrenia and antipsychotic medication use in ever-smokers in the general population were 1.22 (95% CI: 0.84-1.79) and 1.06 (1.00-1.12). In the Psychiatric Genomics Consortium, the corresponding OR for schizophrenia was 1.06 (1.04-1.08) in ever- and never-smokers combined.</w:t>
      </w:r>
    </w:p>
    <w:p w14:paraId="4E12328E" w14:textId="76E5669F" w:rsidR="00301C24" w:rsidRDefault="00301C24" w:rsidP="00D806DD">
      <w:pPr>
        <w:pStyle w:val="NormalWeb"/>
        <w:spacing w:before="0" w:beforeAutospacing="0" w:after="0" w:afterAutospacing="0"/>
        <w:rPr>
          <w:color w:val="000000"/>
          <w:shd w:val="clear" w:color="auto" w:fill="FFFFFF"/>
        </w:rPr>
      </w:pPr>
    </w:p>
    <w:p w14:paraId="599EEB67" w14:textId="2546EB71" w:rsidR="00301C24" w:rsidRDefault="00301C24" w:rsidP="00D806DD">
      <w:pPr>
        <w:pStyle w:val="NormalWeb"/>
        <w:spacing w:before="0" w:beforeAutospacing="0" w:after="0" w:afterAutospacing="0"/>
        <w:rPr>
          <w:color w:val="000000"/>
          <w:shd w:val="clear" w:color="auto" w:fill="FFFFFF"/>
        </w:rPr>
      </w:pPr>
      <w:hyperlink r:id="rId122" w:history="1">
        <w:r w:rsidRPr="00FB1B95">
          <w:rPr>
            <w:rStyle w:val="Hyperlink"/>
            <w:shd w:val="clear" w:color="auto" w:fill="FFFFFF"/>
          </w:rPr>
          <w:t>https://www.ncbi.nlm.nih.gov/pubmed/25891233</w:t>
        </w:r>
      </w:hyperlink>
    </w:p>
    <w:p w14:paraId="793C5040" w14:textId="77777777" w:rsidR="00301C24" w:rsidRDefault="00301C24" w:rsidP="00D806DD">
      <w:pPr>
        <w:pStyle w:val="NormalWeb"/>
        <w:spacing w:before="0" w:beforeAutospacing="0" w:after="0" w:afterAutospacing="0"/>
        <w:rPr>
          <w:color w:val="000000"/>
          <w:shd w:val="clear" w:color="auto" w:fill="FFFFFF"/>
        </w:rPr>
      </w:pPr>
    </w:p>
    <w:p w14:paraId="2317B46A" w14:textId="7B99F50E" w:rsidR="00301C24" w:rsidRDefault="00301C24" w:rsidP="00D806DD">
      <w:pPr>
        <w:pStyle w:val="NormalWeb"/>
        <w:spacing w:before="0" w:beforeAutospacing="0" w:after="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An association between </w:t>
      </w:r>
      <w:r>
        <w:rPr>
          <w:rStyle w:val="highlight"/>
          <w:rFonts w:ascii="Arial" w:hAnsi="Arial" w:cs="Arial"/>
          <w:color w:val="000000"/>
          <w:sz w:val="20"/>
          <w:szCs w:val="20"/>
          <w:shd w:val="clear" w:color="auto" w:fill="FFFFFF"/>
        </w:rPr>
        <w:t>rs1051730</w:t>
      </w:r>
      <w:r>
        <w:rPr>
          <w:rFonts w:ascii="Arial" w:hAnsi="Arial" w:cs="Arial"/>
          <w:color w:val="000000"/>
          <w:sz w:val="20"/>
          <w:szCs w:val="20"/>
          <w:shd w:val="clear" w:color="auto" w:fill="FFFFFF"/>
        </w:rPr>
        <w:t xml:space="preserve"> genotype and both outcome measures </w:t>
      </w:r>
      <w:proofErr w:type="gramStart"/>
      <w:r>
        <w:rPr>
          <w:rFonts w:ascii="Arial" w:hAnsi="Arial" w:cs="Arial"/>
          <w:color w:val="000000"/>
          <w:sz w:val="20"/>
          <w:szCs w:val="20"/>
          <w:shd w:val="clear" w:color="auto" w:fill="FFFFFF"/>
        </w:rPr>
        <w:t>was observed</w:t>
      </w:r>
      <w:proofErr w:type="gramEnd"/>
      <w:r>
        <w:rPr>
          <w:rFonts w:ascii="Arial" w:hAnsi="Arial" w:cs="Arial"/>
          <w:color w:val="000000"/>
          <w:sz w:val="20"/>
          <w:szCs w:val="20"/>
          <w:shd w:val="clear" w:color="auto" w:fill="FFFFFF"/>
        </w:rPr>
        <w:t xml:space="preserve"> at 7-days after the quit date. Each copy of the minor allele corresponded to a 2.9% decrease in adherence to prescribed N</w:t>
      </w:r>
      <w:r>
        <w:rPr>
          <w:rFonts w:ascii="Arial" w:hAnsi="Arial" w:cs="Arial"/>
          <w:color w:val="000000"/>
          <w:sz w:val="20"/>
          <w:szCs w:val="20"/>
          <w:shd w:val="clear" w:color="auto" w:fill="FFFFFF"/>
        </w:rPr>
        <w:t>icotine replacement therapy</w:t>
      </w:r>
      <w:r>
        <w:rPr>
          <w:rFonts w:ascii="Arial" w:hAnsi="Arial" w:cs="Arial"/>
          <w:color w:val="000000"/>
          <w:sz w:val="20"/>
          <w:szCs w:val="20"/>
          <w:shd w:val="clear" w:color="auto" w:fill="FFFFFF"/>
        </w:rPr>
        <w:t xml:space="preserve"> dose (P = 0.044), and a 1.0mg decrease in daily NRT consumption (P = 0.026). </w:t>
      </w:r>
    </w:p>
    <w:p w14:paraId="5C5B12F2" w14:textId="58CF265D" w:rsidR="00301C24" w:rsidRDefault="00301C24" w:rsidP="00D806DD">
      <w:pPr>
        <w:pStyle w:val="NormalWeb"/>
        <w:spacing w:before="0" w:beforeAutospacing="0" w:after="0" w:afterAutospacing="0"/>
        <w:rPr>
          <w:color w:val="000000"/>
          <w:shd w:val="clear" w:color="auto" w:fill="FFFFFF"/>
        </w:rPr>
      </w:pPr>
    </w:p>
    <w:p w14:paraId="1DFFA1D1" w14:textId="5C653DFD" w:rsidR="00404BE6" w:rsidRDefault="00404BE6" w:rsidP="00D806DD">
      <w:pPr>
        <w:pStyle w:val="NormalWeb"/>
        <w:spacing w:before="0" w:beforeAutospacing="0" w:after="0" w:afterAutospacing="0"/>
        <w:rPr>
          <w:color w:val="000000"/>
          <w:shd w:val="clear" w:color="auto" w:fill="FFFFFF"/>
        </w:rPr>
      </w:pPr>
      <w:hyperlink r:id="rId123" w:history="1">
        <w:r w:rsidRPr="00FB1B95">
          <w:rPr>
            <w:rStyle w:val="Hyperlink"/>
            <w:shd w:val="clear" w:color="auto" w:fill="FFFFFF"/>
          </w:rPr>
          <w:t>https://www.ncbi.nlm.nih.gov/pubmed/25777141</w:t>
        </w:r>
      </w:hyperlink>
    </w:p>
    <w:p w14:paraId="69B1A92A" w14:textId="77777777" w:rsidR="00404BE6" w:rsidRDefault="00404BE6" w:rsidP="00D806DD">
      <w:pPr>
        <w:pStyle w:val="NormalWeb"/>
        <w:spacing w:before="0" w:beforeAutospacing="0" w:after="0" w:afterAutospacing="0"/>
        <w:rPr>
          <w:color w:val="000000"/>
          <w:shd w:val="clear" w:color="auto" w:fill="FFFFFF"/>
        </w:rPr>
      </w:pPr>
    </w:p>
    <w:p w14:paraId="7409298F" w14:textId="6B989D15" w:rsidR="00301C24" w:rsidRDefault="00404BE6" w:rsidP="00D806DD">
      <w:pPr>
        <w:pStyle w:val="NormalWeb"/>
        <w:spacing w:before="0" w:beforeAutospacing="0" w:after="0" w:afterAutospacing="0"/>
        <w:rPr>
          <w:color w:val="000000"/>
          <w:shd w:val="clear" w:color="auto" w:fill="FFFFFF"/>
        </w:rPr>
      </w:pPr>
      <w:proofErr w:type="spellStart"/>
      <w:r>
        <w:rPr>
          <w:rFonts w:ascii="Arial" w:hAnsi="Arial" w:cs="Arial"/>
          <w:color w:val="000000"/>
          <w:sz w:val="20"/>
          <w:szCs w:val="20"/>
          <w:shd w:val="clear" w:color="auto" w:fill="FFFFFF"/>
        </w:rPr>
        <w:t>n</w:t>
      </w:r>
      <w:proofErr w:type="spellEnd"/>
      <w:r>
        <w:rPr>
          <w:rFonts w:ascii="Arial" w:hAnsi="Arial" w:cs="Arial"/>
          <w:color w:val="000000"/>
          <w:sz w:val="20"/>
          <w:szCs w:val="20"/>
          <w:shd w:val="clear" w:color="auto" w:fill="FFFFFF"/>
        </w:rPr>
        <w:t xml:space="preserve"> contrast, the per-allele increase inCHRNA3 </w:t>
      </w:r>
      <w:r>
        <w:rPr>
          <w:rStyle w:val="highlight"/>
          <w:rFonts w:ascii="Arial" w:hAnsi="Arial" w:cs="Arial"/>
          <w:color w:val="000000"/>
          <w:sz w:val="20"/>
          <w:szCs w:val="20"/>
          <w:shd w:val="clear" w:color="auto" w:fill="FFFFFF"/>
        </w:rPr>
        <w:t>rs1051730</w:t>
      </w:r>
      <w:r>
        <w:rPr>
          <w:rFonts w:ascii="Arial" w:hAnsi="Arial" w:cs="Arial"/>
          <w:color w:val="000000"/>
          <w:sz w:val="20"/>
          <w:szCs w:val="20"/>
          <w:shd w:val="clear" w:color="auto" w:fill="FFFFFF"/>
        </w:rPr>
        <w:t> associated with high tobacco consumption was associated with 0.59 kg (0.96; 0.22) lower body weight, 0.23 kg/</w:t>
      </w:r>
      <w:proofErr w:type="gramStart"/>
      <w:r>
        <w:rPr>
          <w:rFonts w:ascii="Arial" w:hAnsi="Arial" w:cs="Arial"/>
          <w:color w:val="000000"/>
          <w:sz w:val="20"/>
          <w:szCs w:val="20"/>
          <w:shd w:val="clear" w:color="auto" w:fill="FFFFFF"/>
        </w:rPr>
        <w:t>m(</w:t>
      </w:r>
      <w:proofErr w:type="gramEnd"/>
      <w:r>
        <w:rPr>
          <w:rFonts w:ascii="Arial" w:hAnsi="Arial" w:cs="Arial"/>
          <w:color w:val="000000"/>
          <w:sz w:val="20"/>
          <w:szCs w:val="20"/>
          <w:shd w:val="clear" w:color="auto" w:fill="FFFFFF"/>
        </w:rPr>
        <w:t>2) (0.33; 0.13) lower body mass index, 0.32 cm (0.74; 0.003) lower waist circumference and 0.45 cm (0.66; 0.24) lower hip circumference. </w:t>
      </w:r>
    </w:p>
    <w:p w14:paraId="2C0074C0" w14:textId="264BFF5F" w:rsidR="00301C24" w:rsidRDefault="00301C24" w:rsidP="00D806DD">
      <w:pPr>
        <w:pStyle w:val="NormalWeb"/>
        <w:spacing w:before="0" w:beforeAutospacing="0" w:after="0" w:afterAutospacing="0"/>
        <w:rPr>
          <w:color w:val="000000"/>
          <w:shd w:val="clear" w:color="auto" w:fill="FFFFFF"/>
        </w:rPr>
      </w:pPr>
    </w:p>
    <w:p w14:paraId="4C909862" w14:textId="675B58CC" w:rsidR="00404BE6" w:rsidRDefault="00404BE6" w:rsidP="00D806DD">
      <w:pPr>
        <w:pStyle w:val="NormalWeb"/>
        <w:spacing w:before="0" w:beforeAutospacing="0" w:after="0" w:afterAutospacing="0"/>
        <w:rPr>
          <w:color w:val="000000"/>
          <w:shd w:val="clear" w:color="auto" w:fill="FFFFFF"/>
        </w:rPr>
      </w:pPr>
      <w:hyperlink r:id="rId124" w:history="1">
        <w:r w:rsidRPr="00FB1B95">
          <w:rPr>
            <w:rStyle w:val="Hyperlink"/>
            <w:shd w:val="clear" w:color="auto" w:fill="FFFFFF"/>
          </w:rPr>
          <w:t>https://www.ncbi.nlm.nih.gov/pubmed/25632390</w:t>
        </w:r>
      </w:hyperlink>
    </w:p>
    <w:p w14:paraId="5F10F1B2" w14:textId="77777777" w:rsidR="00404BE6" w:rsidRDefault="00404BE6" w:rsidP="00D806DD">
      <w:pPr>
        <w:pStyle w:val="NormalWeb"/>
        <w:spacing w:before="0" w:beforeAutospacing="0" w:after="0" w:afterAutospacing="0"/>
        <w:rPr>
          <w:color w:val="000000"/>
          <w:shd w:val="clear" w:color="auto" w:fill="FFFFFF"/>
        </w:rPr>
      </w:pPr>
    </w:p>
    <w:p w14:paraId="515A5BB3" w14:textId="366A70B0" w:rsidR="00404BE6" w:rsidRDefault="00404BE6" w:rsidP="00D806DD">
      <w:pPr>
        <w:pStyle w:val="NormalWeb"/>
        <w:spacing w:before="0" w:beforeAutospacing="0" w:after="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Further analysis revealed the association between rs16969868-1051730 (OR = 2.66; 95% CI: 1.30-5.42) and number of cigarettes smoked per day (CPD) with heaviness of nicotine addiction measured by the </w:t>
      </w:r>
      <w:proofErr w:type="spellStart"/>
      <w:r>
        <w:rPr>
          <w:rFonts w:ascii="Arial" w:hAnsi="Arial" w:cs="Arial"/>
          <w:color w:val="000000"/>
          <w:sz w:val="20"/>
          <w:szCs w:val="20"/>
          <w:shd w:val="clear" w:color="auto" w:fill="FFFFFF"/>
        </w:rPr>
        <w:t>Fagerström</w:t>
      </w:r>
      <w:proofErr w:type="spellEnd"/>
      <w:r>
        <w:rPr>
          <w:rFonts w:ascii="Arial" w:hAnsi="Arial" w:cs="Arial"/>
          <w:color w:val="000000"/>
          <w:sz w:val="20"/>
          <w:szCs w:val="20"/>
          <w:shd w:val="clear" w:color="auto" w:fill="FFFFFF"/>
        </w:rPr>
        <w:t xml:space="preserve"> Test for Nicotine Dependence (FTND) (OR = 2.60; 95% CI: 1.24-5.43). </w:t>
      </w:r>
    </w:p>
    <w:p w14:paraId="2C71DCF7" w14:textId="79066227" w:rsidR="00404BE6" w:rsidRDefault="00404BE6" w:rsidP="00D806DD">
      <w:pPr>
        <w:pStyle w:val="NormalWeb"/>
        <w:spacing w:before="0" w:beforeAutospacing="0" w:after="0" w:afterAutospacing="0"/>
        <w:rPr>
          <w:color w:val="000000"/>
          <w:shd w:val="clear" w:color="auto" w:fill="FFFFFF"/>
        </w:rPr>
      </w:pPr>
    </w:p>
    <w:p w14:paraId="3D3485A5" w14:textId="77777777" w:rsidR="00CF1371" w:rsidRDefault="00CF1371" w:rsidP="00CF1371">
      <w:pPr>
        <w:pStyle w:val="NormalWeb"/>
        <w:spacing w:before="0" w:beforeAutospacing="0" w:after="0" w:afterAutospacing="0"/>
        <w:rPr>
          <w:color w:val="000000"/>
          <w:shd w:val="clear" w:color="auto" w:fill="FFFFFF"/>
        </w:rPr>
      </w:pPr>
    </w:p>
    <w:p w14:paraId="14586EF6" w14:textId="77777777" w:rsidR="00CF1371" w:rsidRDefault="00CF1371" w:rsidP="00D806DD">
      <w:pPr>
        <w:pStyle w:val="NormalWeb"/>
        <w:spacing w:before="0" w:beforeAutospacing="0" w:after="0" w:afterAutospacing="0"/>
        <w:rPr>
          <w:color w:val="000000"/>
          <w:shd w:val="clear" w:color="auto" w:fill="FFFFFF"/>
        </w:rPr>
      </w:pPr>
    </w:p>
    <w:p w14:paraId="4053C57A" w14:textId="012C66B7" w:rsidR="00CF1371" w:rsidRPr="0083564D" w:rsidRDefault="00404BE6" w:rsidP="00F36764">
      <w:pPr>
        <w:pStyle w:val="NormalWeb"/>
        <w:spacing w:before="0" w:beforeAutospacing="0" w:after="0" w:afterAutospacing="0"/>
        <w:rPr>
          <w:color w:val="000000"/>
          <w:shd w:val="clear" w:color="auto" w:fill="FFFFFF"/>
        </w:rPr>
      </w:pPr>
      <w:r w:rsidRPr="0083564D">
        <w:rPr>
          <w:color w:val="000000"/>
          <w:shd w:val="clear" w:color="auto" w:fill="FFFFFF"/>
        </w:rPr>
        <w:t>This heterozygous variant causes increased risk of [</w:t>
      </w:r>
      <w:r w:rsidR="00CF1371" w:rsidRPr="0083564D">
        <w:rPr>
          <w:color w:val="000000"/>
          <w:shd w:val="clear" w:color="auto" w:fill="FFFFFF"/>
        </w:rPr>
        <w:t>adenocarcinoma</w:t>
      </w:r>
      <w:r w:rsidR="00F36764" w:rsidRPr="0083564D">
        <w:rPr>
          <w:color w:val="000000"/>
          <w:shd w:val="clear" w:color="auto" w:fill="FFFFFF"/>
        </w:rPr>
        <w:t>](</w:t>
      </w:r>
      <w:hyperlink r:id="rId125" w:history="1">
        <w:r w:rsidR="00F36764" w:rsidRPr="0083564D">
          <w:rPr>
            <w:rStyle w:val="Hyperlink"/>
            <w:shd w:val="clear" w:color="auto" w:fill="FFFFFF"/>
          </w:rPr>
          <w:t>https://www.ncbi.nlm.nih.gov/pubmed/27072204</w:t>
        </w:r>
      </w:hyperlink>
      <w:r w:rsidR="00F36764" w:rsidRPr="0083564D">
        <w:rPr>
          <w:color w:val="000000"/>
          <w:shd w:val="clear" w:color="auto" w:fill="FFFFFF"/>
        </w:rPr>
        <w:t>)</w:t>
      </w:r>
      <w:r w:rsidR="00CF1371" w:rsidRPr="0083564D">
        <w:rPr>
          <w:color w:val="000000"/>
          <w:shd w:val="clear" w:color="auto" w:fill="FFFFFF"/>
        </w:rPr>
        <w:t xml:space="preserve"> and </w:t>
      </w:r>
      <w:r w:rsidR="00F36764" w:rsidRPr="0083564D">
        <w:rPr>
          <w:color w:val="000000"/>
          <w:shd w:val="clear" w:color="auto" w:fill="FFFFFF"/>
        </w:rPr>
        <w:t>[</w:t>
      </w:r>
      <w:r w:rsidR="00CF1371" w:rsidRPr="0083564D">
        <w:rPr>
          <w:color w:val="000000"/>
          <w:shd w:val="clear" w:color="auto" w:fill="FFFFFF"/>
        </w:rPr>
        <w:t xml:space="preserve">squamous cell </w:t>
      </w:r>
      <w:r w:rsidRPr="0083564D">
        <w:rPr>
          <w:color w:val="000000"/>
          <w:shd w:val="clear" w:color="auto" w:fill="FFFFFF"/>
        </w:rPr>
        <w:t>lung cancer</w:t>
      </w:r>
      <w:r w:rsidR="00CF1371" w:rsidRPr="0083564D">
        <w:rPr>
          <w:color w:val="000000"/>
          <w:shd w:val="clear" w:color="auto" w:fill="FFFFFF"/>
        </w:rPr>
        <w:t xml:space="preserve"> among Caucasians and African Americans</w:t>
      </w:r>
      <w:r w:rsidRPr="0083564D">
        <w:rPr>
          <w:color w:val="000000"/>
          <w:shd w:val="clear" w:color="auto" w:fill="FFFFFF"/>
        </w:rPr>
        <w:t>](</w:t>
      </w:r>
      <w:r w:rsidR="00CF1371" w:rsidRPr="0083564D">
        <w:t>https://www.ncbi.nlm.nih.gov/pubmed/24254305</w:t>
      </w:r>
      <w:r w:rsidRPr="0083564D">
        <w:rPr>
          <w:color w:val="000000"/>
          <w:shd w:val="clear" w:color="auto" w:fill="FFFFFF"/>
        </w:rPr>
        <w:t xml:space="preserve">), with an [odds ratio of </w:t>
      </w:r>
      <w:r w:rsidR="00CF1371" w:rsidRPr="0083564D">
        <w:rPr>
          <w:color w:val="000000"/>
          <w:shd w:val="clear" w:color="auto" w:fill="FFFFFF"/>
        </w:rPr>
        <w:t>2.25</w:t>
      </w:r>
      <w:r w:rsidRPr="0083564D">
        <w:rPr>
          <w:color w:val="000000"/>
          <w:shd w:val="clear" w:color="auto" w:fill="FFFFFF"/>
        </w:rPr>
        <w:t>](</w:t>
      </w:r>
      <w:hyperlink r:id="rId126" w:history="1">
        <w:r w:rsidR="00CF1371" w:rsidRPr="0083564D">
          <w:rPr>
            <w:rStyle w:val="Hyperlink"/>
            <w:shd w:val="clear" w:color="auto" w:fill="FFFFFF"/>
          </w:rPr>
          <w:t>https://www.ncbi.nlm.nih.gov/pubmed/24337855</w:t>
        </w:r>
      </w:hyperlink>
      <w:r w:rsidRPr="0083564D">
        <w:rPr>
          <w:color w:val="000000"/>
          <w:shd w:val="clear" w:color="auto" w:fill="FFFFFF"/>
        </w:rPr>
        <w:t>)</w:t>
      </w:r>
      <w:r w:rsidR="00CF1371" w:rsidRPr="0083564D">
        <w:rPr>
          <w:color w:val="000000"/>
          <w:shd w:val="clear" w:color="auto" w:fill="FFFFFF"/>
        </w:rPr>
        <w:t xml:space="preserve">, but not </w:t>
      </w:r>
      <w:r w:rsidR="0083564D" w:rsidRPr="0083564D">
        <w:rPr>
          <w:color w:val="000000"/>
          <w:shd w:val="clear" w:color="auto" w:fill="FFFFFF"/>
        </w:rPr>
        <w:t xml:space="preserve">in </w:t>
      </w:r>
      <w:r w:rsidR="00CF1371" w:rsidRPr="0083564D">
        <w:rPr>
          <w:color w:val="000000"/>
          <w:shd w:val="clear" w:color="auto" w:fill="FFFFFF"/>
        </w:rPr>
        <w:t>East Asians or never-smokers</w:t>
      </w:r>
      <w:r w:rsidR="0083564D" w:rsidRPr="0083564D">
        <w:rPr>
          <w:color w:val="000000"/>
          <w:shd w:val="clear" w:color="auto" w:fill="FFFFFF"/>
        </w:rPr>
        <w:t xml:space="preserve">.  </w:t>
      </w:r>
      <w:r w:rsidRPr="0083564D">
        <w:rPr>
          <w:color w:val="000000"/>
          <w:shd w:val="clear" w:color="auto" w:fill="FFFFFF"/>
        </w:rPr>
        <w:t xml:space="preserve">It causes an </w:t>
      </w:r>
      <w:r w:rsidR="00F36764" w:rsidRPr="0083564D">
        <w:rPr>
          <w:color w:val="000000"/>
          <w:shd w:val="clear" w:color="auto" w:fill="FFFFFF"/>
        </w:rPr>
        <w:t xml:space="preserve">increase in </w:t>
      </w:r>
      <w:r w:rsidRPr="0083564D">
        <w:rPr>
          <w:color w:val="000000"/>
          <w:shd w:val="clear" w:color="auto" w:fill="FFFFFF"/>
        </w:rPr>
        <w:t>[</w:t>
      </w:r>
      <w:r w:rsidR="00F36764" w:rsidRPr="0083564D">
        <w:rPr>
          <w:color w:val="000000"/>
          <w:shd w:val="clear" w:color="auto" w:fill="FFFFFF"/>
        </w:rPr>
        <w:t>cigarettes smoked per day](</w:t>
      </w:r>
      <w:hyperlink r:id="rId127" w:history="1">
        <w:r w:rsidR="00F36764" w:rsidRPr="0083564D">
          <w:rPr>
            <w:rStyle w:val="Hyperlink"/>
          </w:rPr>
          <w:t>https://www.ncbi.nlm.nih.gov/pubmed/27663783</w:t>
        </w:r>
      </w:hyperlink>
      <w:r w:rsidR="00F36764" w:rsidRPr="0083564D">
        <w:rPr>
          <w:color w:val="000000"/>
          <w:shd w:val="clear" w:color="auto" w:fill="FFFFFF"/>
        </w:rPr>
        <w:t>) [(odds ratio 2.66)</w:t>
      </w:r>
      <w:r w:rsidRPr="0083564D">
        <w:rPr>
          <w:color w:val="000000"/>
          <w:shd w:val="clear" w:color="auto" w:fill="FFFFFF"/>
        </w:rPr>
        <w:t>](</w:t>
      </w:r>
      <w:hyperlink r:id="rId128" w:history="1">
        <w:r w:rsidR="00F36764" w:rsidRPr="0083564D">
          <w:rPr>
            <w:rStyle w:val="Hyperlink"/>
            <w:shd w:val="clear" w:color="auto" w:fill="FFFFFF"/>
          </w:rPr>
          <w:t>https://www.ncbi.nlm.nih.gov/pubmed/25632390</w:t>
        </w:r>
      </w:hyperlink>
      <w:r w:rsidRPr="0083564D">
        <w:t>)</w:t>
      </w:r>
      <w:r w:rsidRPr="0083564D">
        <w:rPr>
          <w:color w:val="000000"/>
          <w:shd w:val="clear" w:color="auto" w:fill="FFFFFF"/>
        </w:rPr>
        <w:t xml:space="preserve"> </w:t>
      </w:r>
      <w:r w:rsidR="00F36764" w:rsidRPr="0083564D">
        <w:rPr>
          <w:color w:val="000000"/>
          <w:shd w:val="clear" w:color="auto" w:fill="FFFFFF"/>
        </w:rPr>
        <w:t>and</w:t>
      </w:r>
      <w:r w:rsidRPr="0083564D">
        <w:rPr>
          <w:color w:val="000000"/>
          <w:shd w:val="clear" w:color="auto" w:fill="FFFFFF"/>
        </w:rPr>
        <w:t xml:space="preserve"> [</w:t>
      </w:r>
      <w:r w:rsidR="00F36764" w:rsidRPr="0083564D">
        <w:rPr>
          <w:color w:val="000000"/>
          <w:shd w:val="clear" w:color="auto" w:fill="FFFFFF"/>
        </w:rPr>
        <w:t>severity of nicotine addiction (odds ratio 2.6</w:t>
      </w:r>
      <w:r w:rsidR="0083564D" w:rsidRPr="0083564D">
        <w:rPr>
          <w:color w:val="000000"/>
          <w:shd w:val="clear" w:color="auto" w:fill="FFFFFF"/>
        </w:rPr>
        <w:t>)</w:t>
      </w:r>
      <w:r w:rsidRPr="0083564D">
        <w:rPr>
          <w:color w:val="000000"/>
          <w:shd w:val="clear" w:color="auto" w:fill="FFFFFF"/>
        </w:rPr>
        <w:t>](</w:t>
      </w:r>
      <w:hyperlink r:id="rId129" w:history="1">
        <w:r w:rsidR="00F36764" w:rsidRPr="0083564D">
          <w:rPr>
            <w:rStyle w:val="Hyperlink"/>
            <w:shd w:val="clear" w:color="auto" w:fill="FFFFFF"/>
          </w:rPr>
          <w:t>https://www.ncbi.nlm.nih.gov/pubmed/25632390</w:t>
        </w:r>
      </w:hyperlink>
      <w:r w:rsidRPr="0083564D">
        <w:rPr>
          <w:color w:val="000000"/>
          <w:shd w:val="clear" w:color="auto" w:fill="FFFFFF"/>
        </w:rPr>
        <w:t>)</w:t>
      </w:r>
      <w:r w:rsidR="00F36764" w:rsidRPr="0083564D">
        <w:rPr>
          <w:color w:val="000000"/>
          <w:shd w:val="clear" w:color="auto" w:fill="FFFFFF"/>
        </w:rPr>
        <w:t>.  There is a [</w:t>
      </w:r>
      <w:r w:rsidR="00F36764" w:rsidRPr="0083564D">
        <w:rPr>
          <w:color w:val="000000"/>
          <w:shd w:val="clear" w:color="auto" w:fill="FFFFFF"/>
        </w:rPr>
        <w:t>2.9% decrease</w:t>
      </w:r>
      <w:r w:rsidR="00F36764" w:rsidRPr="0083564D">
        <w:rPr>
          <w:color w:val="000000"/>
          <w:shd w:val="clear" w:color="auto" w:fill="FFFFFF"/>
        </w:rPr>
        <w:t>](</w:t>
      </w:r>
      <w:hyperlink r:id="rId130" w:history="1">
        <w:r w:rsidR="00F36764" w:rsidRPr="0083564D">
          <w:rPr>
            <w:rStyle w:val="Hyperlink"/>
            <w:shd w:val="clear" w:color="auto" w:fill="FFFFFF"/>
          </w:rPr>
          <w:t>https://www.ncbi.nlm.nih.gov/pubmed/25891233</w:t>
        </w:r>
      </w:hyperlink>
      <w:r w:rsidR="00F36764" w:rsidRPr="0083564D">
        <w:rPr>
          <w:color w:val="000000"/>
          <w:shd w:val="clear" w:color="auto" w:fill="FFFFFF"/>
        </w:rPr>
        <w:t>)</w:t>
      </w:r>
      <w:r w:rsidR="00F36764" w:rsidRPr="0083564D">
        <w:rPr>
          <w:color w:val="000000"/>
          <w:shd w:val="clear" w:color="auto" w:fill="FFFFFF"/>
        </w:rPr>
        <w:t xml:space="preserve"> in adherence to prescribed Nicotine replacement therapy</w:t>
      </w:r>
      <w:r w:rsidR="00F36764" w:rsidRPr="0083564D">
        <w:rPr>
          <w:color w:val="000000"/>
          <w:shd w:val="clear" w:color="auto" w:fill="FFFFFF"/>
        </w:rPr>
        <w:t xml:space="preserve"> (NRT)</w:t>
      </w:r>
      <w:r w:rsidR="00F36764" w:rsidRPr="0083564D">
        <w:rPr>
          <w:color w:val="000000"/>
          <w:shd w:val="clear" w:color="auto" w:fill="FFFFFF"/>
        </w:rPr>
        <w:t xml:space="preserve"> dose, and a </w:t>
      </w:r>
      <w:r w:rsidR="00F36764" w:rsidRPr="0083564D">
        <w:rPr>
          <w:color w:val="000000"/>
          <w:shd w:val="clear" w:color="auto" w:fill="FFFFFF"/>
        </w:rPr>
        <w:t>[</w:t>
      </w:r>
      <w:r w:rsidR="00F36764" w:rsidRPr="0083564D">
        <w:rPr>
          <w:color w:val="000000"/>
          <w:shd w:val="clear" w:color="auto" w:fill="FFFFFF"/>
        </w:rPr>
        <w:t>1.0mg decrease</w:t>
      </w:r>
      <w:r w:rsidR="00F36764" w:rsidRPr="0083564D">
        <w:rPr>
          <w:color w:val="000000"/>
          <w:shd w:val="clear" w:color="auto" w:fill="FFFFFF"/>
        </w:rPr>
        <w:t>](</w:t>
      </w:r>
      <w:hyperlink r:id="rId131" w:history="1">
        <w:r w:rsidR="00F36764" w:rsidRPr="0083564D">
          <w:rPr>
            <w:rStyle w:val="Hyperlink"/>
            <w:shd w:val="clear" w:color="auto" w:fill="FFFFFF"/>
          </w:rPr>
          <w:t>https://www.ncbi.nlm.nih.gov/pubmed/25891233</w:t>
        </w:r>
      </w:hyperlink>
      <w:r w:rsidR="00F36764" w:rsidRPr="0083564D">
        <w:rPr>
          <w:color w:val="000000"/>
          <w:shd w:val="clear" w:color="auto" w:fill="FFFFFF"/>
        </w:rPr>
        <w:t>)</w:t>
      </w:r>
      <w:r w:rsidR="00F36764" w:rsidRPr="0083564D">
        <w:rPr>
          <w:color w:val="000000"/>
          <w:shd w:val="clear" w:color="auto" w:fill="FFFFFF"/>
        </w:rPr>
        <w:t xml:space="preserve"> in daily NRT consumption</w:t>
      </w:r>
      <w:r w:rsidR="00F36764" w:rsidRPr="0083564D">
        <w:rPr>
          <w:color w:val="000000"/>
          <w:shd w:val="clear" w:color="auto" w:fill="FFFFFF"/>
        </w:rPr>
        <w:t xml:space="preserve"> up to 28 </w:t>
      </w:r>
      <w:r w:rsidR="00F36764" w:rsidRPr="0083564D">
        <w:rPr>
          <w:color w:val="000000"/>
          <w:shd w:val="clear" w:color="auto" w:fill="FFFFFF"/>
        </w:rPr>
        <w:lastRenderedPageBreak/>
        <w:t>days after beginning treatment.</w:t>
      </w:r>
      <w:r w:rsidR="00F36764" w:rsidRPr="0083564D">
        <w:rPr>
          <w:color w:val="000000"/>
          <w:shd w:val="clear" w:color="auto" w:fill="FFFFFF"/>
        </w:rPr>
        <w:t xml:space="preserve"> </w:t>
      </w:r>
      <w:r w:rsidR="00F36764" w:rsidRPr="0083564D">
        <w:rPr>
          <w:color w:val="000000"/>
          <w:shd w:val="clear" w:color="auto" w:fill="FFFFFF"/>
        </w:rPr>
        <w:t xml:space="preserve"> </w:t>
      </w:r>
      <w:r w:rsidR="0083564D">
        <w:rPr>
          <w:color w:val="000000"/>
          <w:shd w:val="clear" w:color="auto" w:fill="FFFFFF"/>
        </w:rPr>
        <w:t>Physical changes associated with one T allele include</w:t>
      </w:r>
      <w:r w:rsidR="00CF1371" w:rsidRPr="0083564D">
        <w:rPr>
          <w:color w:val="000000"/>
          <w:shd w:val="clear" w:color="auto" w:fill="FFFFFF"/>
        </w:rPr>
        <w:t xml:space="preserve"> </w:t>
      </w:r>
      <w:r w:rsidR="00CF1371" w:rsidRPr="0083564D">
        <w:rPr>
          <w:color w:val="000000"/>
          <w:shd w:val="clear" w:color="auto" w:fill="FFFFFF"/>
        </w:rPr>
        <w:t>[</w:t>
      </w:r>
      <w:r w:rsidR="00CF1371" w:rsidRPr="0083564D">
        <w:rPr>
          <w:color w:val="000000"/>
          <w:shd w:val="clear" w:color="auto" w:fill="FFFFFF"/>
        </w:rPr>
        <w:t>0.59 kg lower body weight, 0.23 kg/m(2) lower body mass index, 0.32 cm lower waist circumference</w:t>
      </w:r>
      <w:r w:rsidR="00CF1371" w:rsidRPr="0083564D">
        <w:rPr>
          <w:color w:val="000000"/>
          <w:shd w:val="clear" w:color="auto" w:fill="FFFFFF"/>
        </w:rPr>
        <w:t>,</w:t>
      </w:r>
      <w:r w:rsidR="00CF1371" w:rsidRPr="0083564D">
        <w:rPr>
          <w:color w:val="000000"/>
          <w:shd w:val="clear" w:color="auto" w:fill="FFFFFF"/>
        </w:rPr>
        <w:t xml:space="preserve"> and 0.45 cm lower hip circumference</w:t>
      </w:r>
      <w:r w:rsidR="00CF1371" w:rsidRPr="0083564D">
        <w:rPr>
          <w:color w:val="000000"/>
          <w:shd w:val="clear" w:color="auto" w:fill="FFFFFF"/>
        </w:rPr>
        <w:t>](</w:t>
      </w:r>
      <w:hyperlink r:id="rId132" w:history="1">
        <w:r w:rsidR="00CF1371" w:rsidRPr="0083564D">
          <w:rPr>
            <w:rStyle w:val="Hyperlink"/>
            <w:shd w:val="clear" w:color="auto" w:fill="FFFFFF"/>
          </w:rPr>
          <w:t>https://www.ncbi.nlm.nih.gov/pubmed/25777141</w:t>
        </w:r>
      </w:hyperlink>
      <w:r w:rsidR="00CF1371" w:rsidRPr="0083564D">
        <w:rPr>
          <w:color w:val="000000"/>
          <w:shd w:val="clear" w:color="auto" w:fill="FFFFFF"/>
        </w:rPr>
        <w:t xml:space="preserve">).  It also </w:t>
      </w:r>
      <w:r w:rsidR="0083564D">
        <w:rPr>
          <w:color w:val="000000"/>
          <w:shd w:val="clear" w:color="auto" w:fill="FFFFFF"/>
        </w:rPr>
        <w:t>is associated with</w:t>
      </w:r>
      <w:r w:rsidR="00CF1371" w:rsidRPr="0083564D">
        <w:rPr>
          <w:color w:val="000000"/>
          <w:shd w:val="clear" w:color="auto" w:fill="FFFFFF"/>
        </w:rPr>
        <w:t xml:space="preserve"> [</w:t>
      </w:r>
      <w:r w:rsidR="00CF1371" w:rsidRPr="0083564D">
        <w:rPr>
          <w:color w:val="000000"/>
          <w:shd w:val="clear" w:color="auto" w:fill="FFFFFF"/>
        </w:rPr>
        <w:t>higher resting heart rate</w:t>
      </w:r>
      <w:r w:rsidR="00CF1371" w:rsidRPr="0083564D">
        <w:rPr>
          <w:color w:val="000000"/>
          <w:shd w:val="clear" w:color="auto" w:fill="FFFFFF"/>
        </w:rPr>
        <w:t xml:space="preserve">, </w:t>
      </w:r>
      <w:r w:rsidR="00CF1371" w:rsidRPr="0083564D">
        <w:rPr>
          <w:color w:val="000000"/>
          <w:shd w:val="clear" w:color="auto" w:fill="FFFFFF"/>
        </w:rPr>
        <w:t>lower systolic blood pressure</w:t>
      </w:r>
      <w:r w:rsidR="00CF1371" w:rsidRPr="0083564D">
        <w:rPr>
          <w:color w:val="000000"/>
          <w:shd w:val="clear" w:color="auto" w:fill="FFFFFF"/>
        </w:rPr>
        <w:t>,</w:t>
      </w:r>
      <w:r w:rsidR="00CF1371" w:rsidRPr="0083564D">
        <w:rPr>
          <w:color w:val="000000"/>
          <w:shd w:val="clear" w:color="auto" w:fill="FFFFFF"/>
        </w:rPr>
        <w:t xml:space="preserve"> and higher HDL cholesterol</w:t>
      </w:r>
      <w:r w:rsidR="00CF1371" w:rsidRPr="0083564D">
        <w:rPr>
          <w:color w:val="000000"/>
          <w:shd w:val="clear" w:color="auto" w:fill="FFFFFF"/>
        </w:rPr>
        <w:t>](</w:t>
      </w:r>
      <w:hyperlink r:id="rId133" w:history="1">
        <w:r w:rsidR="00CF1371" w:rsidRPr="0083564D">
          <w:rPr>
            <w:rStyle w:val="Hyperlink"/>
            <w:shd w:val="clear" w:color="auto" w:fill="FFFFFF"/>
          </w:rPr>
          <w:t>https://www.ncbi.nlm.nih.gov/pubmed/24867305</w:t>
        </w:r>
      </w:hyperlink>
      <w:r w:rsidR="00CF1371" w:rsidRPr="0083564D">
        <w:rPr>
          <w:color w:val="000000"/>
          <w:shd w:val="clear" w:color="auto" w:fill="FFFFFF"/>
        </w:rPr>
        <w:t>).</w:t>
      </w:r>
    </w:p>
    <w:p w14:paraId="4B89795D" w14:textId="3C3465C9" w:rsidR="00404BE6" w:rsidRPr="0083564D" w:rsidRDefault="00404BE6" w:rsidP="00CF1371">
      <w:pPr>
        <w:pStyle w:val="NormalWeb"/>
        <w:spacing w:before="0" w:beforeAutospacing="0" w:after="0" w:afterAutospacing="0"/>
        <w:rPr>
          <w:color w:val="000000"/>
          <w:shd w:val="clear" w:color="auto" w:fill="FFFFFF"/>
        </w:rPr>
      </w:pPr>
    </w:p>
    <w:p w14:paraId="7401B4A8" w14:textId="77777777" w:rsidR="00404BE6" w:rsidRPr="0083564D" w:rsidRDefault="00404BE6" w:rsidP="00404BE6">
      <w:pPr>
        <w:pStyle w:val="NormalWeb"/>
        <w:spacing w:before="0" w:beforeAutospacing="0" w:after="0" w:afterAutospacing="0"/>
        <w:rPr>
          <w:color w:val="000000"/>
          <w:shd w:val="clear" w:color="auto" w:fill="FFFFFF"/>
        </w:rPr>
      </w:pPr>
    </w:p>
    <w:p w14:paraId="007C8300" w14:textId="557BA836" w:rsidR="00404BE6" w:rsidRDefault="00404BE6" w:rsidP="00404BE6">
      <w:pPr>
        <w:pStyle w:val="NormalWeb"/>
        <w:spacing w:before="0" w:beforeAutospacing="0" w:after="0" w:afterAutospacing="0"/>
        <w:rPr>
          <w:color w:val="000000"/>
          <w:shd w:val="clear" w:color="auto" w:fill="FFFFFF"/>
        </w:rPr>
      </w:pPr>
      <w:r w:rsidRPr="0083564D">
        <w:rPr>
          <w:color w:val="000000"/>
          <w:shd w:val="clear" w:color="auto" w:fill="FFFFFF"/>
        </w:rPr>
        <w:t>People also should not smoke.  If you do smoke, be aware of your risk for dependency and increased difficulty of quitting smoking.</w:t>
      </w:r>
    </w:p>
    <w:p w14:paraId="6CB686B7" w14:textId="315B0A46" w:rsidR="00BA0AF0" w:rsidRDefault="00BA0AF0" w:rsidP="00404BE6">
      <w:pPr>
        <w:pStyle w:val="NormalWeb"/>
        <w:spacing w:before="0" w:beforeAutospacing="0" w:after="0" w:afterAutospacing="0"/>
        <w:rPr>
          <w:color w:val="000000"/>
          <w:shd w:val="clear" w:color="auto" w:fill="FFFFFF"/>
        </w:rPr>
      </w:pPr>
    </w:p>
    <w:p w14:paraId="56641D38" w14:textId="77777777" w:rsidR="00BA0AF0" w:rsidRDefault="00BA0AF0" w:rsidP="00BA0AF0">
      <w:pPr>
        <w:pStyle w:val="NormalWeb"/>
        <w:spacing w:before="0" w:beforeAutospacing="0" w:after="0" w:afterAutospacing="0"/>
        <w:rPr>
          <w:color w:val="000000"/>
          <w:shd w:val="clear" w:color="auto" w:fill="FFFFFF"/>
        </w:rPr>
      </w:pPr>
      <w:r>
        <w:rPr>
          <w:color w:val="000000"/>
          <w:shd w:val="clear" w:color="auto" w:fill="FFFFFF"/>
        </w:rPr>
        <w:t xml:space="preserve">[Many factors may decrease your risk of lung </w:t>
      </w:r>
      <w:proofErr w:type="gramStart"/>
      <w:r>
        <w:rPr>
          <w:color w:val="000000"/>
          <w:shd w:val="clear" w:color="auto" w:fill="FFFFFF"/>
        </w:rPr>
        <w:t>cancer](</w:t>
      </w:r>
      <w:proofErr w:type="gramEnd"/>
      <w:r w:rsidRPr="00BA0AF0">
        <w:rPr>
          <w:color w:val="000000"/>
          <w:shd w:val="clear" w:color="auto" w:fill="FFFFFF"/>
        </w:rPr>
        <w:t>https://www.cancer.gov/types/lung/patient/lung-prevention-pdq#section/all</w:t>
      </w:r>
      <w:r>
        <w:rPr>
          <w:color w:val="000000"/>
          <w:shd w:val="clear" w:color="auto" w:fill="FFFFFF"/>
        </w:rPr>
        <w:t>):</w:t>
      </w:r>
    </w:p>
    <w:p w14:paraId="59C1DC9C" w14:textId="77777777" w:rsidR="00BA0AF0"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 xml:space="preserve">*   </w:t>
      </w:r>
      <w:r>
        <w:rPr>
          <w:color w:val="000000"/>
          <w:shd w:val="clear" w:color="auto" w:fill="FFFFFF"/>
        </w:rPr>
        <w:t>Avoid c</w:t>
      </w:r>
      <w:r w:rsidRPr="0083564D">
        <w:rPr>
          <w:color w:val="000000"/>
          <w:shd w:val="clear" w:color="auto" w:fill="FFFFFF"/>
        </w:rPr>
        <w:t>igarette, cigar, pipe smoking</w:t>
      </w:r>
      <w:r>
        <w:rPr>
          <w:color w:val="000000"/>
          <w:shd w:val="clear" w:color="auto" w:fill="FFFFFF"/>
        </w:rPr>
        <w:t>, and s</w:t>
      </w:r>
      <w:r w:rsidRPr="0083564D">
        <w:rPr>
          <w:color w:val="000000"/>
          <w:shd w:val="clear" w:color="auto" w:fill="FFFFFF"/>
        </w:rPr>
        <w:t>econdhand smoke</w:t>
      </w:r>
      <w:r>
        <w:rPr>
          <w:color w:val="000000"/>
          <w:shd w:val="clear" w:color="auto" w:fill="FFFFFF"/>
        </w:rPr>
        <w:t>.</w:t>
      </w:r>
    </w:p>
    <w:p w14:paraId="7D3942C1" w14:textId="77777777" w:rsidR="00BA0AF0" w:rsidRPr="0083564D"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 xml:space="preserve">*   </w:t>
      </w:r>
      <w:r>
        <w:rPr>
          <w:color w:val="000000"/>
          <w:shd w:val="clear" w:color="auto" w:fill="FFFFFF"/>
        </w:rPr>
        <w:t>Have less than one alcoholic drink per day.</w:t>
      </w:r>
    </w:p>
    <w:p w14:paraId="18C2F082" w14:textId="77777777" w:rsidR="00BA0AF0" w:rsidRPr="0083564D"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 xml:space="preserve">*   </w:t>
      </w:r>
      <w:r>
        <w:rPr>
          <w:color w:val="000000"/>
          <w:shd w:val="clear" w:color="auto" w:fill="FFFFFF"/>
        </w:rPr>
        <w:t>Practice safe sex, and avoid HIV</w:t>
      </w:r>
      <w:r w:rsidRPr="0083564D">
        <w:rPr>
          <w:color w:val="000000"/>
          <w:shd w:val="clear" w:color="auto" w:fill="FFFFFF"/>
        </w:rPr>
        <w:t xml:space="preserve"> infection</w:t>
      </w:r>
    </w:p>
    <w:p w14:paraId="09917196" w14:textId="77777777" w:rsidR="00BA0AF0"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 xml:space="preserve">*   </w:t>
      </w:r>
      <w:r>
        <w:rPr>
          <w:color w:val="000000"/>
          <w:shd w:val="clear" w:color="auto" w:fill="FFFFFF"/>
        </w:rPr>
        <w:t>Avoid r</w:t>
      </w:r>
      <w:r w:rsidRPr="0083564D">
        <w:rPr>
          <w:color w:val="000000"/>
          <w:shd w:val="clear" w:color="auto" w:fill="FFFFFF"/>
        </w:rPr>
        <w:t>adiation exposure</w:t>
      </w:r>
      <w:r>
        <w:rPr>
          <w:color w:val="000000"/>
          <w:shd w:val="clear" w:color="auto" w:fill="FFFFFF"/>
        </w:rPr>
        <w:t>, including a</w:t>
      </w:r>
      <w:r w:rsidRPr="0083564D">
        <w:rPr>
          <w:color w:val="000000"/>
          <w:shd w:val="clear" w:color="auto" w:fill="FFFFFF"/>
        </w:rPr>
        <w:t>tomic bomb radiation, radiation therapy, imaging tests, and radon</w:t>
      </w:r>
      <w:r>
        <w:rPr>
          <w:color w:val="000000"/>
          <w:shd w:val="clear" w:color="auto" w:fill="FFFFFF"/>
        </w:rPr>
        <w:t>.</w:t>
      </w:r>
    </w:p>
    <w:p w14:paraId="2BBF5079" w14:textId="77777777" w:rsidR="00BA0AF0"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 xml:space="preserve">*   </w:t>
      </w:r>
      <w:r>
        <w:rPr>
          <w:color w:val="000000"/>
          <w:shd w:val="clear" w:color="auto" w:fill="FFFFFF"/>
        </w:rPr>
        <w:t>Avoid environmental toxins such as a</w:t>
      </w:r>
      <w:r w:rsidRPr="0083564D">
        <w:rPr>
          <w:color w:val="000000"/>
          <w:shd w:val="clear" w:color="auto" w:fill="FFFFFF"/>
        </w:rPr>
        <w:t>sbestos</w:t>
      </w:r>
      <w:r>
        <w:rPr>
          <w:color w:val="000000"/>
          <w:shd w:val="clear" w:color="auto" w:fill="FFFFFF"/>
        </w:rPr>
        <w:t>, a</w:t>
      </w:r>
      <w:r w:rsidRPr="0083564D">
        <w:rPr>
          <w:color w:val="000000"/>
          <w:shd w:val="clear" w:color="auto" w:fill="FFFFFF"/>
        </w:rPr>
        <w:t>rsenic</w:t>
      </w:r>
      <w:r>
        <w:rPr>
          <w:color w:val="000000"/>
          <w:shd w:val="clear" w:color="auto" w:fill="FFFFFF"/>
        </w:rPr>
        <w:t>, c</w:t>
      </w:r>
      <w:r w:rsidRPr="0083564D">
        <w:rPr>
          <w:color w:val="000000"/>
          <w:shd w:val="clear" w:color="auto" w:fill="FFFFFF"/>
        </w:rPr>
        <w:t>hromium</w:t>
      </w:r>
      <w:r>
        <w:rPr>
          <w:color w:val="000000"/>
          <w:shd w:val="clear" w:color="auto" w:fill="FFFFFF"/>
        </w:rPr>
        <w:t>, n</w:t>
      </w:r>
      <w:r w:rsidRPr="0083564D">
        <w:rPr>
          <w:color w:val="000000"/>
          <w:shd w:val="clear" w:color="auto" w:fill="FFFFFF"/>
        </w:rPr>
        <w:t>ickel</w:t>
      </w:r>
      <w:r>
        <w:rPr>
          <w:color w:val="000000"/>
          <w:shd w:val="clear" w:color="auto" w:fill="FFFFFF"/>
        </w:rPr>
        <w:t>, b</w:t>
      </w:r>
      <w:r w:rsidRPr="0083564D">
        <w:rPr>
          <w:color w:val="000000"/>
          <w:shd w:val="clear" w:color="auto" w:fill="FFFFFF"/>
        </w:rPr>
        <w:t>eryllium</w:t>
      </w:r>
      <w:r>
        <w:rPr>
          <w:color w:val="000000"/>
          <w:shd w:val="clear" w:color="auto" w:fill="FFFFFF"/>
        </w:rPr>
        <w:t>, c</w:t>
      </w:r>
      <w:r w:rsidRPr="0083564D">
        <w:rPr>
          <w:color w:val="000000"/>
          <w:shd w:val="clear" w:color="auto" w:fill="FFFFFF"/>
        </w:rPr>
        <w:t>admium</w:t>
      </w:r>
      <w:r>
        <w:rPr>
          <w:color w:val="000000"/>
          <w:shd w:val="clear" w:color="auto" w:fill="FFFFFF"/>
        </w:rPr>
        <w:t>, t</w:t>
      </w:r>
      <w:r w:rsidRPr="0083564D">
        <w:rPr>
          <w:color w:val="000000"/>
          <w:shd w:val="clear" w:color="auto" w:fill="FFFFFF"/>
        </w:rPr>
        <w:t>ar</w:t>
      </w:r>
      <w:r>
        <w:rPr>
          <w:color w:val="000000"/>
          <w:shd w:val="clear" w:color="auto" w:fill="FFFFFF"/>
        </w:rPr>
        <w:t>,</w:t>
      </w:r>
      <w:r w:rsidRPr="0083564D">
        <w:rPr>
          <w:color w:val="000000"/>
          <w:shd w:val="clear" w:color="auto" w:fill="FFFFFF"/>
        </w:rPr>
        <w:t xml:space="preserve"> soot</w:t>
      </w:r>
      <w:r>
        <w:rPr>
          <w:color w:val="000000"/>
          <w:shd w:val="clear" w:color="auto" w:fill="FFFFFF"/>
        </w:rPr>
        <w:t>, and sir pollution.</w:t>
      </w:r>
    </w:p>
    <w:p w14:paraId="657F08A6" w14:textId="77777777" w:rsidR="00BA0AF0"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w:t>
      </w:r>
      <w:proofErr w:type="gramStart"/>
      <w:r w:rsidRPr="00D806DD">
        <w:rPr>
          <w:color w:val="000000"/>
          <w:shd w:val="clear" w:color="auto" w:fill="FFFFFF"/>
        </w:rPr>
        <w:t xml:space="preserve">   </w:t>
      </w:r>
      <w:r>
        <w:rPr>
          <w:color w:val="000000"/>
          <w:shd w:val="clear" w:color="auto" w:fill="FFFFFF"/>
        </w:rPr>
        <w:t>[</w:t>
      </w:r>
      <w:proofErr w:type="gramEnd"/>
      <w:r w:rsidRPr="0083564D">
        <w:rPr>
          <w:color w:val="000000"/>
          <w:shd w:val="clear" w:color="auto" w:fill="FFFFFF"/>
        </w:rPr>
        <w:t>Beta carotene supplements</w:t>
      </w:r>
      <w:r>
        <w:rPr>
          <w:color w:val="000000"/>
          <w:shd w:val="clear" w:color="auto" w:fill="FFFFFF"/>
        </w:rPr>
        <w:t>, made from</w:t>
      </w:r>
      <w:r w:rsidRPr="00BA0AF0">
        <w:rPr>
          <w:color w:val="000000"/>
          <w:shd w:val="clear" w:color="auto" w:fill="FFFFFF"/>
        </w:rPr>
        <w:t xml:space="preserve"> yellow and orange fruits and vegetables and dark green, leafy vegetables</w:t>
      </w:r>
      <w:r>
        <w:rPr>
          <w:color w:val="000000"/>
          <w:shd w:val="clear" w:color="auto" w:fill="FFFFFF"/>
        </w:rPr>
        <w:t>,](</w:t>
      </w:r>
      <w:r w:rsidRPr="0083564D">
        <w:rPr>
          <w:color w:val="000000"/>
          <w:shd w:val="clear" w:color="auto" w:fill="FFFFFF"/>
        </w:rPr>
        <w:t>https://www.cancer.gov/types/lung/patient/lung-prevention-pdq#section/all</w:t>
      </w:r>
      <w:r>
        <w:rPr>
          <w:color w:val="000000"/>
          <w:shd w:val="clear" w:color="auto" w:fill="FFFFFF"/>
        </w:rPr>
        <w:t>)</w:t>
      </w:r>
      <w:r w:rsidRPr="0083564D">
        <w:rPr>
          <w:color w:val="000000"/>
          <w:shd w:val="clear" w:color="auto" w:fill="FFFFFF"/>
        </w:rPr>
        <w:t xml:space="preserve"> </w:t>
      </w:r>
      <w:r>
        <w:rPr>
          <w:color w:val="000000"/>
          <w:shd w:val="clear" w:color="auto" w:fill="FFFFFF"/>
        </w:rPr>
        <w:t>may help reduce risk for</w:t>
      </w:r>
      <w:r w:rsidRPr="0083564D">
        <w:rPr>
          <w:color w:val="000000"/>
          <w:shd w:val="clear" w:color="auto" w:fill="FFFFFF"/>
        </w:rPr>
        <w:t xml:space="preserve"> heavy smokers</w:t>
      </w:r>
      <w:r>
        <w:rPr>
          <w:color w:val="000000"/>
          <w:shd w:val="clear" w:color="auto" w:fill="FFFFFF"/>
        </w:rPr>
        <w:t>.</w:t>
      </w:r>
    </w:p>
    <w:p w14:paraId="43BA551E" w14:textId="77777777" w:rsidR="00404BE6" w:rsidRPr="0083564D" w:rsidRDefault="00404BE6" w:rsidP="00404BE6">
      <w:pPr>
        <w:pStyle w:val="NormalWeb"/>
        <w:spacing w:before="0" w:beforeAutospacing="0" w:after="0" w:afterAutospacing="0"/>
        <w:rPr>
          <w:color w:val="000000"/>
          <w:shd w:val="clear" w:color="auto" w:fill="FFFFFF"/>
        </w:rPr>
      </w:pPr>
    </w:p>
    <w:p w14:paraId="103B8840" w14:textId="5A15CCB6" w:rsidR="0083564D" w:rsidRDefault="00404BE6" w:rsidP="00404BE6">
      <w:pPr>
        <w:rPr>
          <w:rFonts w:ascii="Times New Roman" w:hAnsi="Times New Roman" w:cs="Times New Roman"/>
          <w:sz w:val="24"/>
          <w:szCs w:val="24"/>
        </w:rPr>
      </w:pPr>
      <w:r w:rsidRPr="0083564D">
        <w:rPr>
          <w:rFonts w:ascii="Times New Roman" w:hAnsi="Times New Roman" w:cs="Times New Roman"/>
          <w:color w:val="000000"/>
          <w:sz w:val="24"/>
          <w:szCs w:val="24"/>
          <w:shd w:val="clear" w:color="auto" w:fill="FFFFFF"/>
        </w:rPr>
        <w:t>[</w:t>
      </w:r>
      <w:hyperlink r:id="rId134" w:history="1">
        <w:r w:rsidRPr="0083564D">
          <w:rPr>
            <w:rFonts w:ascii="Times New Roman" w:hAnsi="Times New Roman" w:cs="Times New Roman"/>
            <w:color w:val="000000"/>
            <w:sz w:val="24"/>
            <w:szCs w:val="24"/>
            <w:shd w:val="clear" w:color="auto" w:fill="FFFFFF"/>
          </w:rPr>
          <w:t>Medications</w:t>
        </w:r>
      </w:hyperlink>
      <w:r w:rsidRPr="0083564D">
        <w:rPr>
          <w:rFonts w:ascii="Times New Roman" w:hAnsi="Times New Roman" w:cs="Times New Roman"/>
          <w:color w:val="000000"/>
          <w:sz w:val="24"/>
          <w:szCs w:val="24"/>
          <w:shd w:val="clear" w:color="auto" w:fill="FFFFFF"/>
        </w:rPr>
        <w:t>](</w:t>
      </w:r>
      <w:hyperlink r:id="rId135" w:history="1">
        <w:r w:rsidRPr="0083564D">
          <w:rPr>
            <w:rStyle w:val="Hyperlink"/>
            <w:rFonts w:ascii="Times New Roman" w:hAnsi="Times New Roman" w:cs="Times New Roman"/>
            <w:sz w:val="24"/>
            <w:szCs w:val="24"/>
          </w:rPr>
          <w:t>http://www.uniprot.org/uniprot/P32297</w:t>
        </w:r>
      </w:hyperlink>
      <w:r w:rsidRPr="0083564D">
        <w:rPr>
          <w:rFonts w:ascii="Times New Roman" w:hAnsi="Times New Roman" w:cs="Times New Roman"/>
          <w:sz w:val="24"/>
          <w:szCs w:val="24"/>
        </w:rPr>
        <w:t>)</w:t>
      </w:r>
      <w:r w:rsidRPr="0083564D">
        <w:rPr>
          <w:rFonts w:ascii="Times New Roman" w:hAnsi="Times New Roman" w:cs="Times New Roman"/>
          <w:color w:val="000000"/>
          <w:sz w:val="24"/>
          <w:szCs w:val="24"/>
          <w:shd w:val="clear" w:color="auto" w:fill="FFFFFF"/>
        </w:rPr>
        <w:t xml:space="preserve"> indicated for use for CHRNA3 issues include: </w:t>
      </w:r>
      <w:r w:rsidRPr="0083564D">
        <w:rPr>
          <w:rFonts w:ascii="Times New Roman" w:hAnsi="Times New Roman" w:cs="Times New Roman"/>
          <w:color w:val="222222"/>
          <w:sz w:val="24"/>
          <w:szCs w:val="24"/>
        </w:rPr>
        <w:t>[Bupropion](</w:t>
      </w:r>
      <w:hyperlink r:id="rId136" w:history="1">
        <w:r w:rsidRPr="0083564D">
          <w:rPr>
            <w:rStyle w:val="Hyperlink"/>
            <w:rFonts w:ascii="Times New Roman" w:hAnsi="Times New Roman" w:cs="Times New Roman"/>
            <w:sz w:val="24"/>
            <w:szCs w:val="24"/>
          </w:rPr>
          <w:t>https://www.drugbank.ca/drugs/DB01156</w:t>
        </w:r>
      </w:hyperlink>
      <w:r w:rsidRPr="0083564D">
        <w:rPr>
          <w:rFonts w:ascii="Times New Roman" w:hAnsi="Times New Roman" w:cs="Times New Roman"/>
          <w:color w:val="222222"/>
          <w:sz w:val="24"/>
          <w:szCs w:val="24"/>
        </w:rPr>
        <w:t>), [Cytisine](</w:t>
      </w:r>
      <w:hyperlink r:id="rId137" w:history="1">
        <w:r w:rsidRPr="0083564D">
          <w:rPr>
            <w:rStyle w:val="Hyperlink"/>
            <w:rFonts w:ascii="Times New Roman" w:hAnsi="Times New Roman" w:cs="Times New Roman"/>
            <w:sz w:val="24"/>
            <w:szCs w:val="24"/>
          </w:rPr>
          <w:t>https://www.drugbank.ca/drugs/DB09028</w:t>
        </w:r>
      </w:hyperlink>
      <w:r w:rsidRPr="0083564D">
        <w:rPr>
          <w:rFonts w:ascii="Times New Roman" w:hAnsi="Times New Roman" w:cs="Times New Roman"/>
          <w:color w:val="222222"/>
          <w:sz w:val="24"/>
          <w:szCs w:val="24"/>
        </w:rPr>
        <w:t>), [Dextromethorphan](</w:t>
      </w:r>
      <w:hyperlink r:id="rId138" w:history="1">
        <w:r w:rsidRPr="0083564D">
          <w:rPr>
            <w:rStyle w:val="Hyperlink"/>
            <w:rFonts w:ascii="Times New Roman" w:hAnsi="Times New Roman" w:cs="Times New Roman"/>
            <w:sz w:val="24"/>
            <w:szCs w:val="24"/>
          </w:rPr>
          <w:t>https://www.drugbank.ca/drugs/DB00514</w:t>
        </w:r>
      </w:hyperlink>
      <w:r w:rsidRPr="0083564D">
        <w:rPr>
          <w:rFonts w:ascii="Times New Roman" w:hAnsi="Times New Roman" w:cs="Times New Roman"/>
          <w:color w:val="222222"/>
          <w:sz w:val="24"/>
          <w:szCs w:val="24"/>
        </w:rPr>
        <w:t>), [Ethanol](</w:t>
      </w:r>
      <w:hyperlink r:id="rId139" w:history="1">
        <w:r w:rsidRPr="0083564D">
          <w:rPr>
            <w:rStyle w:val="Hyperlink"/>
            <w:rFonts w:ascii="Times New Roman" w:hAnsi="Times New Roman" w:cs="Times New Roman"/>
            <w:sz w:val="24"/>
            <w:szCs w:val="24"/>
          </w:rPr>
          <w:t>https://www.drugbank.ca/drugs/DB00898</w:t>
        </w:r>
      </w:hyperlink>
      <w:r w:rsidRPr="0083564D">
        <w:rPr>
          <w:rFonts w:ascii="Times New Roman" w:hAnsi="Times New Roman" w:cs="Times New Roman"/>
          <w:color w:val="222222"/>
          <w:sz w:val="24"/>
          <w:szCs w:val="24"/>
        </w:rPr>
        <w:t>), [Galantamine](</w:t>
      </w:r>
      <w:hyperlink r:id="rId140" w:history="1">
        <w:r w:rsidRPr="0083564D">
          <w:rPr>
            <w:rStyle w:val="Hyperlink"/>
            <w:rFonts w:ascii="Times New Roman" w:hAnsi="Times New Roman" w:cs="Times New Roman"/>
            <w:sz w:val="24"/>
            <w:szCs w:val="24"/>
          </w:rPr>
          <w:t>https://www.drugbank.ca/drugs/DB00674</w:t>
        </w:r>
      </w:hyperlink>
      <w:r w:rsidRPr="0083564D">
        <w:rPr>
          <w:rFonts w:ascii="Times New Roman" w:hAnsi="Times New Roman" w:cs="Times New Roman"/>
          <w:color w:val="222222"/>
          <w:sz w:val="24"/>
          <w:szCs w:val="24"/>
        </w:rPr>
        <w:t>), [Levamisole](</w:t>
      </w:r>
      <w:hyperlink r:id="rId141" w:history="1">
        <w:r w:rsidRPr="0083564D">
          <w:rPr>
            <w:rStyle w:val="Hyperlink"/>
            <w:rFonts w:ascii="Times New Roman" w:hAnsi="Times New Roman" w:cs="Times New Roman"/>
            <w:sz w:val="24"/>
            <w:szCs w:val="24"/>
          </w:rPr>
          <w:t>https://www.drugbank.ca/drugs/DB00848</w:t>
        </w:r>
      </w:hyperlink>
      <w:r w:rsidRPr="0083564D">
        <w:rPr>
          <w:rFonts w:ascii="Times New Roman" w:hAnsi="Times New Roman" w:cs="Times New Roman"/>
          <w:color w:val="222222"/>
          <w:sz w:val="24"/>
          <w:szCs w:val="24"/>
        </w:rPr>
        <w:t>), [Levomethadyl Acetate](</w:t>
      </w:r>
      <w:hyperlink r:id="rId142" w:history="1">
        <w:r w:rsidRPr="0083564D">
          <w:rPr>
            <w:rStyle w:val="Hyperlink"/>
            <w:rFonts w:ascii="Times New Roman" w:hAnsi="Times New Roman" w:cs="Times New Roman"/>
            <w:sz w:val="24"/>
            <w:szCs w:val="24"/>
          </w:rPr>
          <w:t>https://www.drugbank.ca/drugs/DB01227</w:t>
        </w:r>
      </w:hyperlink>
      <w:r w:rsidRPr="0083564D">
        <w:rPr>
          <w:rFonts w:ascii="Times New Roman" w:hAnsi="Times New Roman" w:cs="Times New Roman"/>
          <w:color w:val="222222"/>
          <w:sz w:val="24"/>
          <w:szCs w:val="24"/>
        </w:rPr>
        <w:t>), [Nicotine](</w:t>
      </w:r>
      <w:hyperlink r:id="rId143" w:history="1">
        <w:r w:rsidRPr="0083564D">
          <w:rPr>
            <w:rStyle w:val="Hyperlink"/>
            <w:rFonts w:ascii="Times New Roman" w:hAnsi="Times New Roman" w:cs="Times New Roman"/>
            <w:sz w:val="24"/>
            <w:szCs w:val="24"/>
          </w:rPr>
          <w:t>https://www.drugbank.ca/drugs/DB00184</w:t>
        </w:r>
      </w:hyperlink>
      <w:r w:rsidRPr="0083564D">
        <w:rPr>
          <w:rFonts w:ascii="Times New Roman" w:hAnsi="Times New Roman" w:cs="Times New Roman"/>
          <w:color w:val="222222"/>
          <w:sz w:val="24"/>
          <w:szCs w:val="24"/>
        </w:rPr>
        <w:t>), [Pentolinium](</w:t>
      </w:r>
      <w:hyperlink r:id="rId144" w:history="1">
        <w:r w:rsidRPr="0083564D">
          <w:rPr>
            <w:rStyle w:val="Hyperlink"/>
            <w:rFonts w:ascii="Times New Roman" w:hAnsi="Times New Roman" w:cs="Times New Roman"/>
            <w:sz w:val="24"/>
            <w:szCs w:val="24"/>
          </w:rPr>
          <w:t>https://www.drugbank.ca/drugs/DB01090</w:t>
        </w:r>
      </w:hyperlink>
      <w:r w:rsidRPr="0083564D">
        <w:rPr>
          <w:rFonts w:ascii="Times New Roman" w:hAnsi="Times New Roman" w:cs="Times New Roman"/>
          <w:color w:val="222222"/>
          <w:sz w:val="24"/>
          <w:szCs w:val="24"/>
        </w:rPr>
        <w:t>), and [Varenicline](</w:t>
      </w:r>
      <w:hyperlink r:id="rId145" w:history="1">
        <w:r w:rsidR="0083564D" w:rsidRPr="00FB1B95">
          <w:rPr>
            <w:rStyle w:val="Hyperlink"/>
            <w:rFonts w:ascii="Times New Roman" w:hAnsi="Times New Roman" w:cs="Times New Roman"/>
            <w:sz w:val="24"/>
            <w:szCs w:val="24"/>
          </w:rPr>
          <w:t>https://www.drugbank.ca/drugs/DB01273</w:t>
        </w:r>
      </w:hyperlink>
      <w:r w:rsidRPr="0083564D">
        <w:rPr>
          <w:rFonts w:ascii="Times New Roman" w:hAnsi="Times New Roman" w:cs="Times New Roman"/>
          <w:color w:val="222222"/>
          <w:sz w:val="24"/>
          <w:szCs w:val="24"/>
        </w:rPr>
        <w:t>).</w:t>
      </w:r>
    </w:p>
    <w:p w14:paraId="290180F0" w14:textId="77777777" w:rsidR="0083564D" w:rsidRPr="0083564D" w:rsidRDefault="0083564D" w:rsidP="00404BE6">
      <w:pPr>
        <w:rPr>
          <w:rFonts w:ascii="Times New Roman" w:hAnsi="Times New Roman" w:cs="Times New Roman"/>
          <w:sz w:val="24"/>
          <w:szCs w:val="24"/>
        </w:rPr>
      </w:pPr>
    </w:p>
    <w:p w14:paraId="1406B70E" w14:textId="353BE102" w:rsidR="00404BE6" w:rsidRPr="0083564D" w:rsidRDefault="00404BE6" w:rsidP="00404BE6">
      <w:pPr>
        <w:pStyle w:val="NormalWeb"/>
        <w:spacing w:before="0" w:beforeAutospacing="0" w:after="0" w:afterAutospacing="0"/>
        <w:rPr>
          <w:color w:val="000000"/>
          <w:shd w:val="clear" w:color="auto" w:fill="FFFFFF"/>
        </w:rPr>
      </w:pPr>
      <w:r w:rsidRPr="0083564D">
        <w:rPr>
          <w:color w:val="000000"/>
          <w:shd w:val="clear" w:color="auto" w:fill="FFFFFF"/>
        </w:rPr>
        <w:t xml:space="preserve">This homozygous </w:t>
      </w:r>
      <w:r w:rsidR="00CF1371" w:rsidRPr="0083564D">
        <w:rPr>
          <w:color w:val="000000"/>
          <w:shd w:val="clear" w:color="auto" w:fill="FFFFFF"/>
        </w:rPr>
        <w:t>variant causes increased risk of [adenocarcinoma and squamous cell lung cancer among Caucasians and African Americans](</w:t>
      </w:r>
      <w:r w:rsidR="00CF1371" w:rsidRPr="0083564D">
        <w:t>https://www.ncbi.nlm.nih.gov/pubmed/24254305</w:t>
      </w:r>
      <w:r w:rsidR="00CF1371" w:rsidRPr="0083564D">
        <w:rPr>
          <w:color w:val="000000"/>
          <w:shd w:val="clear" w:color="auto" w:fill="FFFFFF"/>
        </w:rPr>
        <w:t xml:space="preserve">), with an [odds ratio of </w:t>
      </w:r>
      <w:r w:rsidR="00CF1371" w:rsidRPr="0083564D">
        <w:rPr>
          <w:color w:val="000000"/>
          <w:shd w:val="clear" w:color="auto" w:fill="FFFFFF"/>
        </w:rPr>
        <w:t>1.9</w:t>
      </w:r>
      <w:r w:rsidR="00CF1371" w:rsidRPr="0083564D">
        <w:rPr>
          <w:color w:val="000000"/>
          <w:shd w:val="clear" w:color="auto" w:fill="FFFFFF"/>
        </w:rPr>
        <w:t>](</w:t>
      </w:r>
      <w:hyperlink r:id="rId146" w:history="1">
        <w:r w:rsidR="00CF1371" w:rsidRPr="0083564D">
          <w:rPr>
            <w:rStyle w:val="Hyperlink"/>
            <w:shd w:val="clear" w:color="auto" w:fill="FFFFFF"/>
          </w:rPr>
          <w:t>https://www.ncbi.nlm.nih.gov/pubmed/25233467</w:t>
        </w:r>
      </w:hyperlink>
      <w:r w:rsidR="00CF1371" w:rsidRPr="0083564D">
        <w:rPr>
          <w:color w:val="000000"/>
          <w:shd w:val="clear" w:color="auto" w:fill="FFFFFF"/>
        </w:rPr>
        <w:t xml:space="preserve">), but not East Asians or never-smokers.  </w:t>
      </w:r>
      <w:r w:rsidRPr="0083564D">
        <w:rPr>
          <w:color w:val="000000"/>
          <w:shd w:val="clear" w:color="auto" w:fill="FFFFFF"/>
        </w:rPr>
        <w:t xml:space="preserve"> </w:t>
      </w:r>
      <w:r w:rsidR="0083564D" w:rsidRPr="0083564D">
        <w:rPr>
          <w:color w:val="000000"/>
          <w:shd w:val="clear" w:color="auto" w:fill="FFFFFF"/>
        </w:rPr>
        <w:t>It causes an increase in [cigarettes smoked per day](</w:t>
      </w:r>
      <w:hyperlink r:id="rId147" w:history="1">
        <w:r w:rsidR="0083564D" w:rsidRPr="0083564D">
          <w:rPr>
            <w:rStyle w:val="Hyperlink"/>
          </w:rPr>
          <w:t>https://www.ncbi.nlm.nih.gov/pubmed/27663783</w:t>
        </w:r>
      </w:hyperlink>
      <w:r w:rsidR="0083564D" w:rsidRPr="0083564D">
        <w:rPr>
          <w:color w:val="000000"/>
          <w:shd w:val="clear" w:color="auto" w:fill="FFFFFF"/>
        </w:rPr>
        <w:t>) [(odds ratio 2.66)](</w:t>
      </w:r>
      <w:hyperlink r:id="rId148" w:history="1">
        <w:r w:rsidR="0083564D" w:rsidRPr="0083564D">
          <w:rPr>
            <w:rStyle w:val="Hyperlink"/>
            <w:shd w:val="clear" w:color="auto" w:fill="FFFFFF"/>
          </w:rPr>
          <w:t>https://www.ncbi.nlm.nih.gov/pubmed/25632390</w:t>
        </w:r>
      </w:hyperlink>
      <w:r w:rsidR="0083564D" w:rsidRPr="0083564D">
        <w:t>)</w:t>
      </w:r>
      <w:r w:rsidR="0083564D" w:rsidRPr="0083564D">
        <w:rPr>
          <w:color w:val="000000"/>
          <w:shd w:val="clear" w:color="auto" w:fill="FFFFFF"/>
        </w:rPr>
        <w:t xml:space="preserve"> and [severity of nicotine addiction (odds ratio 2.6)](</w:t>
      </w:r>
      <w:hyperlink r:id="rId149" w:history="1">
        <w:r w:rsidR="0083564D" w:rsidRPr="0083564D">
          <w:rPr>
            <w:rStyle w:val="Hyperlink"/>
            <w:shd w:val="clear" w:color="auto" w:fill="FFFFFF"/>
          </w:rPr>
          <w:t>https://www.ncbi.nlm.nih.gov/pubmed/25632390</w:t>
        </w:r>
      </w:hyperlink>
      <w:r w:rsidR="0083564D" w:rsidRPr="0083564D">
        <w:rPr>
          <w:color w:val="000000"/>
          <w:shd w:val="clear" w:color="auto" w:fill="FFFFFF"/>
        </w:rPr>
        <w:t xml:space="preserve">).  </w:t>
      </w:r>
      <w:r w:rsidR="00F36764" w:rsidRPr="0083564D">
        <w:rPr>
          <w:color w:val="000000"/>
          <w:shd w:val="clear" w:color="auto" w:fill="FFFFFF"/>
        </w:rPr>
        <w:t>There is a [</w:t>
      </w:r>
      <w:r w:rsidR="00F36764" w:rsidRPr="0083564D">
        <w:rPr>
          <w:color w:val="000000"/>
          <w:shd w:val="clear" w:color="auto" w:fill="FFFFFF"/>
        </w:rPr>
        <w:t>5.8</w:t>
      </w:r>
      <w:r w:rsidR="00F36764" w:rsidRPr="0083564D">
        <w:rPr>
          <w:color w:val="000000"/>
          <w:shd w:val="clear" w:color="auto" w:fill="FFFFFF"/>
        </w:rPr>
        <w:t>% decrease](</w:t>
      </w:r>
      <w:hyperlink r:id="rId150" w:history="1">
        <w:r w:rsidR="00F36764" w:rsidRPr="0083564D">
          <w:rPr>
            <w:rStyle w:val="Hyperlink"/>
            <w:shd w:val="clear" w:color="auto" w:fill="FFFFFF"/>
          </w:rPr>
          <w:t>https://www.ncbi.nlm.nih.gov/pubmed/25891233</w:t>
        </w:r>
      </w:hyperlink>
      <w:r w:rsidR="00F36764" w:rsidRPr="0083564D">
        <w:rPr>
          <w:color w:val="000000"/>
          <w:shd w:val="clear" w:color="auto" w:fill="FFFFFF"/>
        </w:rPr>
        <w:t>) in adherence to prescribed Nicotine replacement therapy (NRT) dose, and a [</w:t>
      </w:r>
      <w:r w:rsidR="00F36764" w:rsidRPr="0083564D">
        <w:rPr>
          <w:color w:val="000000"/>
          <w:shd w:val="clear" w:color="auto" w:fill="FFFFFF"/>
        </w:rPr>
        <w:t>2</w:t>
      </w:r>
      <w:r w:rsidR="00F36764" w:rsidRPr="0083564D">
        <w:rPr>
          <w:color w:val="000000"/>
          <w:shd w:val="clear" w:color="auto" w:fill="FFFFFF"/>
        </w:rPr>
        <w:t>.0mg decrease](</w:t>
      </w:r>
      <w:hyperlink r:id="rId151" w:history="1">
        <w:r w:rsidR="00F36764" w:rsidRPr="0083564D">
          <w:rPr>
            <w:rStyle w:val="Hyperlink"/>
            <w:shd w:val="clear" w:color="auto" w:fill="FFFFFF"/>
          </w:rPr>
          <w:t>https://www.ncbi.nlm.nih.gov/pubmed/25891233</w:t>
        </w:r>
      </w:hyperlink>
      <w:r w:rsidR="00F36764" w:rsidRPr="0083564D">
        <w:rPr>
          <w:color w:val="000000"/>
          <w:shd w:val="clear" w:color="auto" w:fill="FFFFFF"/>
        </w:rPr>
        <w:t xml:space="preserve">) in daily NRT consumption up to 28 days after beginning treatment.  </w:t>
      </w:r>
      <w:r w:rsidR="00CF1371" w:rsidRPr="0083564D">
        <w:rPr>
          <w:color w:val="000000"/>
          <w:shd w:val="clear" w:color="auto" w:fill="FFFFFF"/>
        </w:rPr>
        <w:t>T alleles were associated with [</w:t>
      </w:r>
      <w:r w:rsidR="00CF1371" w:rsidRPr="0083564D">
        <w:rPr>
          <w:color w:val="000000"/>
          <w:shd w:val="clear" w:color="auto" w:fill="FFFFFF"/>
        </w:rPr>
        <w:t>1.18</w:t>
      </w:r>
      <w:r w:rsidR="00CF1371" w:rsidRPr="0083564D">
        <w:rPr>
          <w:color w:val="000000"/>
          <w:shd w:val="clear" w:color="auto" w:fill="FFFFFF"/>
        </w:rPr>
        <w:t xml:space="preserve"> kg lower body weight, 0.</w:t>
      </w:r>
      <w:r w:rsidR="00CF1371" w:rsidRPr="0083564D">
        <w:rPr>
          <w:color w:val="000000"/>
          <w:shd w:val="clear" w:color="auto" w:fill="FFFFFF"/>
        </w:rPr>
        <w:t>46</w:t>
      </w:r>
      <w:r w:rsidR="00CF1371" w:rsidRPr="0083564D">
        <w:rPr>
          <w:color w:val="000000"/>
          <w:shd w:val="clear" w:color="auto" w:fill="FFFFFF"/>
        </w:rPr>
        <w:t xml:space="preserve"> </w:t>
      </w:r>
      <w:r w:rsidR="00CF1371" w:rsidRPr="0083564D">
        <w:rPr>
          <w:color w:val="000000"/>
          <w:shd w:val="clear" w:color="auto" w:fill="FFFFFF"/>
        </w:rPr>
        <w:lastRenderedPageBreak/>
        <w:t>kg/m(2) lower body mass index, 0.</w:t>
      </w:r>
      <w:r w:rsidR="00CF1371" w:rsidRPr="0083564D">
        <w:rPr>
          <w:color w:val="000000"/>
          <w:shd w:val="clear" w:color="auto" w:fill="FFFFFF"/>
        </w:rPr>
        <w:t>64</w:t>
      </w:r>
      <w:r w:rsidR="00CF1371" w:rsidRPr="0083564D">
        <w:rPr>
          <w:color w:val="000000"/>
          <w:shd w:val="clear" w:color="auto" w:fill="FFFFFF"/>
        </w:rPr>
        <w:t xml:space="preserve"> cm lower waist circumference</w:t>
      </w:r>
      <w:r w:rsidR="00CF1371" w:rsidRPr="0083564D">
        <w:rPr>
          <w:color w:val="000000"/>
          <w:shd w:val="clear" w:color="auto" w:fill="FFFFFF"/>
        </w:rPr>
        <w:t>,</w:t>
      </w:r>
      <w:r w:rsidR="00CF1371" w:rsidRPr="0083564D">
        <w:rPr>
          <w:color w:val="000000"/>
          <w:shd w:val="clear" w:color="auto" w:fill="FFFFFF"/>
        </w:rPr>
        <w:t xml:space="preserve"> and 0.</w:t>
      </w:r>
      <w:r w:rsidR="00CF1371" w:rsidRPr="0083564D">
        <w:rPr>
          <w:color w:val="000000"/>
          <w:shd w:val="clear" w:color="auto" w:fill="FFFFFF"/>
        </w:rPr>
        <w:t>90</w:t>
      </w:r>
      <w:r w:rsidR="00CF1371" w:rsidRPr="0083564D">
        <w:rPr>
          <w:color w:val="000000"/>
          <w:shd w:val="clear" w:color="auto" w:fill="FFFFFF"/>
        </w:rPr>
        <w:t xml:space="preserve"> cm lower hip circumference](</w:t>
      </w:r>
      <w:hyperlink r:id="rId152" w:history="1">
        <w:r w:rsidR="00CF1371" w:rsidRPr="0083564D">
          <w:rPr>
            <w:rStyle w:val="Hyperlink"/>
            <w:shd w:val="clear" w:color="auto" w:fill="FFFFFF"/>
          </w:rPr>
          <w:t>https://www.ncbi.nlm.nih.gov/pubmed/25777141</w:t>
        </w:r>
      </w:hyperlink>
      <w:r w:rsidR="00CF1371" w:rsidRPr="0083564D">
        <w:rPr>
          <w:color w:val="000000"/>
          <w:shd w:val="clear" w:color="auto" w:fill="FFFFFF"/>
        </w:rPr>
        <w:t>).  It also causes [higher resting heart rate, lower systolic blood pressure, and higher HDL cholesterol](</w:t>
      </w:r>
      <w:hyperlink r:id="rId153" w:history="1">
        <w:r w:rsidR="00CF1371" w:rsidRPr="0083564D">
          <w:rPr>
            <w:rStyle w:val="Hyperlink"/>
            <w:shd w:val="clear" w:color="auto" w:fill="FFFFFF"/>
          </w:rPr>
          <w:t>https://www.ncbi.nlm.nih.gov/pubmed/24867305</w:t>
        </w:r>
      </w:hyperlink>
      <w:r w:rsidR="00CF1371" w:rsidRPr="0083564D">
        <w:rPr>
          <w:color w:val="000000"/>
          <w:shd w:val="clear" w:color="auto" w:fill="FFFFFF"/>
        </w:rPr>
        <w:t>).</w:t>
      </w:r>
      <w:r w:rsidRPr="0083564D">
        <w:rPr>
          <w:color w:val="000000"/>
          <w:shd w:val="clear" w:color="auto" w:fill="FFFFFF"/>
        </w:rPr>
        <w:t xml:space="preserve"> </w:t>
      </w:r>
      <w:r w:rsidR="0083564D" w:rsidRPr="0083564D">
        <w:rPr>
          <w:color w:val="000000"/>
          <w:shd w:val="clear" w:color="auto" w:fill="FFFFFF"/>
        </w:rPr>
        <w:t>Among people who smoke more than 30 cigarettes per day, [fatigue and hopelessness](</w:t>
      </w:r>
      <w:hyperlink r:id="rId154" w:history="1">
        <w:r w:rsidR="0083564D" w:rsidRPr="0083564D">
          <w:rPr>
            <w:rStyle w:val="Hyperlink"/>
            <w:shd w:val="clear" w:color="auto" w:fill="FFFFFF"/>
          </w:rPr>
          <w:t>https://www.ncbi.nlm.nih.gov/pubmed/27613883</w:t>
        </w:r>
      </w:hyperlink>
      <w:r w:rsidR="0083564D" w:rsidRPr="0083564D">
        <w:rPr>
          <w:color w:val="000000"/>
          <w:shd w:val="clear" w:color="auto" w:fill="FFFFFF"/>
        </w:rPr>
        <w:t>) are also greatly increased.</w:t>
      </w:r>
      <w:r w:rsidR="0083564D">
        <w:rPr>
          <w:color w:val="000000"/>
          <w:shd w:val="clear" w:color="auto" w:fill="FFFFFF"/>
        </w:rPr>
        <w:t xml:space="preserve">  </w:t>
      </w:r>
      <w:r w:rsidR="0083564D" w:rsidRPr="0083564D">
        <w:rPr>
          <w:color w:val="000000"/>
          <w:shd w:val="clear" w:color="auto" w:fill="FFFFFF"/>
        </w:rPr>
        <w:t>H</w:t>
      </w:r>
      <w:r w:rsidR="00F36764" w:rsidRPr="0083564D">
        <w:rPr>
          <w:color w:val="000000"/>
          <w:shd w:val="clear" w:color="auto" w:fill="FFFFFF"/>
        </w:rPr>
        <w:t xml:space="preserve">omozygotes had increased risk of </w:t>
      </w:r>
      <w:r w:rsidR="0083564D" w:rsidRPr="0083564D">
        <w:rPr>
          <w:color w:val="000000"/>
          <w:shd w:val="clear" w:color="auto" w:fill="FFFFFF"/>
        </w:rPr>
        <w:t>[</w:t>
      </w:r>
      <w:r w:rsidR="00F36764" w:rsidRPr="0083564D">
        <w:rPr>
          <w:color w:val="000000"/>
          <w:shd w:val="clear" w:color="auto" w:fill="FFFFFF"/>
        </w:rPr>
        <w:t>antipsychotic medication</w:t>
      </w:r>
      <w:r w:rsidR="0083564D" w:rsidRPr="0083564D">
        <w:rPr>
          <w:color w:val="000000"/>
          <w:shd w:val="clear" w:color="auto" w:fill="FFFFFF"/>
        </w:rPr>
        <w:t xml:space="preserve"> and </w:t>
      </w:r>
      <w:proofErr w:type="gramStart"/>
      <w:r w:rsidR="00F36764" w:rsidRPr="0083564D">
        <w:rPr>
          <w:color w:val="000000"/>
          <w:shd w:val="clear" w:color="auto" w:fill="FFFFFF"/>
        </w:rPr>
        <w:t>schizophrenia</w:t>
      </w:r>
      <w:r w:rsidR="0083564D" w:rsidRPr="0083564D">
        <w:rPr>
          <w:color w:val="000000"/>
          <w:shd w:val="clear" w:color="auto" w:fill="FFFFFF"/>
        </w:rPr>
        <w:t>](</w:t>
      </w:r>
      <w:proofErr w:type="gramEnd"/>
      <w:r w:rsidR="0083564D" w:rsidRPr="0083564D">
        <w:rPr>
          <w:color w:val="000000"/>
          <w:shd w:val="clear" w:color="auto" w:fill="FFFFFF"/>
        </w:rPr>
        <w:fldChar w:fldCharType="begin"/>
      </w:r>
      <w:r w:rsidR="0083564D" w:rsidRPr="0083564D">
        <w:rPr>
          <w:color w:val="000000"/>
          <w:shd w:val="clear" w:color="auto" w:fill="FFFFFF"/>
        </w:rPr>
        <w:instrText xml:space="preserve"> HYPERLINK "https://www.ncbi.nlm.nih.gov/pubmed/26054357" </w:instrText>
      </w:r>
      <w:r w:rsidR="0083564D" w:rsidRPr="0083564D">
        <w:rPr>
          <w:color w:val="000000"/>
          <w:shd w:val="clear" w:color="auto" w:fill="FFFFFF"/>
        </w:rPr>
        <w:fldChar w:fldCharType="separate"/>
      </w:r>
      <w:r w:rsidR="0083564D" w:rsidRPr="0083564D">
        <w:rPr>
          <w:rStyle w:val="Hyperlink"/>
          <w:shd w:val="clear" w:color="auto" w:fill="FFFFFF"/>
        </w:rPr>
        <w:t>https://www.ncbi.nlm.nih.gov/pubmed/26054357</w:t>
      </w:r>
      <w:r w:rsidR="0083564D" w:rsidRPr="0083564D">
        <w:rPr>
          <w:color w:val="000000"/>
          <w:shd w:val="clear" w:color="auto" w:fill="FFFFFF"/>
        </w:rPr>
        <w:fldChar w:fldCharType="end"/>
      </w:r>
      <w:r w:rsidR="0083564D" w:rsidRPr="0083564D">
        <w:rPr>
          <w:color w:val="000000"/>
          <w:shd w:val="clear" w:color="auto" w:fill="FFFFFF"/>
        </w:rPr>
        <w:t>).</w:t>
      </w:r>
    </w:p>
    <w:p w14:paraId="03C1BB58" w14:textId="77777777" w:rsidR="0083564D" w:rsidRPr="0083564D" w:rsidRDefault="0083564D" w:rsidP="00404BE6">
      <w:pPr>
        <w:pStyle w:val="NormalWeb"/>
        <w:spacing w:before="0" w:beforeAutospacing="0" w:after="0" w:afterAutospacing="0"/>
        <w:rPr>
          <w:color w:val="000000"/>
          <w:shd w:val="clear" w:color="auto" w:fill="FFFFFF"/>
        </w:rPr>
      </w:pPr>
    </w:p>
    <w:p w14:paraId="60A943F7" w14:textId="1BE8030B" w:rsidR="00404BE6" w:rsidRDefault="00404BE6" w:rsidP="00404BE6">
      <w:pPr>
        <w:pStyle w:val="NormalWeb"/>
        <w:spacing w:before="0" w:beforeAutospacing="0" w:after="0" w:afterAutospacing="0"/>
        <w:rPr>
          <w:color w:val="000000"/>
          <w:shd w:val="clear" w:color="auto" w:fill="FFFFFF"/>
        </w:rPr>
      </w:pPr>
      <w:r w:rsidRPr="0083564D">
        <w:rPr>
          <w:color w:val="000000"/>
          <w:shd w:val="clear" w:color="auto" w:fill="FFFFFF"/>
        </w:rPr>
        <w:t xml:space="preserve">People also should not smoke.  If you do smoke, be aware of your greatly increased risk for dependency and difficulty of quitting </w:t>
      </w:r>
      <w:proofErr w:type="gramStart"/>
      <w:r w:rsidRPr="0083564D">
        <w:rPr>
          <w:color w:val="000000"/>
          <w:shd w:val="clear" w:color="auto" w:fill="FFFFFF"/>
        </w:rPr>
        <w:t>smoking, and</w:t>
      </w:r>
      <w:proofErr w:type="gramEnd"/>
      <w:r w:rsidRPr="0083564D">
        <w:rPr>
          <w:color w:val="000000"/>
          <w:shd w:val="clear" w:color="auto" w:fill="FFFFFF"/>
        </w:rPr>
        <w:t xml:space="preserve"> consider regular checks for lung cancer.</w:t>
      </w:r>
      <w:r w:rsidR="00BA0AF0">
        <w:rPr>
          <w:color w:val="000000"/>
          <w:shd w:val="clear" w:color="auto" w:fill="FFFFFF"/>
        </w:rPr>
        <w:t xml:space="preserve">  Monitor signs of schizophrenia and antipsychotic medication side effects.</w:t>
      </w:r>
    </w:p>
    <w:p w14:paraId="4FBE13DF" w14:textId="4A0D343E" w:rsidR="00BA0AF0" w:rsidRDefault="00BA0AF0" w:rsidP="00404BE6">
      <w:pPr>
        <w:pStyle w:val="NormalWeb"/>
        <w:spacing w:before="0" w:beforeAutospacing="0" w:after="0" w:afterAutospacing="0"/>
        <w:rPr>
          <w:color w:val="000000"/>
          <w:shd w:val="clear" w:color="auto" w:fill="FFFFFF"/>
        </w:rPr>
      </w:pPr>
    </w:p>
    <w:p w14:paraId="6C0040CA" w14:textId="03C9A2A8" w:rsidR="00BA0AF0" w:rsidRDefault="00BA0AF0" w:rsidP="00BA0AF0">
      <w:pPr>
        <w:pStyle w:val="NormalWeb"/>
        <w:spacing w:before="0" w:beforeAutospacing="0" w:after="0" w:afterAutospacing="0"/>
        <w:rPr>
          <w:color w:val="000000"/>
          <w:shd w:val="clear" w:color="auto" w:fill="FFFFFF"/>
        </w:rPr>
      </w:pPr>
      <w:r>
        <w:rPr>
          <w:color w:val="000000"/>
          <w:shd w:val="clear" w:color="auto" w:fill="FFFFFF"/>
        </w:rPr>
        <w:t xml:space="preserve">[Many factors may decrease your risk of lung </w:t>
      </w:r>
      <w:proofErr w:type="gramStart"/>
      <w:r>
        <w:rPr>
          <w:color w:val="000000"/>
          <w:shd w:val="clear" w:color="auto" w:fill="FFFFFF"/>
        </w:rPr>
        <w:t>cancer](</w:t>
      </w:r>
      <w:proofErr w:type="gramEnd"/>
      <w:r w:rsidRPr="00BA0AF0">
        <w:rPr>
          <w:color w:val="000000"/>
          <w:shd w:val="clear" w:color="auto" w:fill="FFFFFF"/>
        </w:rPr>
        <w:t>https://www.cancer.gov/types/lung/patient/lung-prevention-pdq#section/all</w:t>
      </w:r>
      <w:r>
        <w:rPr>
          <w:color w:val="000000"/>
          <w:shd w:val="clear" w:color="auto" w:fill="FFFFFF"/>
        </w:rPr>
        <w:t>)</w:t>
      </w:r>
      <w:r>
        <w:rPr>
          <w:color w:val="000000"/>
          <w:shd w:val="clear" w:color="auto" w:fill="FFFFFF"/>
        </w:rPr>
        <w:t>.</w:t>
      </w:r>
    </w:p>
    <w:p w14:paraId="60C27DA4" w14:textId="77777777" w:rsidR="00BA0AF0"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 xml:space="preserve">*   </w:t>
      </w:r>
      <w:r>
        <w:rPr>
          <w:color w:val="000000"/>
          <w:shd w:val="clear" w:color="auto" w:fill="FFFFFF"/>
        </w:rPr>
        <w:t>Avoid c</w:t>
      </w:r>
      <w:r w:rsidRPr="0083564D">
        <w:rPr>
          <w:color w:val="000000"/>
          <w:shd w:val="clear" w:color="auto" w:fill="FFFFFF"/>
        </w:rPr>
        <w:t>igarette, cigar, pipe smoking</w:t>
      </w:r>
      <w:r>
        <w:rPr>
          <w:color w:val="000000"/>
          <w:shd w:val="clear" w:color="auto" w:fill="FFFFFF"/>
        </w:rPr>
        <w:t>, and s</w:t>
      </w:r>
      <w:r w:rsidRPr="0083564D">
        <w:rPr>
          <w:color w:val="000000"/>
          <w:shd w:val="clear" w:color="auto" w:fill="FFFFFF"/>
        </w:rPr>
        <w:t>econdhand smoke</w:t>
      </w:r>
      <w:r>
        <w:rPr>
          <w:color w:val="000000"/>
          <w:shd w:val="clear" w:color="auto" w:fill="FFFFFF"/>
        </w:rPr>
        <w:t>.</w:t>
      </w:r>
    </w:p>
    <w:p w14:paraId="205AEAF3" w14:textId="77777777" w:rsidR="00BA0AF0" w:rsidRPr="0083564D"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 xml:space="preserve">*   </w:t>
      </w:r>
      <w:r>
        <w:rPr>
          <w:color w:val="000000"/>
          <w:shd w:val="clear" w:color="auto" w:fill="FFFFFF"/>
        </w:rPr>
        <w:t>Have less than one alcoholic drink per day.</w:t>
      </w:r>
    </w:p>
    <w:p w14:paraId="5AF4351B" w14:textId="77777777" w:rsidR="00BA0AF0" w:rsidRPr="0083564D"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 xml:space="preserve">*   </w:t>
      </w:r>
      <w:r>
        <w:rPr>
          <w:color w:val="000000"/>
          <w:shd w:val="clear" w:color="auto" w:fill="FFFFFF"/>
        </w:rPr>
        <w:t>Practice safe sex, and avoid HIV</w:t>
      </w:r>
      <w:r w:rsidRPr="0083564D">
        <w:rPr>
          <w:color w:val="000000"/>
          <w:shd w:val="clear" w:color="auto" w:fill="FFFFFF"/>
        </w:rPr>
        <w:t xml:space="preserve"> infection</w:t>
      </w:r>
    </w:p>
    <w:p w14:paraId="65A63BED" w14:textId="77777777" w:rsidR="00BA0AF0"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 xml:space="preserve">*   </w:t>
      </w:r>
      <w:r>
        <w:rPr>
          <w:color w:val="000000"/>
          <w:shd w:val="clear" w:color="auto" w:fill="FFFFFF"/>
        </w:rPr>
        <w:t>Avoid r</w:t>
      </w:r>
      <w:r w:rsidRPr="0083564D">
        <w:rPr>
          <w:color w:val="000000"/>
          <w:shd w:val="clear" w:color="auto" w:fill="FFFFFF"/>
        </w:rPr>
        <w:t>adiation exposure</w:t>
      </w:r>
      <w:r>
        <w:rPr>
          <w:color w:val="000000"/>
          <w:shd w:val="clear" w:color="auto" w:fill="FFFFFF"/>
        </w:rPr>
        <w:t>, including a</w:t>
      </w:r>
      <w:r w:rsidRPr="0083564D">
        <w:rPr>
          <w:color w:val="000000"/>
          <w:shd w:val="clear" w:color="auto" w:fill="FFFFFF"/>
        </w:rPr>
        <w:t>tomic bomb radiation, radiation therapy, imaging tests, and radon</w:t>
      </w:r>
      <w:r>
        <w:rPr>
          <w:color w:val="000000"/>
          <w:shd w:val="clear" w:color="auto" w:fill="FFFFFF"/>
        </w:rPr>
        <w:t>.</w:t>
      </w:r>
    </w:p>
    <w:p w14:paraId="3555DB40" w14:textId="77777777" w:rsidR="00BA0AF0"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 xml:space="preserve">*   </w:t>
      </w:r>
      <w:r>
        <w:rPr>
          <w:color w:val="000000"/>
          <w:shd w:val="clear" w:color="auto" w:fill="FFFFFF"/>
        </w:rPr>
        <w:t>Avoid environmental toxins such as a</w:t>
      </w:r>
      <w:r w:rsidRPr="0083564D">
        <w:rPr>
          <w:color w:val="000000"/>
          <w:shd w:val="clear" w:color="auto" w:fill="FFFFFF"/>
        </w:rPr>
        <w:t>sbestos</w:t>
      </w:r>
      <w:r>
        <w:rPr>
          <w:color w:val="000000"/>
          <w:shd w:val="clear" w:color="auto" w:fill="FFFFFF"/>
        </w:rPr>
        <w:t>, a</w:t>
      </w:r>
      <w:r w:rsidRPr="0083564D">
        <w:rPr>
          <w:color w:val="000000"/>
          <w:shd w:val="clear" w:color="auto" w:fill="FFFFFF"/>
        </w:rPr>
        <w:t>rsenic</w:t>
      </w:r>
      <w:r>
        <w:rPr>
          <w:color w:val="000000"/>
          <w:shd w:val="clear" w:color="auto" w:fill="FFFFFF"/>
        </w:rPr>
        <w:t>, c</w:t>
      </w:r>
      <w:r w:rsidRPr="0083564D">
        <w:rPr>
          <w:color w:val="000000"/>
          <w:shd w:val="clear" w:color="auto" w:fill="FFFFFF"/>
        </w:rPr>
        <w:t>hromium</w:t>
      </w:r>
      <w:r>
        <w:rPr>
          <w:color w:val="000000"/>
          <w:shd w:val="clear" w:color="auto" w:fill="FFFFFF"/>
        </w:rPr>
        <w:t>, n</w:t>
      </w:r>
      <w:r w:rsidRPr="0083564D">
        <w:rPr>
          <w:color w:val="000000"/>
          <w:shd w:val="clear" w:color="auto" w:fill="FFFFFF"/>
        </w:rPr>
        <w:t>ickel</w:t>
      </w:r>
      <w:r>
        <w:rPr>
          <w:color w:val="000000"/>
          <w:shd w:val="clear" w:color="auto" w:fill="FFFFFF"/>
        </w:rPr>
        <w:t>, b</w:t>
      </w:r>
      <w:r w:rsidRPr="0083564D">
        <w:rPr>
          <w:color w:val="000000"/>
          <w:shd w:val="clear" w:color="auto" w:fill="FFFFFF"/>
        </w:rPr>
        <w:t>eryllium</w:t>
      </w:r>
      <w:r>
        <w:rPr>
          <w:color w:val="000000"/>
          <w:shd w:val="clear" w:color="auto" w:fill="FFFFFF"/>
        </w:rPr>
        <w:t>, c</w:t>
      </w:r>
      <w:r w:rsidRPr="0083564D">
        <w:rPr>
          <w:color w:val="000000"/>
          <w:shd w:val="clear" w:color="auto" w:fill="FFFFFF"/>
        </w:rPr>
        <w:t>admium</w:t>
      </w:r>
      <w:r>
        <w:rPr>
          <w:color w:val="000000"/>
          <w:shd w:val="clear" w:color="auto" w:fill="FFFFFF"/>
        </w:rPr>
        <w:t>, t</w:t>
      </w:r>
      <w:r w:rsidRPr="0083564D">
        <w:rPr>
          <w:color w:val="000000"/>
          <w:shd w:val="clear" w:color="auto" w:fill="FFFFFF"/>
        </w:rPr>
        <w:t>ar</w:t>
      </w:r>
      <w:r>
        <w:rPr>
          <w:color w:val="000000"/>
          <w:shd w:val="clear" w:color="auto" w:fill="FFFFFF"/>
        </w:rPr>
        <w:t>,</w:t>
      </w:r>
      <w:r w:rsidRPr="0083564D">
        <w:rPr>
          <w:color w:val="000000"/>
          <w:shd w:val="clear" w:color="auto" w:fill="FFFFFF"/>
        </w:rPr>
        <w:t xml:space="preserve"> soot</w:t>
      </w:r>
      <w:r>
        <w:rPr>
          <w:color w:val="000000"/>
          <w:shd w:val="clear" w:color="auto" w:fill="FFFFFF"/>
        </w:rPr>
        <w:t>, and sir pollution.</w:t>
      </w:r>
    </w:p>
    <w:p w14:paraId="39C8EC29" w14:textId="77777777" w:rsidR="00BA0AF0"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w:t>
      </w:r>
      <w:proofErr w:type="gramStart"/>
      <w:r w:rsidRPr="00D806DD">
        <w:rPr>
          <w:color w:val="000000"/>
          <w:shd w:val="clear" w:color="auto" w:fill="FFFFFF"/>
        </w:rPr>
        <w:t xml:space="preserve">   </w:t>
      </w:r>
      <w:r>
        <w:rPr>
          <w:color w:val="000000"/>
          <w:shd w:val="clear" w:color="auto" w:fill="FFFFFF"/>
        </w:rPr>
        <w:t>[</w:t>
      </w:r>
      <w:proofErr w:type="gramEnd"/>
      <w:r w:rsidRPr="0083564D">
        <w:rPr>
          <w:color w:val="000000"/>
          <w:shd w:val="clear" w:color="auto" w:fill="FFFFFF"/>
        </w:rPr>
        <w:t>Beta carotene supplements</w:t>
      </w:r>
      <w:r>
        <w:rPr>
          <w:color w:val="000000"/>
          <w:shd w:val="clear" w:color="auto" w:fill="FFFFFF"/>
        </w:rPr>
        <w:t>, made from</w:t>
      </w:r>
      <w:r w:rsidRPr="00BA0AF0">
        <w:rPr>
          <w:color w:val="000000"/>
          <w:shd w:val="clear" w:color="auto" w:fill="FFFFFF"/>
        </w:rPr>
        <w:t xml:space="preserve"> yellow and orange fruits and vegetables and dark green, leafy vegetables</w:t>
      </w:r>
      <w:r>
        <w:rPr>
          <w:color w:val="000000"/>
          <w:shd w:val="clear" w:color="auto" w:fill="FFFFFF"/>
        </w:rPr>
        <w:t>,](</w:t>
      </w:r>
      <w:r w:rsidRPr="0083564D">
        <w:rPr>
          <w:color w:val="000000"/>
          <w:shd w:val="clear" w:color="auto" w:fill="FFFFFF"/>
        </w:rPr>
        <w:t>https://www.cancer.gov/types/lung/patient/lung-prevention-pdq#section/all</w:t>
      </w:r>
      <w:r>
        <w:rPr>
          <w:color w:val="000000"/>
          <w:shd w:val="clear" w:color="auto" w:fill="FFFFFF"/>
        </w:rPr>
        <w:t>)</w:t>
      </w:r>
      <w:r w:rsidRPr="0083564D">
        <w:rPr>
          <w:color w:val="000000"/>
          <w:shd w:val="clear" w:color="auto" w:fill="FFFFFF"/>
        </w:rPr>
        <w:t xml:space="preserve"> </w:t>
      </w:r>
      <w:r>
        <w:rPr>
          <w:color w:val="000000"/>
          <w:shd w:val="clear" w:color="auto" w:fill="FFFFFF"/>
        </w:rPr>
        <w:t>may help reduce risk for</w:t>
      </w:r>
      <w:r w:rsidRPr="0083564D">
        <w:rPr>
          <w:color w:val="000000"/>
          <w:shd w:val="clear" w:color="auto" w:fill="FFFFFF"/>
        </w:rPr>
        <w:t xml:space="preserve"> heavy smokers</w:t>
      </w:r>
      <w:r>
        <w:rPr>
          <w:color w:val="000000"/>
          <w:shd w:val="clear" w:color="auto" w:fill="FFFFFF"/>
        </w:rPr>
        <w:t>.</w:t>
      </w:r>
    </w:p>
    <w:p w14:paraId="58A13731" w14:textId="77777777" w:rsidR="00404BE6" w:rsidRPr="0083564D" w:rsidRDefault="00404BE6" w:rsidP="00404BE6">
      <w:pPr>
        <w:pStyle w:val="NormalWeb"/>
        <w:spacing w:before="0" w:beforeAutospacing="0" w:after="0" w:afterAutospacing="0"/>
        <w:rPr>
          <w:color w:val="000000"/>
          <w:shd w:val="clear" w:color="auto" w:fill="FFFFFF"/>
        </w:rPr>
      </w:pPr>
    </w:p>
    <w:p w14:paraId="57D2C2D6" w14:textId="469670D1" w:rsidR="00404BE6" w:rsidRPr="0083564D" w:rsidRDefault="00404BE6" w:rsidP="00404BE6">
      <w:pPr>
        <w:rPr>
          <w:rFonts w:ascii="Times New Roman" w:hAnsi="Times New Roman" w:cs="Times New Roman"/>
          <w:sz w:val="24"/>
          <w:szCs w:val="24"/>
        </w:rPr>
      </w:pPr>
      <w:r w:rsidRPr="0083564D">
        <w:rPr>
          <w:rFonts w:ascii="Times New Roman" w:hAnsi="Times New Roman" w:cs="Times New Roman"/>
          <w:color w:val="000000"/>
          <w:sz w:val="24"/>
          <w:szCs w:val="24"/>
          <w:shd w:val="clear" w:color="auto" w:fill="FFFFFF"/>
        </w:rPr>
        <w:t>[</w:t>
      </w:r>
      <w:hyperlink r:id="rId155" w:history="1">
        <w:r w:rsidRPr="0083564D">
          <w:rPr>
            <w:rFonts w:ascii="Times New Roman" w:hAnsi="Times New Roman" w:cs="Times New Roman"/>
            <w:color w:val="000000"/>
            <w:sz w:val="24"/>
            <w:szCs w:val="24"/>
            <w:shd w:val="clear" w:color="auto" w:fill="FFFFFF"/>
          </w:rPr>
          <w:t>Medications</w:t>
        </w:r>
      </w:hyperlink>
      <w:r w:rsidRPr="0083564D">
        <w:rPr>
          <w:rFonts w:ascii="Times New Roman" w:hAnsi="Times New Roman" w:cs="Times New Roman"/>
          <w:color w:val="000000"/>
          <w:sz w:val="24"/>
          <w:szCs w:val="24"/>
          <w:shd w:val="clear" w:color="auto" w:fill="FFFFFF"/>
        </w:rPr>
        <w:t>](</w:t>
      </w:r>
      <w:hyperlink r:id="rId156" w:history="1">
        <w:r w:rsidRPr="0083564D">
          <w:rPr>
            <w:rStyle w:val="Hyperlink"/>
            <w:rFonts w:ascii="Times New Roman" w:hAnsi="Times New Roman" w:cs="Times New Roman"/>
            <w:sz w:val="24"/>
            <w:szCs w:val="24"/>
          </w:rPr>
          <w:t>http://www.uniprot.org/uniprot/P32297</w:t>
        </w:r>
      </w:hyperlink>
      <w:r w:rsidRPr="0083564D">
        <w:rPr>
          <w:rFonts w:ascii="Times New Roman" w:hAnsi="Times New Roman" w:cs="Times New Roman"/>
          <w:sz w:val="24"/>
          <w:szCs w:val="24"/>
        </w:rPr>
        <w:t>)</w:t>
      </w:r>
      <w:r w:rsidRPr="0083564D">
        <w:rPr>
          <w:rFonts w:ascii="Times New Roman" w:hAnsi="Times New Roman" w:cs="Times New Roman"/>
          <w:color w:val="000000"/>
          <w:sz w:val="24"/>
          <w:szCs w:val="24"/>
          <w:shd w:val="clear" w:color="auto" w:fill="FFFFFF"/>
        </w:rPr>
        <w:t xml:space="preserve"> indicated for use for CHRNA3 issues include: [</w:t>
      </w:r>
      <w:r w:rsidRPr="0083564D">
        <w:rPr>
          <w:rFonts w:ascii="Times New Roman" w:hAnsi="Times New Roman" w:cs="Times New Roman"/>
          <w:color w:val="222222"/>
          <w:sz w:val="24"/>
          <w:szCs w:val="24"/>
        </w:rPr>
        <w:t>Bupropion](</w:t>
      </w:r>
      <w:hyperlink r:id="rId157" w:history="1">
        <w:r w:rsidRPr="0083564D">
          <w:rPr>
            <w:rStyle w:val="Hyperlink"/>
            <w:rFonts w:ascii="Times New Roman" w:hAnsi="Times New Roman" w:cs="Times New Roman"/>
            <w:sz w:val="24"/>
            <w:szCs w:val="24"/>
          </w:rPr>
          <w:t>https://www.drugbank.ca/drugs/DB01156</w:t>
        </w:r>
      </w:hyperlink>
      <w:r w:rsidRPr="0083564D">
        <w:rPr>
          <w:rFonts w:ascii="Times New Roman" w:hAnsi="Times New Roman" w:cs="Times New Roman"/>
          <w:color w:val="222222"/>
          <w:sz w:val="24"/>
          <w:szCs w:val="24"/>
        </w:rPr>
        <w:t>), [Cytisine](</w:t>
      </w:r>
      <w:hyperlink r:id="rId158" w:history="1">
        <w:r w:rsidRPr="0083564D">
          <w:rPr>
            <w:rStyle w:val="Hyperlink"/>
            <w:rFonts w:ascii="Times New Roman" w:hAnsi="Times New Roman" w:cs="Times New Roman"/>
            <w:sz w:val="24"/>
            <w:szCs w:val="24"/>
          </w:rPr>
          <w:t>https://www.drugbank.ca/drugs/DB09028</w:t>
        </w:r>
      </w:hyperlink>
      <w:r w:rsidRPr="0083564D">
        <w:rPr>
          <w:rFonts w:ascii="Times New Roman" w:hAnsi="Times New Roman" w:cs="Times New Roman"/>
          <w:color w:val="222222"/>
          <w:sz w:val="24"/>
          <w:szCs w:val="24"/>
        </w:rPr>
        <w:t>), [Dextromethorphan](</w:t>
      </w:r>
      <w:hyperlink r:id="rId159" w:history="1">
        <w:r w:rsidRPr="0083564D">
          <w:rPr>
            <w:rStyle w:val="Hyperlink"/>
            <w:rFonts w:ascii="Times New Roman" w:hAnsi="Times New Roman" w:cs="Times New Roman"/>
            <w:sz w:val="24"/>
            <w:szCs w:val="24"/>
          </w:rPr>
          <w:t>https://www.drugbank.ca/drugs/DB00514</w:t>
        </w:r>
      </w:hyperlink>
      <w:r w:rsidRPr="0083564D">
        <w:rPr>
          <w:rFonts w:ascii="Times New Roman" w:hAnsi="Times New Roman" w:cs="Times New Roman"/>
          <w:color w:val="222222"/>
          <w:sz w:val="24"/>
          <w:szCs w:val="24"/>
        </w:rPr>
        <w:t>), [Ethanol](</w:t>
      </w:r>
      <w:hyperlink r:id="rId160" w:history="1">
        <w:r w:rsidRPr="0083564D">
          <w:rPr>
            <w:rStyle w:val="Hyperlink"/>
            <w:rFonts w:ascii="Times New Roman" w:hAnsi="Times New Roman" w:cs="Times New Roman"/>
            <w:sz w:val="24"/>
            <w:szCs w:val="24"/>
          </w:rPr>
          <w:t>https://www.drugbank.ca/drugs/DB00898</w:t>
        </w:r>
      </w:hyperlink>
      <w:r w:rsidRPr="0083564D">
        <w:rPr>
          <w:rFonts w:ascii="Times New Roman" w:hAnsi="Times New Roman" w:cs="Times New Roman"/>
          <w:color w:val="222222"/>
          <w:sz w:val="24"/>
          <w:szCs w:val="24"/>
        </w:rPr>
        <w:t>), [Galantamine](</w:t>
      </w:r>
      <w:hyperlink r:id="rId161" w:history="1">
        <w:r w:rsidRPr="0083564D">
          <w:rPr>
            <w:rStyle w:val="Hyperlink"/>
            <w:rFonts w:ascii="Times New Roman" w:hAnsi="Times New Roman" w:cs="Times New Roman"/>
            <w:sz w:val="24"/>
            <w:szCs w:val="24"/>
          </w:rPr>
          <w:t>https://www.drugbank.ca/drugs/DB00674</w:t>
        </w:r>
      </w:hyperlink>
      <w:r w:rsidRPr="0083564D">
        <w:rPr>
          <w:rFonts w:ascii="Times New Roman" w:hAnsi="Times New Roman" w:cs="Times New Roman"/>
          <w:color w:val="222222"/>
          <w:sz w:val="24"/>
          <w:szCs w:val="24"/>
        </w:rPr>
        <w:t>), [Levamisole](</w:t>
      </w:r>
      <w:hyperlink r:id="rId162" w:history="1">
        <w:r w:rsidRPr="0083564D">
          <w:rPr>
            <w:rStyle w:val="Hyperlink"/>
            <w:rFonts w:ascii="Times New Roman" w:hAnsi="Times New Roman" w:cs="Times New Roman"/>
            <w:sz w:val="24"/>
            <w:szCs w:val="24"/>
          </w:rPr>
          <w:t>https://www.drugbank.ca/drugs/DB00848</w:t>
        </w:r>
      </w:hyperlink>
      <w:r w:rsidRPr="0083564D">
        <w:rPr>
          <w:rFonts w:ascii="Times New Roman" w:hAnsi="Times New Roman" w:cs="Times New Roman"/>
          <w:color w:val="222222"/>
          <w:sz w:val="24"/>
          <w:szCs w:val="24"/>
        </w:rPr>
        <w:t>), [Levomethadyl Acetate](</w:t>
      </w:r>
      <w:hyperlink r:id="rId163" w:history="1">
        <w:r w:rsidRPr="0083564D">
          <w:rPr>
            <w:rStyle w:val="Hyperlink"/>
            <w:rFonts w:ascii="Times New Roman" w:hAnsi="Times New Roman" w:cs="Times New Roman"/>
            <w:sz w:val="24"/>
            <w:szCs w:val="24"/>
          </w:rPr>
          <w:t>https://www.drugbank.ca/drugs/DB01227</w:t>
        </w:r>
      </w:hyperlink>
      <w:r w:rsidRPr="0083564D">
        <w:rPr>
          <w:rFonts w:ascii="Times New Roman" w:hAnsi="Times New Roman" w:cs="Times New Roman"/>
          <w:color w:val="222222"/>
          <w:sz w:val="24"/>
          <w:szCs w:val="24"/>
        </w:rPr>
        <w:t>), [Nicotine](</w:t>
      </w:r>
      <w:hyperlink r:id="rId164" w:history="1">
        <w:r w:rsidRPr="0083564D">
          <w:rPr>
            <w:rStyle w:val="Hyperlink"/>
            <w:rFonts w:ascii="Times New Roman" w:hAnsi="Times New Roman" w:cs="Times New Roman"/>
            <w:sz w:val="24"/>
            <w:szCs w:val="24"/>
          </w:rPr>
          <w:t>https://www.drugbank.ca/drugs/DB00184</w:t>
        </w:r>
      </w:hyperlink>
      <w:r w:rsidRPr="0083564D">
        <w:rPr>
          <w:rFonts w:ascii="Times New Roman" w:hAnsi="Times New Roman" w:cs="Times New Roman"/>
          <w:color w:val="222222"/>
          <w:sz w:val="24"/>
          <w:szCs w:val="24"/>
        </w:rPr>
        <w:t>), [Pentolinium](</w:t>
      </w:r>
      <w:hyperlink r:id="rId165" w:history="1">
        <w:r w:rsidRPr="0083564D">
          <w:rPr>
            <w:rStyle w:val="Hyperlink"/>
            <w:rFonts w:ascii="Times New Roman" w:hAnsi="Times New Roman" w:cs="Times New Roman"/>
            <w:sz w:val="24"/>
            <w:szCs w:val="24"/>
          </w:rPr>
          <w:t>https://www.drugbank.ca/drugs/DB01090</w:t>
        </w:r>
      </w:hyperlink>
      <w:r w:rsidRPr="0083564D">
        <w:rPr>
          <w:rFonts w:ascii="Times New Roman" w:hAnsi="Times New Roman" w:cs="Times New Roman"/>
          <w:color w:val="222222"/>
          <w:sz w:val="24"/>
          <w:szCs w:val="24"/>
        </w:rPr>
        <w:t>), and [Varenicline](https://www.drugbank.ca/drugs/DB01273).</w:t>
      </w:r>
    </w:p>
    <w:p w14:paraId="53E7DC85" w14:textId="3BC7F353" w:rsidR="00404BE6" w:rsidRDefault="00404BE6" w:rsidP="00D806DD">
      <w:pPr>
        <w:pStyle w:val="NormalWeb"/>
        <w:spacing w:before="0" w:beforeAutospacing="0" w:after="0" w:afterAutospacing="0"/>
        <w:rPr>
          <w:color w:val="000000"/>
          <w:shd w:val="clear" w:color="auto" w:fill="FFFFFF"/>
        </w:rPr>
      </w:pPr>
    </w:p>
    <w:p w14:paraId="4799F20E" w14:textId="48B9D9AB" w:rsidR="0083564D" w:rsidRDefault="00BA0AF0" w:rsidP="00BA0AF0">
      <w:pPr>
        <w:pStyle w:val="NormalWeb"/>
        <w:spacing w:before="0" w:beforeAutospacing="0" w:after="0" w:afterAutospacing="0"/>
        <w:rPr>
          <w:color w:val="000000"/>
          <w:shd w:val="clear" w:color="auto" w:fill="FFFFFF"/>
        </w:rPr>
      </w:pPr>
      <w:r>
        <w:rPr>
          <w:color w:val="000000"/>
          <w:shd w:val="clear" w:color="auto" w:fill="FFFFFF"/>
        </w:rPr>
        <w:t>[</w:t>
      </w:r>
      <w:r w:rsidR="0083564D">
        <w:rPr>
          <w:color w:val="000000"/>
          <w:shd w:val="clear" w:color="auto" w:fill="FFFFFF"/>
        </w:rPr>
        <w:t xml:space="preserve">Many factors may decrease your risk of lung </w:t>
      </w:r>
      <w:proofErr w:type="gramStart"/>
      <w:r w:rsidR="0083564D">
        <w:rPr>
          <w:color w:val="000000"/>
          <w:shd w:val="clear" w:color="auto" w:fill="FFFFFF"/>
        </w:rPr>
        <w:t>cancer</w:t>
      </w:r>
      <w:r>
        <w:rPr>
          <w:color w:val="000000"/>
          <w:shd w:val="clear" w:color="auto" w:fill="FFFFFF"/>
        </w:rPr>
        <w:t>](</w:t>
      </w:r>
      <w:proofErr w:type="gramEnd"/>
      <w:r w:rsidRPr="00BA0AF0">
        <w:rPr>
          <w:color w:val="000000"/>
          <w:shd w:val="clear" w:color="auto" w:fill="FFFFFF"/>
        </w:rPr>
        <w:t>https://www.cancer.gov/types/lung/patient/lung-prevention-pdq#section/all</w:t>
      </w:r>
      <w:r>
        <w:rPr>
          <w:color w:val="000000"/>
          <w:shd w:val="clear" w:color="auto" w:fill="FFFFFF"/>
        </w:rPr>
        <w:t>).</w:t>
      </w:r>
    </w:p>
    <w:p w14:paraId="4B256BB7" w14:textId="43A4E2AA" w:rsidR="0083564D"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 xml:space="preserve">*   </w:t>
      </w:r>
      <w:r w:rsidR="0083564D">
        <w:rPr>
          <w:color w:val="000000"/>
          <w:shd w:val="clear" w:color="auto" w:fill="FFFFFF"/>
        </w:rPr>
        <w:t>Avoid c</w:t>
      </w:r>
      <w:r w:rsidR="0083564D" w:rsidRPr="0083564D">
        <w:rPr>
          <w:color w:val="000000"/>
          <w:shd w:val="clear" w:color="auto" w:fill="FFFFFF"/>
        </w:rPr>
        <w:t>igarette, cigar, pipe smoking</w:t>
      </w:r>
      <w:r w:rsidR="0083564D">
        <w:rPr>
          <w:color w:val="000000"/>
          <w:shd w:val="clear" w:color="auto" w:fill="FFFFFF"/>
        </w:rPr>
        <w:t>, and s</w:t>
      </w:r>
      <w:r w:rsidR="0083564D" w:rsidRPr="0083564D">
        <w:rPr>
          <w:color w:val="000000"/>
          <w:shd w:val="clear" w:color="auto" w:fill="FFFFFF"/>
        </w:rPr>
        <w:t>econdhand smoke</w:t>
      </w:r>
      <w:r w:rsidR="0083564D">
        <w:rPr>
          <w:color w:val="000000"/>
          <w:shd w:val="clear" w:color="auto" w:fill="FFFFFF"/>
        </w:rPr>
        <w:t>.</w:t>
      </w:r>
    </w:p>
    <w:p w14:paraId="44B23678" w14:textId="695A2E08" w:rsidR="00BA0AF0" w:rsidRPr="0083564D"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 xml:space="preserve">*   </w:t>
      </w:r>
      <w:r>
        <w:rPr>
          <w:color w:val="000000"/>
          <w:shd w:val="clear" w:color="auto" w:fill="FFFFFF"/>
        </w:rPr>
        <w:t>Have less than one alcoholic drink per day.</w:t>
      </w:r>
    </w:p>
    <w:p w14:paraId="6708DD45" w14:textId="279873F8" w:rsidR="0083564D" w:rsidRPr="0083564D"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 xml:space="preserve">*   </w:t>
      </w:r>
      <w:r>
        <w:rPr>
          <w:color w:val="000000"/>
          <w:shd w:val="clear" w:color="auto" w:fill="FFFFFF"/>
        </w:rPr>
        <w:t>Practice safe sex, and avoid HIV</w:t>
      </w:r>
      <w:r w:rsidR="0083564D" w:rsidRPr="0083564D">
        <w:rPr>
          <w:color w:val="000000"/>
          <w:shd w:val="clear" w:color="auto" w:fill="FFFFFF"/>
        </w:rPr>
        <w:t xml:space="preserve"> infection</w:t>
      </w:r>
    </w:p>
    <w:p w14:paraId="107450EB" w14:textId="7F2C9AD9" w:rsidR="0083564D"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 xml:space="preserve">*   </w:t>
      </w:r>
      <w:r>
        <w:rPr>
          <w:color w:val="000000"/>
          <w:shd w:val="clear" w:color="auto" w:fill="FFFFFF"/>
        </w:rPr>
        <w:t>Avoid r</w:t>
      </w:r>
      <w:r w:rsidR="0083564D" w:rsidRPr="0083564D">
        <w:rPr>
          <w:color w:val="000000"/>
          <w:shd w:val="clear" w:color="auto" w:fill="FFFFFF"/>
        </w:rPr>
        <w:t>adiation exposure</w:t>
      </w:r>
      <w:r>
        <w:rPr>
          <w:color w:val="000000"/>
          <w:shd w:val="clear" w:color="auto" w:fill="FFFFFF"/>
        </w:rPr>
        <w:t>, including a</w:t>
      </w:r>
      <w:r w:rsidR="0083564D" w:rsidRPr="0083564D">
        <w:rPr>
          <w:color w:val="000000"/>
          <w:shd w:val="clear" w:color="auto" w:fill="FFFFFF"/>
        </w:rPr>
        <w:t>tomic bomb radiation, radiation therapy, imaging tests, and radon</w:t>
      </w:r>
      <w:r>
        <w:rPr>
          <w:color w:val="000000"/>
          <w:shd w:val="clear" w:color="auto" w:fill="FFFFFF"/>
        </w:rPr>
        <w:t>.</w:t>
      </w:r>
    </w:p>
    <w:p w14:paraId="6F041E16" w14:textId="4D598ABF" w:rsidR="0083564D"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t xml:space="preserve">*   </w:t>
      </w:r>
      <w:r>
        <w:rPr>
          <w:color w:val="000000"/>
          <w:shd w:val="clear" w:color="auto" w:fill="FFFFFF"/>
        </w:rPr>
        <w:t>Avoid environmental toxins such as a</w:t>
      </w:r>
      <w:r w:rsidR="0083564D" w:rsidRPr="0083564D">
        <w:rPr>
          <w:color w:val="000000"/>
          <w:shd w:val="clear" w:color="auto" w:fill="FFFFFF"/>
        </w:rPr>
        <w:t>sbestos</w:t>
      </w:r>
      <w:r>
        <w:rPr>
          <w:color w:val="000000"/>
          <w:shd w:val="clear" w:color="auto" w:fill="FFFFFF"/>
        </w:rPr>
        <w:t>, a</w:t>
      </w:r>
      <w:r w:rsidR="0083564D" w:rsidRPr="0083564D">
        <w:rPr>
          <w:color w:val="000000"/>
          <w:shd w:val="clear" w:color="auto" w:fill="FFFFFF"/>
        </w:rPr>
        <w:t>rsenic</w:t>
      </w:r>
      <w:r>
        <w:rPr>
          <w:color w:val="000000"/>
          <w:shd w:val="clear" w:color="auto" w:fill="FFFFFF"/>
        </w:rPr>
        <w:t>, c</w:t>
      </w:r>
      <w:r w:rsidR="0083564D" w:rsidRPr="0083564D">
        <w:rPr>
          <w:color w:val="000000"/>
          <w:shd w:val="clear" w:color="auto" w:fill="FFFFFF"/>
        </w:rPr>
        <w:t>hromium</w:t>
      </w:r>
      <w:r>
        <w:rPr>
          <w:color w:val="000000"/>
          <w:shd w:val="clear" w:color="auto" w:fill="FFFFFF"/>
        </w:rPr>
        <w:t>, n</w:t>
      </w:r>
      <w:r w:rsidR="0083564D" w:rsidRPr="0083564D">
        <w:rPr>
          <w:color w:val="000000"/>
          <w:shd w:val="clear" w:color="auto" w:fill="FFFFFF"/>
        </w:rPr>
        <w:t>ickel</w:t>
      </w:r>
      <w:r>
        <w:rPr>
          <w:color w:val="000000"/>
          <w:shd w:val="clear" w:color="auto" w:fill="FFFFFF"/>
        </w:rPr>
        <w:t>, b</w:t>
      </w:r>
      <w:r w:rsidR="0083564D" w:rsidRPr="0083564D">
        <w:rPr>
          <w:color w:val="000000"/>
          <w:shd w:val="clear" w:color="auto" w:fill="FFFFFF"/>
        </w:rPr>
        <w:t>eryllium</w:t>
      </w:r>
      <w:r>
        <w:rPr>
          <w:color w:val="000000"/>
          <w:shd w:val="clear" w:color="auto" w:fill="FFFFFF"/>
        </w:rPr>
        <w:t>, c</w:t>
      </w:r>
      <w:r w:rsidR="0083564D" w:rsidRPr="0083564D">
        <w:rPr>
          <w:color w:val="000000"/>
          <w:shd w:val="clear" w:color="auto" w:fill="FFFFFF"/>
        </w:rPr>
        <w:t>admium</w:t>
      </w:r>
      <w:r>
        <w:rPr>
          <w:color w:val="000000"/>
          <w:shd w:val="clear" w:color="auto" w:fill="FFFFFF"/>
        </w:rPr>
        <w:t>, t</w:t>
      </w:r>
      <w:r w:rsidR="0083564D" w:rsidRPr="0083564D">
        <w:rPr>
          <w:color w:val="000000"/>
          <w:shd w:val="clear" w:color="auto" w:fill="FFFFFF"/>
        </w:rPr>
        <w:t>ar</w:t>
      </w:r>
      <w:r>
        <w:rPr>
          <w:color w:val="000000"/>
          <w:shd w:val="clear" w:color="auto" w:fill="FFFFFF"/>
        </w:rPr>
        <w:t>,</w:t>
      </w:r>
      <w:r w:rsidR="0083564D" w:rsidRPr="0083564D">
        <w:rPr>
          <w:color w:val="000000"/>
          <w:shd w:val="clear" w:color="auto" w:fill="FFFFFF"/>
        </w:rPr>
        <w:t xml:space="preserve"> soot</w:t>
      </w:r>
      <w:r>
        <w:rPr>
          <w:color w:val="000000"/>
          <w:shd w:val="clear" w:color="auto" w:fill="FFFFFF"/>
        </w:rPr>
        <w:t>, and s</w:t>
      </w:r>
      <w:r w:rsidR="0083564D">
        <w:rPr>
          <w:color w:val="000000"/>
          <w:shd w:val="clear" w:color="auto" w:fill="FFFFFF"/>
        </w:rPr>
        <w:t>ir pollution</w:t>
      </w:r>
      <w:r>
        <w:rPr>
          <w:color w:val="000000"/>
          <w:shd w:val="clear" w:color="auto" w:fill="FFFFFF"/>
        </w:rPr>
        <w:t>.</w:t>
      </w:r>
    </w:p>
    <w:p w14:paraId="00CE789B" w14:textId="41402F05" w:rsidR="0083564D" w:rsidRDefault="00BA0AF0" w:rsidP="00BA0AF0">
      <w:pPr>
        <w:pStyle w:val="NormalWeb"/>
        <w:spacing w:before="0" w:beforeAutospacing="0" w:after="0" w:afterAutospacing="0"/>
        <w:rPr>
          <w:color w:val="000000"/>
          <w:shd w:val="clear" w:color="auto" w:fill="FFFFFF"/>
        </w:rPr>
      </w:pPr>
      <w:r w:rsidRPr="00D806DD">
        <w:rPr>
          <w:color w:val="000000"/>
          <w:shd w:val="clear" w:color="auto" w:fill="FFFFFF"/>
        </w:rPr>
        <w:lastRenderedPageBreak/>
        <w:t>*</w:t>
      </w:r>
      <w:proofErr w:type="gramStart"/>
      <w:r w:rsidRPr="00D806DD">
        <w:rPr>
          <w:color w:val="000000"/>
          <w:shd w:val="clear" w:color="auto" w:fill="FFFFFF"/>
        </w:rPr>
        <w:t xml:space="preserve">   </w:t>
      </w:r>
      <w:r w:rsidR="0083564D">
        <w:rPr>
          <w:color w:val="000000"/>
          <w:shd w:val="clear" w:color="auto" w:fill="FFFFFF"/>
        </w:rPr>
        <w:t>[</w:t>
      </w:r>
      <w:proofErr w:type="gramEnd"/>
      <w:r w:rsidR="0083564D" w:rsidRPr="0083564D">
        <w:rPr>
          <w:color w:val="000000"/>
          <w:shd w:val="clear" w:color="auto" w:fill="FFFFFF"/>
        </w:rPr>
        <w:t>Beta carotene supplements</w:t>
      </w:r>
      <w:r>
        <w:rPr>
          <w:color w:val="000000"/>
          <w:shd w:val="clear" w:color="auto" w:fill="FFFFFF"/>
        </w:rPr>
        <w:t>, made from</w:t>
      </w:r>
      <w:r w:rsidRPr="00BA0AF0">
        <w:rPr>
          <w:color w:val="000000"/>
          <w:shd w:val="clear" w:color="auto" w:fill="FFFFFF"/>
        </w:rPr>
        <w:t xml:space="preserve"> yellow and orange fruits and vegetables and dark green, leafy vegetables</w:t>
      </w:r>
      <w:r>
        <w:rPr>
          <w:color w:val="000000"/>
          <w:shd w:val="clear" w:color="auto" w:fill="FFFFFF"/>
        </w:rPr>
        <w:t>,</w:t>
      </w:r>
      <w:r w:rsidR="0083564D">
        <w:rPr>
          <w:color w:val="000000"/>
          <w:shd w:val="clear" w:color="auto" w:fill="FFFFFF"/>
        </w:rPr>
        <w:t>](</w:t>
      </w:r>
      <w:r w:rsidR="0083564D" w:rsidRPr="0083564D">
        <w:rPr>
          <w:color w:val="000000"/>
          <w:shd w:val="clear" w:color="auto" w:fill="FFFFFF"/>
        </w:rPr>
        <w:t>https://www.cancer.gov/types/lung/patient/lung-prevention-pdq#section/all</w:t>
      </w:r>
      <w:r w:rsidR="0083564D">
        <w:rPr>
          <w:color w:val="000000"/>
          <w:shd w:val="clear" w:color="auto" w:fill="FFFFFF"/>
        </w:rPr>
        <w:t>)</w:t>
      </w:r>
      <w:r w:rsidR="0083564D" w:rsidRPr="0083564D">
        <w:rPr>
          <w:color w:val="000000"/>
          <w:shd w:val="clear" w:color="auto" w:fill="FFFFFF"/>
        </w:rPr>
        <w:t xml:space="preserve"> </w:t>
      </w:r>
      <w:r>
        <w:rPr>
          <w:color w:val="000000"/>
          <w:shd w:val="clear" w:color="auto" w:fill="FFFFFF"/>
        </w:rPr>
        <w:t>may help reduce risk for</w:t>
      </w:r>
      <w:r w:rsidR="0083564D" w:rsidRPr="0083564D">
        <w:rPr>
          <w:color w:val="000000"/>
          <w:shd w:val="clear" w:color="auto" w:fill="FFFFFF"/>
        </w:rPr>
        <w:t xml:space="preserve"> heavy smokers</w:t>
      </w:r>
      <w:r>
        <w:rPr>
          <w:color w:val="000000"/>
          <w:shd w:val="clear" w:color="auto" w:fill="FFFFFF"/>
        </w:rPr>
        <w:t>.</w:t>
      </w:r>
      <w:bookmarkEnd w:id="1"/>
    </w:p>
    <w:sectPr w:rsidR="00835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A6A3F"/>
    <w:multiLevelType w:val="multilevel"/>
    <w:tmpl w:val="9A94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77F9C"/>
    <w:multiLevelType w:val="multilevel"/>
    <w:tmpl w:val="A00E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A8"/>
    <w:rsid w:val="00194693"/>
    <w:rsid w:val="00301C24"/>
    <w:rsid w:val="00363F86"/>
    <w:rsid w:val="00404BE6"/>
    <w:rsid w:val="004605A8"/>
    <w:rsid w:val="005237EA"/>
    <w:rsid w:val="00572A62"/>
    <w:rsid w:val="005A503F"/>
    <w:rsid w:val="00612DA8"/>
    <w:rsid w:val="007B2D18"/>
    <w:rsid w:val="0083564D"/>
    <w:rsid w:val="00851C2A"/>
    <w:rsid w:val="00B050A2"/>
    <w:rsid w:val="00B705D1"/>
    <w:rsid w:val="00BA0AF0"/>
    <w:rsid w:val="00CF1371"/>
    <w:rsid w:val="00D806DD"/>
    <w:rsid w:val="00F36764"/>
    <w:rsid w:val="00F95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F2CD7"/>
  <w15:chartTrackingRefBased/>
  <w15:docId w15:val="{4330102D-EBBA-4CA4-8F86-3E88D2C3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B2D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605A8"/>
    <w:rPr>
      <w:i/>
      <w:iCs/>
    </w:rPr>
  </w:style>
  <w:style w:type="character" w:styleId="Hyperlink">
    <w:name w:val="Hyperlink"/>
    <w:basedOn w:val="DefaultParagraphFont"/>
    <w:unhideWhenUsed/>
    <w:rsid w:val="004605A8"/>
    <w:rPr>
      <w:color w:val="0563C1" w:themeColor="hyperlink"/>
      <w:u w:val="single"/>
    </w:rPr>
  </w:style>
  <w:style w:type="character" w:styleId="UnresolvedMention">
    <w:name w:val="Unresolved Mention"/>
    <w:basedOn w:val="DefaultParagraphFont"/>
    <w:uiPriority w:val="99"/>
    <w:semiHidden/>
    <w:unhideWhenUsed/>
    <w:rsid w:val="004605A8"/>
    <w:rPr>
      <w:color w:val="808080"/>
      <w:shd w:val="clear" w:color="auto" w:fill="E6E6E6"/>
    </w:rPr>
  </w:style>
  <w:style w:type="character" w:customStyle="1" w:styleId="highlight">
    <w:name w:val="highlight"/>
    <w:basedOn w:val="DefaultParagraphFont"/>
    <w:rsid w:val="00572A62"/>
  </w:style>
  <w:style w:type="character" w:styleId="Strong">
    <w:name w:val="Strong"/>
    <w:basedOn w:val="DefaultParagraphFont"/>
    <w:uiPriority w:val="22"/>
    <w:qFormat/>
    <w:rsid w:val="00572A62"/>
    <w:rPr>
      <w:b/>
      <w:bCs/>
    </w:rPr>
  </w:style>
  <w:style w:type="paragraph" w:styleId="NormalWeb">
    <w:name w:val="Normal (Web)"/>
    <w:basedOn w:val="Normal"/>
    <w:uiPriority w:val="99"/>
    <w:unhideWhenUsed/>
    <w:rsid w:val="007B2D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B2D18"/>
    <w:rPr>
      <w:rFonts w:ascii="Times New Roman" w:eastAsia="Times New Roman" w:hAnsi="Times New Roman" w:cs="Times New Roman"/>
      <w:b/>
      <w:bCs/>
      <w:sz w:val="24"/>
      <w:szCs w:val="24"/>
    </w:rPr>
  </w:style>
  <w:style w:type="character" w:customStyle="1" w:styleId="context-help">
    <w:name w:val="context-help"/>
    <w:basedOn w:val="DefaultParagraphFont"/>
    <w:rsid w:val="007B2D18"/>
  </w:style>
  <w:style w:type="character" w:customStyle="1" w:styleId="attributionheader">
    <w:name w:val="attributionheader"/>
    <w:basedOn w:val="DefaultParagraphFont"/>
    <w:rsid w:val="007B2D18"/>
  </w:style>
  <w:style w:type="character" w:styleId="FollowedHyperlink">
    <w:name w:val="FollowedHyperlink"/>
    <w:basedOn w:val="DefaultParagraphFont"/>
    <w:uiPriority w:val="99"/>
    <w:semiHidden/>
    <w:unhideWhenUsed/>
    <w:rsid w:val="005237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167722">
      <w:bodyDiv w:val="1"/>
      <w:marLeft w:val="0"/>
      <w:marRight w:val="0"/>
      <w:marTop w:val="0"/>
      <w:marBottom w:val="0"/>
      <w:divBdr>
        <w:top w:val="none" w:sz="0" w:space="0" w:color="auto"/>
        <w:left w:val="none" w:sz="0" w:space="0" w:color="auto"/>
        <w:bottom w:val="none" w:sz="0" w:space="0" w:color="auto"/>
        <w:right w:val="none" w:sz="0" w:space="0" w:color="auto"/>
      </w:divBdr>
    </w:div>
    <w:div w:id="357392901">
      <w:bodyDiv w:val="1"/>
      <w:marLeft w:val="0"/>
      <w:marRight w:val="0"/>
      <w:marTop w:val="0"/>
      <w:marBottom w:val="0"/>
      <w:divBdr>
        <w:top w:val="none" w:sz="0" w:space="0" w:color="auto"/>
        <w:left w:val="none" w:sz="0" w:space="0" w:color="auto"/>
        <w:bottom w:val="none" w:sz="0" w:space="0" w:color="auto"/>
        <w:right w:val="none" w:sz="0" w:space="0" w:color="auto"/>
      </w:divBdr>
    </w:div>
    <w:div w:id="383140397">
      <w:bodyDiv w:val="1"/>
      <w:marLeft w:val="0"/>
      <w:marRight w:val="0"/>
      <w:marTop w:val="0"/>
      <w:marBottom w:val="0"/>
      <w:divBdr>
        <w:top w:val="none" w:sz="0" w:space="0" w:color="auto"/>
        <w:left w:val="none" w:sz="0" w:space="0" w:color="auto"/>
        <w:bottom w:val="none" w:sz="0" w:space="0" w:color="auto"/>
        <w:right w:val="none" w:sz="0" w:space="0" w:color="auto"/>
      </w:divBdr>
    </w:div>
    <w:div w:id="391392829">
      <w:bodyDiv w:val="1"/>
      <w:marLeft w:val="0"/>
      <w:marRight w:val="0"/>
      <w:marTop w:val="0"/>
      <w:marBottom w:val="0"/>
      <w:divBdr>
        <w:top w:val="none" w:sz="0" w:space="0" w:color="auto"/>
        <w:left w:val="none" w:sz="0" w:space="0" w:color="auto"/>
        <w:bottom w:val="none" w:sz="0" w:space="0" w:color="auto"/>
        <w:right w:val="none" w:sz="0" w:space="0" w:color="auto"/>
      </w:divBdr>
    </w:div>
    <w:div w:id="1201357829">
      <w:bodyDiv w:val="1"/>
      <w:marLeft w:val="0"/>
      <w:marRight w:val="0"/>
      <w:marTop w:val="0"/>
      <w:marBottom w:val="0"/>
      <w:divBdr>
        <w:top w:val="none" w:sz="0" w:space="0" w:color="auto"/>
        <w:left w:val="none" w:sz="0" w:space="0" w:color="auto"/>
        <w:bottom w:val="none" w:sz="0" w:space="0" w:color="auto"/>
        <w:right w:val="none" w:sz="0" w:space="0" w:color="auto"/>
      </w:divBdr>
    </w:div>
    <w:div w:id="1245069953">
      <w:bodyDiv w:val="1"/>
      <w:marLeft w:val="0"/>
      <w:marRight w:val="0"/>
      <w:marTop w:val="0"/>
      <w:marBottom w:val="0"/>
      <w:divBdr>
        <w:top w:val="none" w:sz="0" w:space="0" w:color="auto"/>
        <w:left w:val="none" w:sz="0" w:space="0" w:color="auto"/>
        <w:bottom w:val="none" w:sz="0" w:space="0" w:color="auto"/>
        <w:right w:val="none" w:sz="0" w:space="0" w:color="auto"/>
      </w:divBdr>
    </w:div>
    <w:div w:id="1314218897">
      <w:bodyDiv w:val="1"/>
      <w:marLeft w:val="0"/>
      <w:marRight w:val="0"/>
      <w:marTop w:val="0"/>
      <w:marBottom w:val="0"/>
      <w:divBdr>
        <w:top w:val="none" w:sz="0" w:space="0" w:color="auto"/>
        <w:left w:val="none" w:sz="0" w:space="0" w:color="auto"/>
        <w:bottom w:val="none" w:sz="0" w:space="0" w:color="auto"/>
        <w:right w:val="none" w:sz="0" w:space="0" w:color="auto"/>
      </w:divBdr>
    </w:div>
    <w:div w:id="1424953360">
      <w:bodyDiv w:val="1"/>
      <w:marLeft w:val="0"/>
      <w:marRight w:val="0"/>
      <w:marTop w:val="0"/>
      <w:marBottom w:val="0"/>
      <w:divBdr>
        <w:top w:val="none" w:sz="0" w:space="0" w:color="auto"/>
        <w:left w:val="none" w:sz="0" w:space="0" w:color="auto"/>
        <w:bottom w:val="none" w:sz="0" w:space="0" w:color="auto"/>
        <w:right w:val="none" w:sz="0" w:space="0" w:color="auto"/>
      </w:divBdr>
    </w:div>
    <w:div w:id="1464272241">
      <w:bodyDiv w:val="1"/>
      <w:marLeft w:val="0"/>
      <w:marRight w:val="0"/>
      <w:marTop w:val="0"/>
      <w:marBottom w:val="0"/>
      <w:divBdr>
        <w:top w:val="none" w:sz="0" w:space="0" w:color="auto"/>
        <w:left w:val="none" w:sz="0" w:space="0" w:color="auto"/>
        <w:bottom w:val="none" w:sz="0" w:space="0" w:color="auto"/>
        <w:right w:val="none" w:sz="0" w:space="0" w:color="auto"/>
      </w:divBdr>
    </w:div>
    <w:div w:id="1506094356">
      <w:bodyDiv w:val="1"/>
      <w:marLeft w:val="0"/>
      <w:marRight w:val="0"/>
      <w:marTop w:val="0"/>
      <w:marBottom w:val="0"/>
      <w:divBdr>
        <w:top w:val="none" w:sz="0" w:space="0" w:color="auto"/>
        <w:left w:val="none" w:sz="0" w:space="0" w:color="auto"/>
        <w:bottom w:val="none" w:sz="0" w:space="0" w:color="auto"/>
        <w:right w:val="none" w:sz="0" w:space="0" w:color="auto"/>
      </w:divBdr>
    </w:div>
    <w:div w:id="1596208299">
      <w:bodyDiv w:val="1"/>
      <w:marLeft w:val="0"/>
      <w:marRight w:val="0"/>
      <w:marTop w:val="0"/>
      <w:marBottom w:val="0"/>
      <w:divBdr>
        <w:top w:val="none" w:sz="0" w:space="0" w:color="auto"/>
        <w:left w:val="none" w:sz="0" w:space="0" w:color="auto"/>
        <w:bottom w:val="none" w:sz="0" w:space="0" w:color="auto"/>
        <w:right w:val="none" w:sz="0" w:space="0" w:color="auto"/>
      </w:divBdr>
    </w:div>
    <w:div w:id="1604455912">
      <w:bodyDiv w:val="1"/>
      <w:marLeft w:val="0"/>
      <w:marRight w:val="0"/>
      <w:marTop w:val="0"/>
      <w:marBottom w:val="0"/>
      <w:divBdr>
        <w:top w:val="none" w:sz="0" w:space="0" w:color="auto"/>
        <w:left w:val="none" w:sz="0" w:space="0" w:color="auto"/>
        <w:bottom w:val="none" w:sz="0" w:space="0" w:color="auto"/>
        <w:right w:val="none" w:sz="0" w:space="0" w:color="auto"/>
      </w:divBdr>
    </w:div>
    <w:div w:id="1702321052">
      <w:bodyDiv w:val="1"/>
      <w:marLeft w:val="0"/>
      <w:marRight w:val="0"/>
      <w:marTop w:val="0"/>
      <w:marBottom w:val="0"/>
      <w:divBdr>
        <w:top w:val="none" w:sz="0" w:space="0" w:color="auto"/>
        <w:left w:val="none" w:sz="0" w:space="0" w:color="auto"/>
        <w:bottom w:val="none" w:sz="0" w:space="0" w:color="auto"/>
        <w:right w:val="none" w:sz="0" w:space="0" w:color="auto"/>
      </w:divBdr>
    </w:div>
    <w:div w:id="1816144566">
      <w:bodyDiv w:val="1"/>
      <w:marLeft w:val="0"/>
      <w:marRight w:val="0"/>
      <w:marTop w:val="0"/>
      <w:marBottom w:val="0"/>
      <w:divBdr>
        <w:top w:val="none" w:sz="0" w:space="0" w:color="auto"/>
        <w:left w:val="none" w:sz="0" w:space="0" w:color="auto"/>
        <w:bottom w:val="none" w:sz="0" w:space="0" w:color="auto"/>
        <w:right w:val="none" w:sz="0" w:space="0" w:color="auto"/>
      </w:divBdr>
    </w:div>
    <w:div w:id="210600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ncbi.nlm.nih.gov/pubmed/20485328" TargetMode="External"/><Relationship Id="rId117" Type="http://schemas.openxmlformats.org/officeDocument/2006/relationships/hyperlink" Target="https://www.ncbi.nlm.nih.gov/pubmed/27613883" TargetMode="External"/><Relationship Id="rId21" Type="http://schemas.openxmlformats.org/officeDocument/2006/relationships/hyperlink" Target="https://www.ncbi.nlm.nih.gov/pmc/articles/PMC3477105/" TargetMode="External"/><Relationship Id="rId42" Type="http://schemas.openxmlformats.org/officeDocument/2006/relationships/hyperlink" Target="https://www.ebi.ac.uk/QuickGO/term/GO:0014056" TargetMode="External"/><Relationship Id="rId47" Type="http://schemas.openxmlformats.org/officeDocument/2006/relationships/hyperlink" Target="https://www.ebi.ac.uk/QuickGO/term/GO:0007165" TargetMode="External"/><Relationship Id="rId63" Type="http://schemas.openxmlformats.org/officeDocument/2006/relationships/hyperlink" Target="https://www.drugbank.ca/drugs/DB01227" TargetMode="External"/><Relationship Id="rId68" Type="http://schemas.openxmlformats.org/officeDocument/2006/relationships/hyperlink" Target="https://www.ncbi.nlm.nih.gov/pubmed/23870182" TargetMode="External"/><Relationship Id="rId84" Type="http://schemas.openxmlformats.org/officeDocument/2006/relationships/hyperlink" Target="https://www.drugbank.ca/drugs/DB01156" TargetMode="External"/><Relationship Id="rId89" Type="http://schemas.openxmlformats.org/officeDocument/2006/relationships/hyperlink" Target="https://www.drugbank.ca/drugs/DB00848" TargetMode="External"/><Relationship Id="rId112" Type="http://schemas.openxmlformats.org/officeDocument/2006/relationships/hyperlink" Target="https://www.drugbank.ca/drugs/DB00184" TargetMode="External"/><Relationship Id="rId133" Type="http://schemas.openxmlformats.org/officeDocument/2006/relationships/hyperlink" Target="https://www.ncbi.nlm.nih.gov/pubmed/24867305" TargetMode="External"/><Relationship Id="rId138" Type="http://schemas.openxmlformats.org/officeDocument/2006/relationships/hyperlink" Target="https://www.drugbank.ca/drugs/DB00514" TargetMode="External"/><Relationship Id="rId154" Type="http://schemas.openxmlformats.org/officeDocument/2006/relationships/hyperlink" Target="https://www.ncbi.nlm.nih.gov/pubmed/27613883" TargetMode="External"/><Relationship Id="rId159" Type="http://schemas.openxmlformats.org/officeDocument/2006/relationships/hyperlink" Target="https://www.drugbank.ca/drugs/DB00514" TargetMode="External"/><Relationship Id="rId16" Type="http://schemas.openxmlformats.org/officeDocument/2006/relationships/hyperlink" Target="https://www.ncbi.nlm.nih.gov/pubmed/20418890" TargetMode="External"/><Relationship Id="rId107" Type="http://schemas.openxmlformats.org/officeDocument/2006/relationships/hyperlink" Target="https://www.drugbank.ca/drugs/DB00514" TargetMode="External"/><Relationship Id="rId11" Type="http://schemas.openxmlformats.org/officeDocument/2006/relationships/hyperlink" Target="https://www.ncbi.nlm.nih.gov/pmc/articles/PMC2754318/" TargetMode="External"/><Relationship Id="rId32" Type="http://schemas.openxmlformats.org/officeDocument/2006/relationships/hyperlink" Target="https://www.ebi.ac.uk/QuickGO/term/GO:0015276" TargetMode="External"/><Relationship Id="rId37" Type="http://schemas.openxmlformats.org/officeDocument/2006/relationships/hyperlink" Target="https://www.ebi.ac.uk/QuickGO/term/GO:0035095" TargetMode="External"/><Relationship Id="rId53" Type="http://schemas.openxmlformats.org/officeDocument/2006/relationships/hyperlink" Target="http://www.uniprot.org/keywords/KW-0675" TargetMode="External"/><Relationship Id="rId58" Type="http://schemas.openxmlformats.org/officeDocument/2006/relationships/hyperlink" Target="https://www.drugbank.ca/drugs/DB09028" TargetMode="External"/><Relationship Id="rId74" Type="http://schemas.openxmlformats.org/officeDocument/2006/relationships/hyperlink" Target="https://www.ncbi.nlm.nih.gov/pubmed/24621683" TargetMode="External"/><Relationship Id="rId79" Type="http://schemas.openxmlformats.org/officeDocument/2006/relationships/hyperlink" Target="https://www.ncbi.nlm.nih.gov/pubmed/20418890" TargetMode="External"/><Relationship Id="rId102" Type="http://schemas.openxmlformats.org/officeDocument/2006/relationships/hyperlink" Target="https://www.ncbi.nlm.nih.gov/pubmed/27099524" TargetMode="External"/><Relationship Id="rId123" Type="http://schemas.openxmlformats.org/officeDocument/2006/relationships/hyperlink" Target="https://www.ncbi.nlm.nih.gov/pubmed/25777141" TargetMode="External"/><Relationship Id="rId128" Type="http://schemas.openxmlformats.org/officeDocument/2006/relationships/hyperlink" Target="https://www.ncbi.nlm.nih.gov/pubmed/25632390" TargetMode="External"/><Relationship Id="rId144" Type="http://schemas.openxmlformats.org/officeDocument/2006/relationships/hyperlink" Target="https://www.drugbank.ca/drugs/DB01090" TargetMode="External"/><Relationship Id="rId149" Type="http://schemas.openxmlformats.org/officeDocument/2006/relationships/hyperlink" Target="https://www.ncbi.nlm.nih.gov/pubmed/25632390" TargetMode="External"/><Relationship Id="rId5" Type="http://schemas.openxmlformats.org/officeDocument/2006/relationships/hyperlink" Target="https://www.ncbi.nlm.nih.gov/pubmed/21436384" TargetMode="External"/><Relationship Id="rId90" Type="http://schemas.openxmlformats.org/officeDocument/2006/relationships/hyperlink" Target="https://www.drugbank.ca/drugs/DB01227" TargetMode="External"/><Relationship Id="rId95" Type="http://schemas.openxmlformats.org/officeDocument/2006/relationships/hyperlink" Target="https://www.ncbi.nlm.nih.gov/pubmed/24621683" TargetMode="External"/><Relationship Id="rId160" Type="http://schemas.openxmlformats.org/officeDocument/2006/relationships/hyperlink" Target="https://www.drugbank.ca/drugs/DB00898" TargetMode="External"/><Relationship Id="rId165" Type="http://schemas.openxmlformats.org/officeDocument/2006/relationships/hyperlink" Target="https://www.drugbank.ca/drugs/DB01090" TargetMode="External"/><Relationship Id="rId22" Type="http://schemas.openxmlformats.org/officeDocument/2006/relationships/hyperlink" Target="https://www.ncbi.nlm.nih.gov/pmc/articles/PMC3477105/" TargetMode="External"/><Relationship Id="rId27" Type="http://schemas.openxmlformats.org/officeDocument/2006/relationships/hyperlink" Target="https://www.ncbi.nlm.nih.gov/pubmed/27099524" TargetMode="External"/><Relationship Id="rId43" Type="http://schemas.openxmlformats.org/officeDocument/2006/relationships/hyperlink" Target="https://www.ebi.ac.uk/QuickGO/term/GO:0048814" TargetMode="External"/><Relationship Id="rId48" Type="http://schemas.openxmlformats.org/officeDocument/2006/relationships/hyperlink" Target="https://www.ebi.ac.uk/QuickGO/term/GO:0007271" TargetMode="External"/><Relationship Id="rId64" Type="http://schemas.openxmlformats.org/officeDocument/2006/relationships/hyperlink" Target="https://www.drugbank.ca/drugs/DB00184" TargetMode="External"/><Relationship Id="rId69" Type="http://schemas.openxmlformats.org/officeDocument/2006/relationships/hyperlink" Target="https://www.ncbi.nlm.nih.gov/pubmed/19836008" TargetMode="External"/><Relationship Id="rId113" Type="http://schemas.openxmlformats.org/officeDocument/2006/relationships/hyperlink" Target="https://www.drugbank.ca/drugs/DB01090" TargetMode="External"/><Relationship Id="rId118" Type="http://schemas.openxmlformats.org/officeDocument/2006/relationships/hyperlink" Target="https://www.ncbi.nlm.nih.gov/pubmed/27127891" TargetMode="External"/><Relationship Id="rId134" Type="http://schemas.openxmlformats.org/officeDocument/2006/relationships/hyperlink" Target="Medications" TargetMode="External"/><Relationship Id="rId139" Type="http://schemas.openxmlformats.org/officeDocument/2006/relationships/hyperlink" Target="https://www.drugbank.ca/drugs/DB00898" TargetMode="External"/><Relationship Id="rId80" Type="http://schemas.openxmlformats.org/officeDocument/2006/relationships/hyperlink" Target="https://www.ncbi.nlm.nih.gov/pubmed/22290489" TargetMode="External"/><Relationship Id="rId85" Type="http://schemas.openxmlformats.org/officeDocument/2006/relationships/hyperlink" Target="https://www.drugbank.ca/drugs/DB09028" TargetMode="External"/><Relationship Id="rId150" Type="http://schemas.openxmlformats.org/officeDocument/2006/relationships/hyperlink" Target="https://www.ncbi.nlm.nih.gov/pubmed/25891233" TargetMode="External"/><Relationship Id="rId155" Type="http://schemas.openxmlformats.org/officeDocument/2006/relationships/hyperlink" Target="Medications" TargetMode="External"/><Relationship Id="rId12" Type="http://schemas.openxmlformats.org/officeDocument/2006/relationships/hyperlink" Target="https://www.ncbi.nlm.nih.gov/pubmed/24621683" TargetMode="External"/><Relationship Id="rId17" Type="http://schemas.openxmlformats.org/officeDocument/2006/relationships/hyperlink" Target="https://www.ncbi.nlm.nih.gov/pubmed/26270548" TargetMode="External"/><Relationship Id="rId33" Type="http://schemas.openxmlformats.org/officeDocument/2006/relationships/hyperlink" Target="https://www.ebi.ac.uk/QuickGO/term/GO:0022850" TargetMode="External"/><Relationship Id="rId38" Type="http://schemas.openxmlformats.org/officeDocument/2006/relationships/hyperlink" Target="https://www.ebi.ac.uk/QuickGO/term/GO:0060079" TargetMode="External"/><Relationship Id="rId59" Type="http://schemas.openxmlformats.org/officeDocument/2006/relationships/hyperlink" Target="https://www.drugbank.ca/drugs/DB00514" TargetMode="External"/><Relationship Id="rId103" Type="http://schemas.openxmlformats.org/officeDocument/2006/relationships/hyperlink" Target="Medications" TargetMode="External"/><Relationship Id="rId108" Type="http://schemas.openxmlformats.org/officeDocument/2006/relationships/hyperlink" Target="https://www.drugbank.ca/drugs/DB00898" TargetMode="External"/><Relationship Id="rId124" Type="http://schemas.openxmlformats.org/officeDocument/2006/relationships/hyperlink" Target="https://www.ncbi.nlm.nih.gov/pubmed/25632390" TargetMode="External"/><Relationship Id="rId129" Type="http://schemas.openxmlformats.org/officeDocument/2006/relationships/hyperlink" Target="https://www.ncbi.nlm.nih.gov/pubmed/25632390" TargetMode="External"/><Relationship Id="rId54" Type="http://schemas.openxmlformats.org/officeDocument/2006/relationships/hyperlink" Target="http://www.uniprot.org/keywords/KW-0406" TargetMode="External"/><Relationship Id="rId70" Type="http://schemas.openxmlformats.org/officeDocument/2006/relationships/hyperlink" Target="https://www.ncbi.nlm.nih.gov/pubmed/20485328" TargetMode="External"/><Relationship Id="rId75" Type="http://schemas.openxmlformats.org/officeDocument/2006/relationships/hyperlink" Target="https://www.ncbi.nlm.nih.gov/pubmed/24621683" TargetMode="External"/><Relationship Id="rId91" Type="http://schemas.openxmlformats.org/officeDocument/2006/relationships/hyperlink" Target="https://www.drugbank.ca/drugs/DB00184" TargetMode="External"/><Relationship Id="rId96" Type="http://schemas.openxmlformats.org/officeDocument/2006/relationships/hyperlink" Target="https://www.ncbi.nlm.nih.gov/pubmed/24621683" TargetMode="External"/><Relationship Id="rId140" Type="http://schemas.openxmlformats.org/officeDocument/2006/relationships/hyperlink" Target="https://www.drugbank.ca/drugs/DB00674" TargetMode="External"/><Relationship Id="rId145" Type="http://schemas.openxmlformats.org/officeDocument/2006/relationships/hyperlink" Target="https://www.drugbank.ca/drugs/DB01273" TargetMode="External"/><Relationship Id="rId161" Type="http://schemas.openxmlformats.org/officeDocument/2006/relationships/hyperlink" Target="https://www.drugbank.ca/drugs/DB00674"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bi.nlm.nih.gov/pubmed/25233467" TargetMode="External"/><Relationship Id="rId15" Type="http://schemas.openxmlformats.org/officeDocument/2006/relationships/hyperlink" Target="https://www.ncbi.nlm.nih.gov/pmc/articles/PMC3864572/" TargetMode="External"/><Relationship Id="rId23" Type="http://schemas.openxmlformats.org/officeDocument/2006/relationships/hyperlink" Target="https://www.ncbi.nlm.nih.gov/pubmed/23870182" TargetMode="External"/><Relationship Id="rId28" Type="http://schemas.openxmlformats.org/officeDocument/2006/relationships/hyperlink" Target="http://www.uniprot.org/uniprot/P32297" TargetMode="External"/><Relationship Id="rId36" Type="http://schemas.openxmlformats.org/officeDocument/2006/relationships/hyperlink" Target="https://www.ebi.ac.uk/QuickGO/term/GO:0007171" TargetMode="External"/><Relationship Id="rId49" Type="http://schemas.openxmlformats.org/officeDocument/2006/relationships/hyperlink" Target="https://www.ebi.ac.uk/QuickGO/term/GO:0060084" TargetMode="External"/><Relationship Id="rId57" Type="http://schemas.openxmlformats.org/officeDocument/2006/relationships/hyperlink" Target="https://www.drugbank.ca/drugs/DB01156" TargetMode="External"/><Relationship Id="rId106" Type="http://schemas.openxmlformats.org/officeDocument/2006/relationships/hyperlink" Target="https://www.drugbank.ca/drugs/DB09028" TargetMode="External"/><Relationship Id="rId114" Type="http://schemas.openxmlformats.org/officeDocument/2006/relationships/hyperlink" Target="https://www.ncbi.nlm.nih.gov/pubmed/28474623" TargetMode="External"/><Relationship Id="rId119" Type="http://schemas.openxmlformats.org/officeDocument/2006/relationships/hyperlink" Target="https://www.ncbi.nlm.nih.gov/pubmed/27072204" TargetMode="External"/><Relationship Id="rId127" Type="http://schemas.openxmlformats.org/officeDocument/2006/relationships/hyperlink" Target="https://www.ncbi.nlm.nih.gov/pubmed/27663783" TargetMode="External"/><Relationship Id="rId10" Type="http://schemas.openxmlformats.org/officeDocument/2006/relationships/hyperlink" Target="https://www.ncbi.nlm.nih.gov/pmc/articles/PMC2754318/" TargetMode="External"/><Relationship Id="rId31" Type="http://schemas.openxmlformats.org/officeDocument/2006/relationships/hyperlink" Target="https://www.ebi.ac.uk/QuickGO/term/GO:0015464" TargetMode="External"/><Relationship Id="rId44" Type="http://schemas.openxmlformats.org/officeDocument/2006/relationships/hyperlink" Target="https://www.ebi.ac.uk/QuickGO/term/GO:0042391" TargetMode="External"/><Relationship Id="rId52" Type="http://schemas.openxmlformats.org/officeDocument/2006/relationships/hyperlink" Target="http://www.uniprot.org/keywords/KW-1071" TargetMode="External"/><Relationship Id="rId60" Type="http://schemas.openxmlformats.org/officeDocument/2006/relationships/hyperlink" Target="https://www.drugbank.ca/drugs/DB00898" TargetMode="External"/><Relationship Id="rId65" Type="http://schemas.openxmlformats.org/officeDocument/2006/relationships/hyperlink" Target="https://www.drugbank.ca/drugs/DB01090" TargetMode="External"/><Relationship Id="rId73" Type="http://schemas.openxmlformats.org/officeDocument/2006/relationships/hyperlink" Target="https://www.ncbi.nlm.nih.gov/pubmed/28827732" TargetMode="External"/><Relationship Id="rId78" Type="http://schemas.openxmlformats.org/officeDocument/2006/relationships/hyperlink" Target="https://www.ncbi.nlm.nih.gov/pubmed/23870182" TargetMode="External"/><Relationship Id="rId81" Type="http://schemas.openxmlformats.org/officeDocument/2006/relationships/hyperlink" Target="https://www.ncbi.nlm.nih.gov/pubmed/21436384" TargetMode="External"/><Relationship Id="rId86" Type="http://schemas.openxmlformats.org/officeDocument/2006/relationships/hyperlink" Target="https://www.drugbank.ca/drugs/DB00514" TargetMode="External"/><Relationship Id="rId94" Type="http://schemas.openxmlformats.org/officeDocument/2006/relationships/hyperlink" Target="https://www.ncbi.nlm.nih.gov/pubmed/21559498" TargetMode="External"/><Relationship Id="rId99" Type="http://schemas.openxmlformats.org/officeDocument/2006/relationships/hyperlink" Target="https://www.ncbi.nlm.nih.gov/pubmed/23870182" TargetMode="External"/><Relationship Id="rId101" Type="http://schemas.openxmlformats.org/officeDocument/2006/relationships/hyperlink" Target="https://www.ncbi.nlm.nih.gov/pubmed/22290489" TargetMode="External"/><Relationship Id="rId122" Type="http://schemas.openxmlformats.org/officeDocument/2006/relationships/hyperlink" Target="https://www.ncbi.nlm.nih.gov/pubmed/25891233" TargetMode="External"/><Relationship Id="rId130" Type="http://schemas.openxmlformats.org/officeDocument/2006/relationships/hyperlink" Target="https://www.ncbi.nlm.nih.gov/pubmed/25891233" TargetMode="External"/><Relationship Id="rId135" Type="http://schemas.openxmlformats.org/officeDocument/2006/relationships/hyperlink" Target="http://www.uniprot.org/uniprot/P32297" TargetMode="External"/><Relationship Id="rId143" Type="http://schemas.openxmlformats.org/officeDocument/2006/relationships/hyperlink" Target="https://www.drugbank.ca/drugs/DB00184" TargetMode="External"/><Relationship Id="rId148" Type="http://schemas.openxmlformats.org/officeDocument/2006/relationships/hyperlink" Target="https://www.ncbi.nlm.nih.gov/pubmed/25632390" TargetMode="External"/><Relationship Id="rId151" Type="http://schemas.openxmlformats.org/officeDocument/2006/relationships/hyperlink" Target="https://www.ncbi.nlm.nih.gov/pubmed/25891233" TargetMode="External"/><Relationship Id="rId156" Type="http://schemas.openxmlformats.org/officeDocument/2006/relationships/hyperlink" Target="http://www.uniprot.org/uniprot/P32297" TargetMode="External"/><Relationship Id="rId164" Type="http://schemas.openxmlformats.org/officeDocument/2006/relationships/hyperlink" Target="https://www.drugbank.ca/drugs/DB00184" TargetMode="External"/><Relationship Id="rId4" Type="http://schemas.openxmlformats.org/officeDocument/2006/relationships/webSettings" Target="webSettings.xml"/><Relationship Id="rId9" Type="http://schemas.openxmlformats.org/officeDocument/2006/relationships/hyperlink" Target="https://www.ncbi.nlm.nih.gov/pmc/articles/PMC2754318/" TargetMode="External"/><Relationship Id="rId13" Type="http://schemas.openxmlformats.org/officeDocument/2006/relationships/hyperlink" Target="https://www.ncbi.nlm.nih.gov/pubmed/22290489" TargetMode="External"/><Relationship Id="rId18" Type="http://schemas.openxmlformats.org/officeDocument/2006/relationships/hyperlink" Target="https://www.ncbi.nlm.nih.gov/pubmed/28827732" TargetMode="External"/><Relationship Id="rId39" Type="http://schemas.openxmlformats.org/officeDocument/2006/relationships/hyperlink" Target="https://www.ebi.ac.uk/QuickGO/term/GO:0006811" TargetMode="External"/><Relationship Id="rId109" Type="http://schemas.openxmlformats.org/officeDocument/2006/relationships/hyperlink" Target="https://www.drugbank.ca/drugs/DB00674" TargetMode="External"/><Relationship Id="rId34" Type="http://schemas.openxmlformats.org/officeDocument/2006/relationships/hyperlink" Target="http://www.ebi.ac.uk/QuickGO/annotations?geneProductId=P32297" TargetMode="External"/><Relationship Id="rId50" Type="http://schemas.openxmlformats.org/officeDocument/2006/relationships/hyperlink" Target="http://www.ebi.ac.uk/QuickGO/annotations?geneProductId=P32297" TargetMode="External"/><Relationship Id="rId55" Type="http://schemas.openxmlformats.org/officeDocument/2006/relationships/hyperlink" Target="http://www.uniprot.org/keywords/KW-0813" TargetMode="External"/><Relationship Id="rId76" Type="http://schemas.openxmlformats.org/officeDocument/2006/relationships/hyperlink" Target="https://www.ncbi.nlm.nih.gov/pubmed/29030599" TargetMode="External"/><Relationship Id="rId97" Type="http://schemas.openxmlformats.org/officeDocument/2006/relationships/hyperlink" Target="https://www.ncbi.nlm.nih.gov/pubmed/29030599" TargetMode="External"/><Relationship Id="rId104" Type="http://schemas.openxmlformats.org/officeDocument/2006/relationships/hyperlink" Target="http://www.uniprot.org/uniprot/P32297" TargetMode="External"/><Relationship Id="rId120" Type="http://schemas.openxmlformats.org/officeDocument/2006/relationships/hyperlink" Target="https://www.ncbi.nlm.nih.gov/pubmed/26508385" TargetMode="External"/><Relationship Id="rId125" Type="http://schemas.openxmlformats.org/officeDocument/2006/relationships/hyperlink" Target="https://www.ncbi.nlm.nih.gov/pubmed/27072204" TargetMode="External"/><Relationship Id="rId141" Type="http://schemas.openxmlformats.org/officeDocument/2006/relationships/hyperlink" Target="https://www.drugbank.ca/drugs/DB00848" TargetMode="External"/><Relationship Id="rId146" Type="http://schemas.openxmlformats.org/officeDocument/2006/relationships/hyperlink" Target="https://www.ncbi.nlm.nih.gov/pubmed/25233467" TargetMode="External"/><Relationship Id="rId167" Type="http://schemas.openxmlformats.org/officeDocument/2006/relationships/theme" Target="theme/theme1.xml"/><Relationship Id="rId7" Type="http://schemas.openxmlformats.org/officeDocument/2006/relationships/hyperlink" Target="https://www.ncbi.nlm.nih.gov/pubmed/19654303" TargetMode="External"/><Relationship Id="rId71" Type="http://schemas.openxmlformats.org/officeDocument/2006/relationships/hyperlink" Target="https://www.ncbi.nlm.nih.gov/pubmed/27099524" TargetMode="External"/><Relationship Id="rId92" Type="http://schemas.openxmlformats.org/officeDocument/2006/relationships/hyperlink" Target="https://www.drugbank.ca/drugs/DB01090" TargetMode="External"/><Relationship Id="rId162" Type="http://schemas.openxmlformats.org/officeDocument/2006/relationships/hyperlink" Target="https://www.drugbank.ca/drugs/DB00848" TargetMode="External"/><Relationship Id="rId2" Type="http://schemas.openxmlformats.org/officeDocument/2006/relationships/styles" Target="styles.xml"/><Relationship Id="rId29" Type="http://schemas.openxmlformats.org/officeDocument/2006/relationships/hyperlink" Target="https://www.ebi.ac.uk/QuickGO/term/GO:0042166" TargetMode="External"/><Relationship Id="rId24" Type="http://schemas.openxmlformats.org/officeDocument/2006/relationships/hyperlink" Target="https://www.ncbi.nlm.nih.gov/pubmed/19836008" TargetMode="External"/><Relationship Id="rId40" Type="http://schemas.openxmlformats.org/officeDocument/2006/relationships/hyperlink" Target="https://www.ebi.ac.uk/QuickGO/term/GO:0007626" TargetMode="External"/><Relationship Id="rId45" Type="http://schemas.openxmlformats.org/officeDocument/2006/relationships/hyperlink" Target="https://www.ebi.ac.uk/QuickGO/term/GO:0006940" TargetMode="External"/><Relationship Id="rId66" Type="http://schemas.openxmlformats.org/officeDocument/2006/relationships/hyperlink" Target="https://www.drugbank.ca/drugs/DB01273" TargetMode="External"/><Relationship Id="rId87" Type="http://schemas.openxmlformats.org/officeDocument/2006/relationships/hyperlink" Target="https://www.drugbank.ca/drugs/DB00898" TargetMode="External"/><Relationship Id="rId110" Type="http://schemas.openxmlformats.org/officeDocument/2006/relationships/hyperlink" Target="https://www.drugbank.ca/drugs/DB00848" TargetMode="External"/><Relationship Id="rId115" Type="http://schemas.openxmlformats.org/officeDocument/2006/relationships/hyperlink" Target="https://www.ncbi.nlm.nih.gov/pubmed/28049019" TargetMode="External"/><Relationship Id="rId131" Type="http://schemas.openxmlformats.org/officeDocument/2006/relationships/hyperlink" Target="https://www.ncbi.nlm.nih.gov/pubmed/25891233" TargetMode="External"/><Relationship Id="rId136" Type="http://schemas.openxmlformats.org/officeDocument/2006/relationships/hyperlink" Target="https://www.drugbank.ca/drugs/DB01156" TargetMode="External"/><Relationship Id="rId157" Type="http://schemas.openxmlformats.org/officeDocument/2006/relationships/hyperlink" Target="https://www.drugbank.ca/drugs/DB01156" TargetMode="External"/><Relationship Id="rId61" Type="http://schemas.openxmlformats.org/officeDocument/2006/relationships/hyperlink" Target="https://www.drugbank.ca/drugs/DB00674" TargetMode="External"/><Relationship Id="rId82" Type="http://schemas.openxmlformats.org/officeDocument/2006/relationships/hyperlink" Target="Medications" TargetMode="External"/><Relationship Id="rId152" Type="http://schemas.openxmlformats.org/officeDocument/2006/relationships/hyperlink" Target="https://www.ncbi.nlm.nih.gov/pubmed/25777141" TargetMode="External"/><Relationship Id="rId19" Type="http://schemas.openxmlformats.org/officeDocument/2006/relationships/hyperlink" Target="https://www.ncbi.nlm.nih.gov/pubmed/29030599" TargetMode="External"/><Relationship Id="rId14" Type="http://schemas.openxmlformats.org/officeDocument/2006/relationships/hyperlink" Target="https://www.ncbi.nlm.nih.gov/pmc/articles/PMC3864572/" TargetMode="External"/><Relationship Id="rId30" Type="http://schemas.openxmlformats.org/officeDocument/2006/relationships/hyperlink" Target="https://www.ebi.ac.uk/QuickGO/term/GO:0022848" TargetMode="External"/><Relationship Id="rId35" Type="http://schemas.openxmlformats.org/officeDocument/2006/relationships/hyperlink" Target="https://www.ebi.ac.uk/QuickGO/term/GO:0095500" TargetMode="External"/><Relationship Id="rId56" Type="http://schemas.openxmlformats.org/officeDocument/2006/relationships/hyperlink" Target="http://www.guidetopharmacology.org/GRAC/FamilyDisplayForward?familyId=76" TargetMode="External"/><Relationship Id="rId77" Type="http://schemas.openxmlformats.org/officeDocument/2006/relationships/hyperlink" Target="https://www.ncbi.nlm.nih.gov/pubmed/21559498" TargetMode="External"/><Relationship Id="rId100" Type="http://schemas.openxmlformats.org/officeDocument/2006/relationships/hyperlink" Target="https://www.ncbi.nlm.nih.gov/pubmed/20418890" TargetMode="External"/><Relationship Id="rId105" Type="http://schemas.openxmlformats.org/officeDocument/2006/relationships/hyperlink" Target="https://www.drugbank.ca/drugs/DB01156" TargetMode="External"/><Relationship Id="rId126" Type="http://schemas.openxmlformats.org/officeDocument/2006/relationships/hyperlink" Target="https://www.ncbi.nlm.nih.gov/pubmed/24337855" TargetMode="External"/><Relationship Id="rId147" Type="http://schemas.openxmlformats.org/officeDocument/2006/relationships/hyperlink" Target="https://www.ncbi.nlm.nih.gov/pubmed/27663783" TargetMode="External"/><Relationship Id="rId8" Type="http://schemas.openxmlformats.org/officeDocument/2006/relationships/hyperlink" Target="https://www.ncbi.nlm.nih.gov/pmc/articles/PMC2754318/" TargetMode="External"/><Relationship Id="rId51" Type="http://schemas.openxmlformats.org/officeDocument/2006/relationships/hyperlink" Target="http://www.uniprot.org/keywords/KW-0407" TargetMode="External"/><Relationship Id="rId72" Type="http://schemas.openxmlformats.org/officeDocument/2006/relationships/hyperlink" Target="https://www.ncbi.nlm.nih.gov/pubmed/23094028" TargetMode="External"/><Relationship Id="rId93" Type="http://schemas.openxmlformats.org/officeDocument/2006/relationships/hyperlink" Target="https://www.ncbi.nlm.nih.gov/pubmed/23094028" TargetMode="External"/><Relationship Id="rId98" Type="http://schemas.openxmlformats.org/officeDocument/2006/relationships/hyperlink" Target="https://www.ncbi.nlm.nih.gov/pubmed/21559498" TargetMode="External"/><Relationship Id="rId121" Type="http://schemas.openxmlformats.org/officeDocument/2006/relationships/hyperlink" Target="https://www.ncbi.nlm.nih.gov/pubmed/26054357" TargetMode="External"/><Relationship Id="rId142" Type="http://schemas.openxmlformats.org/officeDocument/2006/relationships/hyperlink" Target="https://www.drugbank.ca/drugs/DB01227" TargetMode="External"/><Relationship Id="rId163" Type="http://schemas.openxmlformats.org/officeDocument/2006/relationships/hyperlink" Target="https://www.drugbank.ca/drugs/DB01227" TargetMode="External"/><Relationship Id="rId3" Type="http://schemas.openxmlformats.org/officeDocument/2006/relationships/settings" Target="settings.xml"/><Relationship Id="rId25" Type="http://schemas.openxmlformats.org/officeDocument/2006/relationships/hyperlink" Target="https://www.ncbi.nlm.nih.gov/pmc/articles/PMC2775843/" TargetMode="External"/><Relationship Id="rId46" Type="http://schemas.openxmlformats.org/officeDocument/2006/relationships/hyperlink" Target="https://www.ebi.ac.uk/QuickGO/term/GO:1905144" TargetMode="External"/><Relationship Id="rId67" Type="http://schemas.openxmlformats.org/officeDocument/2006/relationships/hyperlink" Target="https://www.ncbi.nlm.nih.gov/pubmed/22290489" TargetMode="External"/><Relationship Id="rId116" Type="http://schemas.openxmlformats.org/officeDocument/2006/relationships/hyperlink" Target="https://www.ncbi.nlm.nih.gov/pubmed/27663783" TargetMode="External"/><Relationship Id="rId137" Type="http://schemas.openxmlformats.org/officeDocument/2006/relationships/hyperlink" Target="https://www.drugbank.ca/drugs/DB09028" TargetMode="External"/><Relationship Id="rId158" Type="http://schemas.openxmlformats.org/officeDocument/2006/relationships/hyperlink" Target="https://www.drugbank.ca/drugs/DB09028" TargetMode="External"/><Relationship Id="rId20" Type="http://schemas.openxmlformats.org/officeDocument/2006/relationships/hyperlink" Target="https://www.ncbi.nlm.nih.gov/pubmed/23094028" TargetMode="External"/><Relationship Id="rId41" Type="http://schemas.openxmlformats.org/officeDocument/2006/relationships/hyperlink" Target="https://www.ebi.ac.uk/QuickGO/term/GO:0007399" TargetMode="External"/><Relationship Id="rId62" Type="http://schemas.openxmlformats.org/officeDocument/2006/relationships/hyperlink" Target="https://www.drugbank.ca/drugs/DB00848" TargetMode="External"/><Relationship Id="rId83" Type="http://schemas.openxmlformats.org/officeDocument/2006/relationships/hyperlink" Target="http://www.uniprot.org/uniprot/P32297" TargetMode="External"/><Relationship Id="rId88" Type="http://schemas.openxmlformats.org/officeDocument/2006/relationships/hyperlink" Target="https://www.drugbank.ca/drugs/DB00674" TargetMode="External"/><Relationship Id="rId111" Type="http://schemas.openxmlformats.org/officeDocument/2006/relationships/hyperlink" Target="https://www.drugbank.ca/drugs/DB01227" TargetMode="External"/><Relationship Id="rId132" Type="http://schemas.openxmlformats.org/officeDocument/2006/relationships/hyperlink" Target="https://www.ncbi.nlm.nih.gov/pubmed/25777141" TargetMode="External"/><Relationship Id="rId153" Type="http://schemas.openxmlformats.org/officeDocument/2006/relationships/hyperlink" Target="https://www.ncbi.nlm.nih.gov/pubmed/248673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13</Pages>
  <Words>5503</Words>
  <Characters>31368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7</cp:revision>
  <dcterms:created xsi:type="dcterms:W3CDTF">2018-04-18T03:49:00Z</dcterms:created>
  <dcterms:modified xsi:type="dcterms:W3CDTF">2018-04-18T06:42:00Z</dcterms:modified>
</cp:coreProperties>
</file>