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AAE20" w14:textId="77777777" w:rsidR="00E030EF" w:rsidRDefault="00E030EF" w:rsidP="00E030EF">
      <w:r>
        <w:fldChar w:fldCharType="begin"/>
      </w:r>
      <w:r>
        <w:instrText xml:space="preserve"> HYPERLINK "https://www.ncbi.nlm.nih.gov/pubmed/21912186" </w:instrText>
      </w:r>
      <w:r>
        <w:fldChar w:fldCharType="separate"/>
      </w:r>
      <w:r w:rsidRPr="009D4476">
        <w:rPr>
          <w:rStyle w:val="Hyperlink"/>
        </w:rPr>
        <w:t>https://www.ncbi.nlm.nih.gov/pubmed/21912186</w:t>
      </w:r>
      <w:r>
        <w:rPr>
          <w:rStyle w:val="Hyperlink"/>
        </w:rPr>
        <w:fldChar w:fldCharType="end"/>
      </w:r>
    </w:p>
    <w:p w14:paraId="6F96F2B0" w14:textId="2077E35A" w:rsidR="00E030EF" w:rsidRDefault="00E030EF" w:rsidP="00E030EF">
      <w:pPr>
        <w:rPr>
          <w:color w:val="000000"/>
          <w:shd w:val="clear" w:color="auto" w:fill="FFFFFF"/>
        </w:rPr>
      </w:pPr>
      <w:r>
        <w:rPr>
          <w:color w:val="000000"/>
          <w:shd w:val="clear" w:color="auto" w:fill="FFFFFF"/>
        </w:rPr>
        <w:t>Subjects with the G allele of rs2247215 </w:t>
      </w:r>
      <w:r>
        <w:rPr>
          <w:rStyle w:val="Emphasis"/>
          <w:color w:val="000000"/>
          <w:shd w:val="clear" w:color="auto" w:fill="FFFFFF"/>
        </w:rPr>
        <w:t>(GRIK2)</w:t>
      </w:r>
      <w:r>
        <w:rPr>
          <w:color w:val="000000"/>
          <w:shd w:val="clear" w:color="auto" w:fill="FFFFFF"/>
        </w:rPr>
        <w:t> were more likely to have CFS (p = 0.0005), and CFS subjects showed decreased </w:t>
      </w:r>
      <w:r>
        <w:rPr>
          <w:rStyle w:val="Emphasis"/>
          <w:color w:val="000000"/>
          <w:shd w:val="clear" w:color="auto" w:fill="FFFFFF"/>
        </w:rPr>
        <w:t>GRIK2</w:t>
      </w:r>
      <w:r>
        <w:rPr>
          <w:color w:val="000000"/>
          <w:shd w:val="clear" w:color="auto" w:fill="FFFFFF"/>
        </w:rPr>
        <w:t> expression (10-fold; p = 0.015). Subjects with the T allele of rs356653 </w:t>
      </w:r>
      <w:r>
        <w:rPr>
          <w:rStyle w:val="Emphasis"/>
          <w:color w:val="000000"/>
          <w:shd w:val="clear" w:color="auto" w:fill="FFFFFF"/>
        </w:rPr>
        <w:t>(NPAS2)</w:t>
      </w:r>
      <w:r>
        <w:rPr>
          <w:color w:val="000000"/>
          <w:shd w:val="clear" w:color="auto" w:fill="FFFFFF"/>
        </w:rPr>
        <w:t> were more likely to have CFS (p = 0.0007), and </w:t>
      </w:r>
      <w:r>
        <w:rPr>
          <w:rStyle w:val="Emphasis"/>
          <w:color w:val="000000"/>
          <w:shd w:val="clear" w:color="auto" w:fill="FFFFFF"/>
        </w:rPr>
        <w:t>NPAS2</w:t>
      </w:r>
      <w:r>
        <w:rPr>
          <w:color w:val="000000"/>
          <w:shd w:val="clear" w:color="auto" w:fill="FFFFFF"/>
        </w:rPr>
        <w:t xml:space="preserve">expression </w:t>
      </w:r>
      <w:proofErr w:type="gramStart"/>
      <w:r>
        <w:rPr>
          <w:color w:val="000000"/>
          <w:shd w:val="clear" w:color="auto" w:fill="FFFFFF"/>
        </w:rPr>
        <w:t>was increased</w:t>
      </w:r>
      <w:proofErr w:type="gramEnd"/>
      <w:r>
        <w:rPr>
          <w:color w:val="000000"/>
          <w:shd w:val="clear" w:color="auto" w:fill="FFFFFF"/>
        </w:rPr>
        <w:t xml:space="preserve"> (10-fold; p = 0.027) in those with CFS.</w:t>
      </w:r>
    </w:p>
    <w:p w14:paraId="3259ABE5" w14:textId="35242C82" w:rsidR="00E030EF" w:rsidRDefault="00E030EF" w:rsidP="00E030EF">
      <w:pPr>
        <w:rPr>
          <w:color w:val="000000"/>
          <w:shd w:val="clear" w:color="auto" w:fill="FFFFFF"/>
        </w:rPr>
      </w:pPr>
    </w:p>
    <w:p w14:paraId="47CC5988" w14:textId="1EB0F4F9" w:rsidR="00E030EF" w:rsidRDefault="00E030EF" w:rsidP="00E030EF">
      <w:pPr>
        <w:rPr>
          <w:color w:val="000000"/>
          <w:shd w:val="clear" w:color="auto" w:fill="FFFFFF"/>
        </w:rPr>
      </w:pPr>
      <w:r>
        <w:rPr>
          <w:color w:val="000000"/>
          <w:shd w:val="clear" w:color="auto" w:fill="FFFFFF"/>
        </w:rPr>
        <w:t>Associated polymorphisms in </w:t>
      </w:r>
      <w:r>
        <w:rPr>
          <w:rStyle w:val="Emphasis"/>
          <w:color w:val="000000"/>
          <w:shd w:val="clear" w:color="auto" w:fill="FFFFFF"/>
        </w:rPr>
        <w:t>GRIK2</w:t>
      </w:r>
      <w:r>
        <w:rPr>
          <w:color w:val="000000"/>
          <w:shd w:val="clear" w:color="auto" w:fill="FFFFFF"/>
        </w:rPr>
        <w:t> (rs2247218 and rs2247215) and </w:t>
      </w:r>
      <w:r>
        <w:rPr>
          <w:rStyle w:val="Emphasis"/>
          <w:color w:val="000000"/>
          <w:shd w:val="clear" w:color="auto" w:fill="FFFFFF"/>
        </w:rPr>
        <w:t>NPAS2</w:t>
      </w:r>
      <w:r>
        <w:rPr>
          <w:color w:val="000000"/>
          <w:shd w:val="clear" w:color="auto" w:fill="FFFFFF"/>
        </w:rPr>
        <w:t xml:space="preserve"> (rs356653) </w:t>
      </w:r>
      <w:proofErr w:type="gramStart"/>
      <w:r>
        <w:rPr>
          <w:color w:val="000000"/>
          <w:shd w:val="clear" w:color="auto" w:fill="FFFFFF"/>
        </w:rPr>
        <w:t>are located in</w:t>
      </w:r>
      <w:proofErr w:type="gramEnd"/>
      <w:r>
        <w:rPr>
          <w:color w:val="000000"/>
          <w:shd w:val="clear" w:color="auto" w:fill="FFFFFF"/>
        </w:rPr>
        <w:t xml:space="preserve"> the first and second introns of their respective genes. Since these SNPs are in introns, their impact on gene function and </w:t>
      </w:r>
      <w:proofErr w:type="gramStart"/>
      <w:r>
        <w:rPr>
          <w:color w:val="000000"/>
          <w:shd w:val="clear" w:color="auto" w:fill="FFFFFF"/>
        </w:rPr>
        <w:t>ultimately the</w:t>
      </w:r>
      <w:proofErr w:type="gramEnd"/>
      <w:r>
        <w:rPr>
          <w:color w:val="000000"/>
          <w:shd w:val="clear" w:color="auto" w:fill="FFFFFF"/>
        </w:rPr>
        <w:t xml:space="preserve"> associated phenotype is not immediately clear. These markers may be in linkage disequilibrium with other causative markers or they may play a direct role in gene expression by affecting transcription factor binding, alternative </w:t>
      </w:r>
      <w:proofErr w:type="gramStart"/>
      <w:r>
        <w:rPr>
          <w:color w:val="000000"/>
          <w:shd w:val="clear" w:color="auto" w:fill="FFFFFF"/>
        </w:rPr>
        <w:t>splicing</w:t>
      </w:r>
      <w:proofErr w:type="gramEnd"/>
      <w:r>
        <w:rPr>
          <w:color w:val="000000"/>
          <w:shd w:val="clear" w:color="auto" w:fill="FFFFFF"/>
        </w:rPr>
        <w:t xml:space="preserve"> or microRNA production. Of the 2 </w:t>
      </w:r>
      <w:r>
        <w:rPr>
          <w:rStyle w:val="Emphasis"/>
          <w:color w:val="000000"/>
          <w:shd w:val="clear" w:color="auto" w:fill="FFFFFF"/>
        </w:rPr>
        <w:t>GRIK2</w:t>
      </w:r>
      <w:r>
        <w:rPr>
          <w:color w:val="000000"/>
          <w:shd w:val="clear" w:color="auto" w:fill="FFFFFF"/>
        </w:rPr>
        <w:t> SNPs, rs2247215 showed in silico evidence for alteration of consensus binding sites for 2 overlapping transcription factors, GATA1 and EVI1. The G allele of rs2247215 creates a consensus binding site for GATA1, suggesting that </w:t>
      </w:r>
      <w:r>
        <w:rPr>
          <w:rStyle w:val="Emphasis"/>
          <w:color w:val="000000"/>
          <w:shd w:val="clear" w:color="auto" w:fill="FFFFFF"/>
        </w:rPr>
        <w:t>GRIK2</w:t>
      </w:r>
      <w:r>
        <w:rPr>
          <w:color w:val="000000"/>
          <w:shd w:val="clear" w:color="auto" w:fill="FFFFFF"/>
        </w:rPr>
        <w:t xml:space="preserve">, like other GATA1-repressed genes, may be repressed through the participation of </w:t>
      </w:r>
      <w:proofErr w:type="spellStart"/>
      <w:r>
        <w:rPr>
          <w:color w:val="000000"/>
          <w:shd w:val="clear" w:color="auto" w:fill="FFFFFF"/>
        </w:rPr>
        <w:t>polycomb</w:t>
      </w:r>
      <w:proofErr w:type="spellEnd"/>
      <w:r>
        <w:rPr>
          <w:color w:val="000000"/>
          <w:shd w:val="clear" w:color="auto" w:fill="FFFFFF"/>
        </w:rPr>
        <w:t xml:space="preserve"> repressive complex 2 [</w:t>
      </w:r>
      <w:hyperlink r:id="rId5" w:anchor="B53" w:history="1">
        <w:r>
          <w:rPr>
            <w:rStyle w:val="Hyperlink"/>
            <w:color w:val="642A8F"/>
            <w:shd w:val="clear" w:color="auto" w:fill="FFFFFF"/>
          </w:rPr>
          <w:t>53</w:t>
        </w:r>
      </w:hyperlink>
      <w:r>
        <w:rPr>
          <w:color w:val="000000"/>
          <w:shd w:val="clear" w:color="auto" w:fill="FFFFFF"/>
        </w:rPr>
        <w:t>]. This potential role of rs2247215 is consistent with the association of its G allele with CFS and decreased expression of </w:t>
      </w:r>
      <w:r>
        <w:rPr>
          <w:rStyle w:val="Emphasis"/>
          <w:color w:val="000000"/>
          <w:shd w:val="clear" w:color="auto" w:fill="FFFFFF"/>
        </w:rPr>
        <w:t>GRIK2</w:t>
      </w:r>
      <w:r>
        <w:rPr>
          <w:color w:val="000000"/>
          <w:shd w:val="clear" w:color="auto" w:fill="FFFFFF"/>
        </w:rPr>
        <w:t> in CFS subjects. In silico analysis also identified a binding site for RFX1 transcription factor at rs356653 </w:t>
      </w:r>
      <w:r>
        <w:rPr>
          <w:rStyle w:val="Emphasis"/>
          <w:color w:val="000000"/>
          <w:shd w:val="clear" w:color="auto" w:fill="FFFFFF"/>
        </w:rPr>
        <w:t>(NPAS2).</w:t>
      </w:r>
      <w:r>
        <w:rPr>
          <w:color w:val="000000"/>
          <w:shd w:val="clear" w:color="auto" w:fill="FFFFFF"/>
        </w:rPr>
        <w:t> The T allele of rs356653 is likely to disrupt RFX1 binding. RFX1 may be a transcriptional repressor of </w:t>
      </w:r>
      <w:r>
        <w:rPr>
          <w:rStyle w:val="Emphasis"/>
          <w:color w:val="000000"/>
          <w:shd w:val="clear" w:color="auto" w:fill="FFFFFF"/>
        </w:rPr>
        <w:t>NPAS2</w:t>
      </w:r>
      <w:r>
        <w:rPr>
          <w:color w:val="000000"/>
          <w:shd w:val="clear" w:color="auto" w:fill="FFFFFF"/>
        </w:rPr>
        <w:t>[</w:t>
      </w:r>
      <w:hyperlink r:id="rId6" w:anchor="B54" w:history="1">
        <w:r>
          <w:rPr>
            <w:rStyle w:val="Hyperlink"/>
            <w:color w:val="642A8F"/>
            <w:shd w:val="clear" w:color="auto" w:fill="FFFFFF"/>
          </w:rPr>
          <w:t>54</w:t>
        </w:r>
      </w:hyperlink>
      <w:r>
        <w:rPr>
          <w:color w:val="000000"/>
          <w:shd w:val="clear" w:color="auto" w:fill="FFFFFF"/>
        </w:rPr>
        <w:t>], and if so the T allele would lead to increased </w:t>
      </w:r>
      <w:r>
        <w:rPr>
          <w:rStyle w:val="Emphasis"/>
          <w:color w:val="000000"/>
          <w:shd w:val="clear" w:color="auto" w:fill="FFFFFF"/>
        </w:rPr>
        <w:t>NPAS2</w:t>
      </w:r>
      <w:r>
        <w:rPr>
          <w:color w:val="000000"/>
          <w:shd w:val="clear" w:color="auto" w:fill="FFFFFF"/>
        </w:rPr>
        <w:t> expression by disrupting RFX1 binding. This interpretation is consistent with our findings that the T allele is associated with CFS and increased expression of </w:t>
      </w:r>
      <w:r>
        <w:rPr>
          <w:rStyle w:val="Emphasis"/>
          <w:color w:val="000000"/>
          <w:shd w:val="clear" w:color="auto" w:fill="FFFFFF"/>
        </w:rPr>
        <w:t>NPAS2</w:t>
      </w:r>
      <w:r>
        <w:rPr>
          <w:color w:val="000000"/>
          <w:shd w:val="clear" w:color="auto" w:fill="FFFFFF"/>
        </w:rPr>
        <w:t xml:space="preserve"> in CFS. However, experimental validation </w:t>
      </w:r>
      <w:proofErr w:type="gramStart"/>
      <w:r>
        <w:rPr>
          <w:color w:val="000000"/>
          <w:shd w:val="clear" w:color="auto" w:fill="FFFFFF"/>
        </w:rPr>
        <w:t>is required</w:t>
      </w:r>
      <w:proofErr w:type="gramEnd"/>
      <w:r>
        <w:rPr>
          <w:color w:val="000000"/>
          <w:shd w:val="clear" w:color="auto" w:fill="FFFFFF"/>
        </w:rPr>
        <w:t xml:space="preserve"> to support the role of rs2247215 and rs356653 variants in gene expression.</w:t>
      </w:r>
    </w:p>
    <w:p w14:paraId="05B2B499" w14:textId="33C717A4" w:rsidR="00E030EF" w:rsidRDefault="00E030EF" w:rsidP="00E030EF">
      <w:pPr>
        <w:rPr>
          <w:color w:val="000000"/>
          <w:shd w:val="clear" w:color="auto" w:fill="FFFFFF"/>
        </w:rPr>
      </w:pPr>
    </w:p>
    <w:p w14:paraId="77E2C20C" w14:textId="057F0D40" w:rsidR="00E030EF" w:rsidRDefault="00E030EF" w:rsidP="00E030EF">
      <w:pPr>
        <w:rPr>
          <w:color w:val="000000"/>
          <w:shd w:val="clear" w:color="auto" w:fill="FFFFFF"/>
        </w:rPr>
      </w:pPr>
      <w:r>
        <w:rPr>
          <w:color w:val="000000"/>
          <w:shd w:val="clear" w:color="auto" w:fill="FFFFFF"/>
        </w:rPr>
        <w:t>For example, in </w:t>
      </w:r>
      <w:r>
        <w:rPr>
          <w:rStyle w:val="Emphasis"/>
          <w:color w:val="000000"/>
          <w:shd w:val="clear" w:color="auto" w:fill="FFFFFF"/>
        </w:rPr>
        <w:t>GRIK2,</w:t>
      </w:r>
      <w:r>
        <w:rPr>
          <w:color w:val="000000"/>
          <w:shd w:val="clear" w:color="auto" w:fill="FFFFFF"/>
        </w:rPr>
        <w:t> the C allele of rs2247218 and the G allele of rs2247215 were more common in CFS cases (50.0%) than in controls (24.0%; 0.00007 &lt; p &lt; 0.0005); both SNPs are in linkage disequilibrium. </w:t>
      </w:r>
    </w:p>
    <w:p w14:paraId="762C0B84" w14:textId="77777777" w:rsidR="00E030EF" w:rsidRDefault="00E030EF" w:rsidP="00E030EF">
      <w:pPr>
        <w:rPr>
          <w:color w:val="000000"/>
          <w:shd w:val="clear" w:color="auto" w:fill="FFFFFF"/>
        </w:rPr>
      </w:pPr>
    </w:p>
    <w:p w14:paraId="3680DB43" w14:textId="1DF9715F" w:rsidR="00E030EF" w:rsidRDefault="00E030EF" w:rsidP="00E030EF">
      <w:pPr>
        <w:rPr>
          <w:color w:val="000000"/>
          <w:shd w:val="clear" w:color="auto" w:fill="FFFFFF"/>
        </w:rPr>
      </w:pPr>
      <w:r>
        <w:rPr>
          <w:color w:val="000000"/>
          <w:shd w:val="clear" w:color="auto" w:fill="FFFFFF"/>
        </w:rPr>
        <w:t>Among these polymorphisms, SNPs associated with suicidal ideation in patients being actively treated for depression (rs2518224) [</w:t>
      </w:r>
      <w:hyperlink r:id="rId7" w:anchor="B36" w:history="1">
        <w:r>
          <w:rPr>
            <w:rStyle w:val="Hyperlink"/>
            <w:color w:val="642A8F"/>
            <w:shd w:val="clear" w:color="auto" w:fill="FFFFFF"/>
          </w:rPr>
          <w:t>36</w:t>
        </w:r>
      </w:hyperlink>
      <w:r>
        <w:rPr>
          <w:color w:val="000000"/>
          <w:shd w:val="clear" w:color="auto" w:fill="FFFFFF"/>
        </w:rPr>
        <w:t>] reside in the same intron of </w:t>
      </w:r>
      <w:r>
        <w:rPr>
          <w:rStyle w:val="Emphasis"/>
          <w:color w:val="000000"/>
          <w:shd w:val="clear" w:color="auto" w:fill="FFFFFF"/>
        </w:rPr>
        <w:t>GRIK2</w:t>
      </w:r>
      <w:r>
        <w:rPr>
          <w:color w:val="000000"/>
          <w:shd w:val="clear" w:color="auto" w:fill="FFFFFF"/>
        </w:rPr>
        <w:t> that harbors the polymorphisms associated with CFS in this study (rs2247218 and rs2247215). </w:t>
      </w:r>
    </w:p>
    <w:p w14:paraId="5725F794" w14:textId="6697C29A" w:rsidR="00E030EF" w:rsidRDefault="00E030EF" w:rsidP="00E030EF">
      <w:pPr>
        <w:rPr>
          <w:color w:val="000000"/>
          <w:shd w:val="clear" w:color="auto" w:fill="FFFFFF"/>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1037"/>
        <w:gridCol w:w="2665"/>
        <w:gridCol w:w="1015"/>
        <w:gridCol w:w="869"/>
        <w:gridCol w:w="982"/>
        <w:gridCol w:w="926"/>
        <w:gridCol w:w="742"/>
      </w:tblGrid>
      <w:tr w:rsidR="00E030EF" w14:paraId="2F433EC0" w14:textId="77777777" w:rsidTr="00E030EF">
        <w:trPr>
          <w:tblHeader/>
        </w:trPr>
        <w:tc>
          <w:tcPr>
            <w:tcW w:w="0" w:type="auto"/>
            <w:tcBorders>
              <w:top w:val="nil"/>
              <w:left w:val="nil"/>
              <w:bottom w:val="nil"/>
              <w:right w:val="nil"/>
            </w:tcBorders>
            <w:tcMar>
              <w:top w:w="48" w:type="dxa"/>
              <w:left w:w="96" w:type="dxa"/>
              <w:bottom w:w="48" w:type="dxa"/>
              <w:right w:w="96" w:type="dxa"/>
            </w:tcMar>
            <w:hideMark/>
          </w:tcPr>
          <w:p w14:paraId="72263DC7" w14:textId="77777777" w:rsidR="00E030EF" w:rsidRDefault="00E030EF" w:rsidP="00E030EF">
            <w:pPr>
              <w:spacing w:line="393" w:lineRule="atLeast"/>
              <w:rPr>
                <w:b/>
                <w:bCs/>
                <w:sz w:val="20"/>
                <w:szCs w:val="20"/>
              </w:rPr>
            </w:pPr>
            <w:r>
              <w:rPr>
                <w:b/>
                <w:bCs/>
                <w:sz w:val="20"/>
                <w:szCs w:val="20"/>
              </w:rPr>
              <w:t>Chromo-some</w:t>
            </w:r>
          </w:p>
        </w:tc>
        <w:tc>
          <w:tcPr>
            <w:tcW w:w="0" w:type="auto"/>
            <w:tcBorders>
              <w:top w:val="nil"/>
              <w:left w:val="nil"/>
              <w:bottom w:val="nil"/>
              <w:right w:val="nil"/>
            </w:tcBorders>
            <w:tcMar>
              <w:top w:w="48" w:type="dxa"/>
              <w:left w:w="96" w:type="dxa"/>
              <w:bottom w:w="48" w:type="dxa"/>
              <w:right w:w="96" w:type="dxa"/>
            </w:tcMar>
            <w:hideMark/>
          </w:tcPr>
          <w:p w14:paraId="401D028A" w14:textId="77777777" w:rsidR="00E030EF" w:rsidRDefault="00E030EF" w:rsidP="00E030EF">
            <w:pPr>
              <w:spacing w:line="393" w:lineRule="atLeast"/>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33F73CBA" w14:textId="77777777" w:rsidR="00E030EF" w:rsidRDefault="00E030EF" w:rsidP="00E030EF">
            <w:pPr>
              <w:spacing w:line="393" w:lineRule="atLeast"/>
              <w:rPr>
                <w:b/>
                <w:bCs/>
                <w:sz w:val="20"/>
                <w:szCs w:val="20"/>
              </w:rPr>
            </w:pPr>
            <w:r>
              <w:rPr>
                <w:b/>
                <w:bCs/>
                <w:sz w:val="20"/>
                <w:szCs w:val="20"/>
              </w:rPr>
              <w:t>Gene/expressed sequence tag Genome Build 36.3EST</w:t>
            </w:r>
          </w:p>
        </w:tc>
        <w:tc>
          <w:tcPr>
            <w:tcW w:w="0" w:type="auto"/>
            <w:tcBorders>
              <w:top w:val="nil"/>
              <w:left w:val="nil"/>
              <w:bottom w:val="nil"/>
              <w:right w:val="nil"/>
            </w:tcBorders>
            <w:tcMar>
              <w:top w:w="48" w:type="dxa"/>
              <w:left w:w="96" w:type="dxa"/>
              <w:bottom w:w="48" w:type="dxa"/>
              <w:right w:w="96" w:type="dxa"/>
            </w:tcMar>
            <w:hideMark/>
          </w:tcPr>
          <w:p w14:paraId="2EE1882F" w14:textId="77777777" w:rsidR="00E030EF" w:rsidRDefault="00E030EF" w:rsidP="00E030EF">
            <w:pPr>
              <w:spacing w:line="393" w:lineRule="atLeast"/>
              <w:rPr>
                <w:b/>
                <w:bCs/>
                <w:sz w:val="20"/>
                <w:szCs w:val="20"/>
              </w:rPr>
            </w:pPr>
            <w:r>
              <w:rPr>
                <w:b/>
                <w:bCs/>
                <w:sz w:val="20"/>
                <w:szCs w:val="20"/>
              </w:rPr>
              <w:t>Genotype</w:t>
            </w:r>
          </w:p>
        </w:tc>
        <w:tc>
          <w:tcPr>
            <w:tcW w:w="0" w:type="auto"/>
            <w:gridSpan w:val="2"/>
            <w:tcBorders>
              <w:top w:val="nil"/>
              <w:left w:val="nil"/>
              <w:bottom w:val="nil"/>
              <w:right w:val="nil"/>
            </w:tcBorders>
            <w:tcMar>
              <w:top w:w="48" w:type="dxa"/>
              <w:left w:w="96" w:type="dxa"/>
              <w:bottom w:w="48" w:type="dxa"/>
              <w:right w:w="96" w:type="dxa"/>
            </w:tcMar>
            <w:hideMark/>
          </w:tcPr>
          <w:p w14:paraId="1D323A09" w14:textId="77777777" w:rsidR="00E030EF" w:rsidRDefault="00E030EF" w:rsidP="00E030EF">
            <w:pPr>
              <w:spacing w:line="393" w:lineRule="atLeast"/>
              <w:rPr>
                <w:b/>
                <w:bCs/>
                <w:sz w:val="20"/>
                <w:szCs w:val="20"/>
              </w:rPr>
            </w:pPr>
            <w:r>
              <w:rPr>
                <w:b/>
                <w:bCs/>
                <w:sz w:val="20"/>
                <w:szCs w:val="20"/>
              </w:rPr>
              <w:t>Frequency, n</w:t>
            </w:r>
          </w:p>
          <w:p w14:paraId="2AE91F45" w14:textId="77777777" w:rsidR="00E030EF" w:rsidRDefault="00E030EF" w:rsidP="00E030EF">
            <w:pPr>
              <w:spacing w:line="393" w:lineRule="atLeast"/>
              <w:rPr>
                <w:b/>
                <w:bCs/>
                <w:sz w:val="20"/>
                <w:szCs w:val="20"/>
              </w:rPr>
            </w:pPr>
            <w:r>
              <w:rPr>
                <w:b/>
                <w:bCs/>
                <w:sz w:val="20"/>
                <w:szCs w:val="20"/>
              </w:rPr>
              <w:pict w14:anchorId="233B5A4E">
                <v:rect id="_x0000_i1144" style="width:0;height:0" o:hralign="center" o:hrstd="t" o:hr="t" fillcolor="#a0a0a0" stroked="f"/>
              </w:pict>
            </w:r>
          </w:p>
        </w:tc>
        <w:tc>
          <w:tcPr>
            <w:tcW w:w="0" w:type="auto"/>
            <w:gridSpan w:val="2"/>
            <w:tcBorders>
              <w:top w:val="nil"/>
              <w:left w:val="nil"/>
              <w:bottom w:val="nil"/>
              <w:right w:val="nil"/>
            </w:tcBorders>
            <w:tcMar>
              <w:top w:w="48" w:type="dxa"/>
              <w:left w:w="96" w:type="dxa"/>
              <w:bottom w:w="48" w:type="dxa"/>
              <w:right w:w="96" w:type="dxa"/>
            </w:tcMar>
            <w:hideMark/>
          </w:tcPr>
          <w:p w14:paraId="4C617627" w14:textId="77777777" w:rsidR="00E030EF" w:rsidRDefault="00E030EF" w:rsidP="00E030EF">
            <w:pPr>
              <w:spacing w:line="393" w:lineRule="atLeast"/>
              <w:rPr>
                <w:b/>
                <w:bCs/>
                <w:sz w:val="20"/>
                <w:szCs w:val="20"/>
              </w:rPr>
            </w:pPr>
            <w:r>
              <w:rPr>
                <w:b/>
                <w:bCs/>
                <w:sz w:val="20"/>
                <w:szCs w:val="20"/>
              </w:rPr>
              <w:t>p value</w:t>
            </w:r>
          </w:p>
          <w:p w14:paraId="51FE9913" w14:textId="77777777" w:rsidR="00E030EF" w:rsidRDefault="00E030EF" w:rsidP="00E030EF">
            <w:pPr>
              <w:spacing w:line="393" w:lineRule="atLeast"/>
              <w:rPr>
                <w:b/>
                <w:bCs/>
                <w:sz w:val="20"/>
                <w:szCs w:val="20"/>
              </w:rPr>
            </w:pPr>
            <w:r>
              <w:rPr>
                <w:b/>
                <w:bCs/>
                <w:sz w:val="20"/>
                <w:szCs w:val="20"/>
              </w:rPr>
              <w:pict w14:anchorId="370415D0">
                <v:rect id="_x0000_i1145" style="width:0;height:0" o:hralign="center" o:hrstd="t" o:hr="t" fillcolor="#a0a0a0" stroked="f"/>
              </w:pict>
            </w:r>
          </w:p>
        </w:tc>
      </w:tr>
      <w:tr w:rsidR="00E030EF" w14:paraId="17335367" w14:textId="77777777" w:rsidTr="00E030EF">
        <w:trPr>
          <w:tblHeader/>
        </w:trPr>
        <w:tc>
          <w:tcPr>
            <w:tcW w:w="0" w:type="auto"/>
            <w:tcBorders>
              <w:top w:val="nil"/>
              <w:left w:val="nil"/>
              <w:bottom w:val="nil"/>
              <w:right w:val="nil"/>
            </w:tcBorders>
            <w:tcMar>
              <w:top w:w="48" w:type="dxa"/>
              <w:left w:w="96" w:type="dxa"/>
              <w:bottom w:w="48" w:type="dxa"/>
              <w:right w:w="96" w:type="dxa"/>
            </w:tcMar>
            <w:hideMark/>
          </w:tcPr>
          <w:p w14:paraId="41CB2537" w14:textId="77777777" w:rsidR="00E030EF" w:rsidRDefault="00E030EF" w:rsidP="00E030EF">
            <w:pPr>
              <w:spacing w:line="393" w:lineRule="atLeast"/>
              <w:rPr>
                <w:b/>
                <w:bCs/>
                <w:sz w:val="20"/>
                <w:szCs w:val="20"/>
              </w:rPr>
            </w:pPr>
          </w:p>
        </w:tc>
        <w:tc>
          <w:tcPr>
            <w:tcW w:w="0" w:type="auto"/>
            <w:tcBorders>
              <w:top w:val="nil"/>
              <w:left w:val="nil"/>
              <w:bottom w:val="nil"/>
              <w:right w:val="nil"/>
            </w:tcBorders>
            <w:tcMar>
              <w:top w:w="48" w:type="dxa"/>
              <w:left w:w="96" w:type="dxa"/>
              <w:bottom w:w="48" w:type="dxa"/>
              <w:right w:w="96" w:type="dxa"/>
            </w:tcMar>
            <w:hideMark/>
          </w:tcPr>
          <w:p w14:paraId="295F842D"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05E79FA"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37A5E89"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8898B22" w14:textId="77777777" w:rsidR="00E030EF" w:rsidRDefault="00E030EF" w:rsidP="00E030EF">
            <w:pPr>
              <w:spacing w:line="393" w:lineRule="atLeast"/>
              <w:rPr>
                <w:sz w:val="20"/>
                <w:szCs w:val="20"/>
              </w:rPr>
            </w:pPr>
            <w:r>
              <w:rPr>
                <w:sz w:val="20"/>
                <w:szCs w:val="20"/>
              </w:rPr>
              <w:t>controls</w:t>
            </w:r>
          </w:p>
        </w:tc>
        <w:tc>
          <w:tcPr>
            <w:tcW w:w="0" w:type="auto"/>
            <w:tcBorders>
              <w:top w:val="nil"/>
              <w:left w:val="nil"/>
              <w:bottom w:val="nil"/>
              <w:right w:val="nil"/>
            </w:tcBorders>
            <w:tcMar>
              <w:top w:w="48" w:type="dxa"/>
              <w:left w:w="96" w:type="dxa"/>
              <w:bottom w:w="48" w:type="dxa"/>
              <w:right w:w="96" w:type="dxa"/>
            </w:tcMar>
            <w:hideMark/>
          </w:tcPr>
          <w:p w14:paraId="6FAB5743" w14:textId="77777777" w:rsidR="00E030EF" w:rsidRDefault="00E030EF" w:rsidP="00E030EF">
            <w:pPr>
              <w:spacing w:line="393" w:lineRule="atLeast"/>
              <w:rPr>
                <w:sz w:val="20"/>
                <w:szCs w:val="20"/>
              </w:rPr>
            </w:pPr>
            <w:r>
              <w:rPr>
                <w:sz w:val="20"/>
                <w:szCs w:val="20"/>
              </w:rPr>
              <w:t>CFS subjects</w:t>
            </w:r>
          </w:p>
        </w:tc>
        <w:tc>
          <w:tcPr>
            <w:tcW w:w="0" w:type="auto"/>
            <w:tcBorders>
              <w:top w:val="nil"/>
              <w:left w:val="nil"/>
              <w:bottom w:val="nil"/>
              <w:right w:val="nil"/>
            </w:tcBorders>
            <w:tcMar>
              <w:top w:w="48" w:type="dxa"/>
              <w:left w:w="96" w:type="dxa"/>
              <w:bottom w:w="48" w:type="dxa"/>
              <w:right w:w="96" w:type="dxa"/>
            </w:tcMar>
            <w:hideMark/>
          </w:tcPr>
          <w:p w14:paraId="1B3FA339" w14:textId="77777777" w:rsidR="00E030EF" w:rsidRDefault="00E030EF" w:rsidP="00E030EF">
            <w:pPr>
              <w:spacing w:line="393" w:lineRule="atLeast"/>
              <w:rPr>
                <w:sz w:val="20"/>
                <w:szCs w:val="20"/>
              </w:rPr>
            </w:pPr>
            <w:r>
              <w:rPr>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73657B2D" w14:textId="77777777" w:rsidR="00E030EF" w:rsidRDefault="00E030EF" w:rsidP="00E030EF">
            <w:pPr>
              <w:spacing w:line="393" w:lineRule="atLeast"/>
              <w:rPr>
                <w:sz w:val="20"/>
                <w:szCs w:val="20"/>
              </w:rPr>
            </w:pPr>
            <w:r>
              <w:rPr>
                <w:sz w:val="20"/>
                <w:szCs w:val="20"/>
              </w:rPr>
              <w:t>allele</w:t>
            </w:r>
          </w:p>
        </w:tc>
      </w:tr>
      <w:tr w:rsidR="00E030EF" w14:paraId="2075E468" w14:textId="77777777" w:rsidTr="00E030EF">
        <w:tc>
          <w:tcPr>
            <w:tcW w:w="0" w:type="auto"/>
            <w:tcBorders>
              <w:top w:val="nil"/>
              <w:left w:val="nil"/>
              <w:bottom w:val="nil"/>
              <w:right w:val="nil"/>
            </w:tcBorders>
            <w:tcMar>
              <w:top w:w="48" w:type="dxa"/>
              <w:left w:w="96" w:type="dxa"/>
              <w:bottom w:w="48" w:type="dxa"/>
              <w:right w:w="96" w:type="dxa"/>
            </w:tcMar>
            <w:hideMark/>
          </w:tcPr>
          <w:p w14:paraId="2713592E" w14:textId="6E31B23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C510D7B" w14:textId="18D08E77" w:rsidR="00E030EF" w:rsidRDefault="00E030EF" w:rsidP="00E030EF">
            <w:pPr>
              <w:spacing w:line="393" w:lineRule="atLeast"/>
              <w:rPr>
                <w:sz w:val="20"/>
                <w:szCs w:val="20"/>
              </w:rPr>
            </w:pPr>
            <w:r>
              <w:rPr>
                <w:sz w:val="20"/>
                <w:szCs w:val="20"/>
              </w:rPr>
              <w:t>rs2247215</w:t>
            </w:r>
          </w:p>
        </w:tc>
        <w:tc>
          <w:tcPr>
            <w:tcW w:w="0" w:type="auto"/>
            <w:tcBorders>
              <w:top w:val="nil"/>
              <w:left w:val="nil"/>
              <w:bottom w:val="nil"/>
              <w:right w:val="nil"/>
            </w:tcBorders>
            <w:tcMar>
              <w:top w:w="48" w:type="dxa"/>
              <w:left w:w="96" w:type="dxa"/>
              <w:bottom w:w="48" w:type="dxa"/>
              <w:right w:w="96" w:type="dxa"/>
            </w:tcMar>
            <w:hideMark/>
          </w:tcPr>
          <w:p w14:paraId="3C7F045F" w14:textId="6863051E" w:rsidR="00E030EF" w:rsidRDefault="00E030EF" w:rsidP="00E030EF">
            <w:pPr>
              <w:spacing w:line="393" w:lineRule="atLeast"/>
              <w:rPr>
                <w:sz w:val="20"/>
                <w:szCs w:val="20"/>
              </w:rPr>
            </w:pPr>
            <w:r>
              <w:rPr>
                <w:rStyle w:val="Emphasis"/>
                <w:sz w:val="20"/>
                <w:szCs w:val="20"/>
              </w:rPr>
              <w:t>GRIK2</w:t>
            </w:r>
          </w:p>
        </w:tc>
        <w:tc>
          <w:tcPr>
            <w:tcW w:w="0" w:type="auto"/>
            <w:tcBorders>
              <w:top w:val="nil"/>
              <w:left w:val="nil"/>
              <w:bottom w:val="nil"/>
              <w:right w:val="nil"/>
            </w:tcBorders>
            <w:tcMar>
              <w:top w:w="48" w:type="dxa"/>
              <w:left w:w="96" w:type="dxa"/>
              <w:bottom w:w="48" w:type="dxa"/>
              <w:right w:w="96" w:type="dxa"/>
            </w:tcMar>
            <w:hideMark/>
          </w:tcPr>
          <w:p w14:paraId="6FD77E6F" w14:textId="77777777" w:rsidR="00E030EF" w:rsidRDefault="00E030EF" w:rsidP="00E030EF">
            <w:pPr>
              <w:spacing w:line="393" w:lineRule="atLeast"/>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391A64EE" w14:textId="77777777" w:rsidR="00E030EF" w:rsidRDefault="00E030EF" w:rsidP="00E030EF">
            <w:pPr>
              <w:spacing w:line="393" w:lineRule="atLeast"/>
              <w:rPr>
                <w:sz w:val="20"/>
                <w:szCs w:val="20"/>
              </w:rPr>
            </w:pPr>
            <w:r>
              <w:rPr>
                <w:sz w:val="20"/>
                <w:szCs w:val="20"/>
              </w:rPr>
              <w:t>17 (44.7)</w:t>
            </w:r>
          </w:p>
        </w:tc>
        <w:tc>
          <w:tcPr>
            <w:tcW w:w="0" w:type="auto"/>
            <w:tcBorders>
              <w:top w:val="nil"/>
              <w:left w:val="nil"/>
              <w:bottom w:val="nil"/>
              <w:right w:val="nil"/>
            </w:tcBorders>
            <w:tcMar>
              <w:top w:w="48" w:type="dxa"/>
              <w:left w:w="96" w:type="dxa"/>
              <w:bottom w:w="48" w:type="dxa"/>
              <w:right w:w="96" w:type="dxa"/>
            </w:tcMar>
            <w:hideMark/>
          </w:tcPr>
          <w:p w14:paraId="449EDAFF" w14:textId="77777777" w:rsidR="00E030EF" w:rsidRDefault="00E030EF" w:rsidP="00E030EF">
            <w:pPr>
              <w:spacing w:line="393" w:lineRule="atLeast"/>
              <w:rPr>
                <w:sz w:val="20"/>
                <w:szCs w:val="20"/>
              </w:rPr>
            </w:pPr>
            <w:r>
              <w:rPr>
                <w:sz w:val="20"/>
                <w:szCs w:val="20"/>
              </w:rPr>
              <w:t>4 (10.3)</w:t>
            </w:r>
          </w:p>
        </w:tc>
        <w:tc>
          <w:tcPr>
            <w:tcW w:w="0" w:type="auto"/>
            <w:tcBorders>
              <w:top w:val="nil"/>
              <w:left w:val="nil"/>
              <w:bottom w:val="nil"/>
              <w:right w:val="nil"/>
            </w:tcBorders>
            <w:tcMar>
              <w:top w:w="48" w:type="dxa"/>
              <w:left w:w="96" w:type="dxa"/>
              <w:bottom w:w="48" w:type="dxa"/>
              <w:right w:w="96" w:type="dxa"/>
            </w:tcMar>
            <w:hideMark/>
          </w:tcPr>
          <w:p w14:paraId="1D444EFE" w14:textId="77777777" w:rsidR="00E030EF" w:rsidRDefault="00E030EF" w:rsidP="00E030EF">
            <w:pPr>
              <w:spacing w:line="393" w:lineRule="atLeast"/>
              <w:rPr>
                <w:sz w:val="20"/>
                <w:szCs w:val="20"/>
              </w:rPr>
            </w:pPr>
            <w:r>
              <w:rPr>
                <w:sz w:val="20"/>
                <w:szCs w:val="20"/>
              </w:rPr>
              <w:t>0.0006</w:t>
            </w:r>
          </w:p>
        </w:tc>
        <w:tc>
          <w:tcPr>
            <w:tcW w:w="0" w:type="auto"/>
            <w:tcBorders>
              <w:top w:val="nil"/>
              <w:left w:val="nil"/>
              <w:bottom w:val="nil"/>
              <w:right w:val="nil"/>
            </w:tcBorders>
            <w:tcMar>
              <w:top w:w="48" w:type="dxa"/>
              <w:left w:w="96" w:type="dxa"/>
              <w:bottom w:w="48" w:type="dxa"/>
              <w:right w:w="96" w:type="dxa"/>
            </w:tcMar>
            <w:hideMark/>
          </w:tcPr>
          <w:p w14:paraId="60971E65" w14:textId="77777777" w:rsidR="00E030EF" w:rsidRDefault="00E030EF" w:rsidP="00E030EF">
            <w:pPr>
              <w:spacing w:line="393" w:lineRule="atLeast"/>
              <w:rPr>
                <w:sz w:val="20"/>
                <w:szCs w:val="20"/>
              </w:rPr>
            </w:pPr>
            <w:r>
              <w:rPr>
                <w:sz w:val="20"/>
                <w:szCs w:val="20"/>
              </w:rPr>
              <w:t>0.0003</w:t>
            </w:r>
          </w:p>
        </w:tc>
      </w:tr>
      <w:tr w:rsidR="00E030EF" w14:paraId="707DA8F7" w14:textId="77777777" w:rsidTr="00E030EF">
        <w:tc>
          <w:tcPr>
            <w:tcW w:w="0" w:type="auto"/>
            <w:tcBorders>
              <w:top w:val="nil"/>
              <w:left w:val="nil"/>
              <w:bottom w:val="nil"/>
              <w:right w:val="nil"/>
            </w:tcBorders>
            <w:tcMar>
              <w:top w:w="48" w:type="dxa"/>
              <w:left w:w="96" w:type="dxa"/>
              <w:bottom w:w="48" w:type="dxa"/>
              <w:right w:w="96" w:type="dxa"/>
            </w:tcMar>
            <w:hideMark/>
          </w:tcPr>
          <w:p w14:paraId="65C829D8"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AFA28EC"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A00BD53"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96BFFF5" w14:textId="77777777" w:rsidR="00E030EF" w:rsidRDefault="00E030EF" w:rsidP="00E030EF">
            <w:pPr>
              <w:spacing w:line="393" w:lineRule="atLeast"/>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0F471593" w14:textId="77777777" w:rsidR="00E030EF" w:rsidRDefault="00E030EF" w:rsidP="00E030EF">
            <w:pPr>
              <w:spacing w:line="393" w:lineRule="atLeast"/>
              <w:rPr>
                <w:sz w:val="20"/>
                <w:szCs w:val="20"/>
              </w:rPr>
            </w:pPr>
            <w:r>
              <w:rPr>
                <w:sz w:val="20"/>
                <w:szCs w:val="20"/>
              </w:rPr>
              <w:t>18 (50.0)</w:t>
            </w:r>
          </w:p>
        </w:tc>
        <w:tc>
          <w:tcPr>
            <w:tcW w:w="0" w:type="auto"/>
            <w:tcBorders>
              <w:top w:val="nil"/>
              <w:left w:val="nil"/>
              <w:bottom w:val="nil"/>
              <w:right w:val="nil"/>
            </w:tcBorders>
            <w:tcMar>
              <w:top w:w="48" w:type="dxa"/>
              <w:left w:w="96" w:type="dxa"/>
              <w:bottom w:w="48" w:type="dxa"/>
              <w:right w:w="96" w:type="dxa"/>
            </w:tcMar>
            <w:hideMark/>
          </w:tcPr>
          <w:p w14:paraId="35136B64" w14:textId="77777777" w:rsidR="00E030EF" w:rsidRDefault="00E030EF" w:rsidP="00E030EF">
            <w:pPr>
              <w:spacing w:line="393" w:lineRule="atLeast"/>
              <w:rPr>
                <w:sz w:val="20"/>
                <w:szCs w:val="20"/>
              </w:rPr>
            </w:pPr>
            <w:r>
              <w:rPr>
                <w:sz w:val="20"/>
                <w:szCs w:val="20"/>
              </w:rPr>
              <w:t>24 (61.5)</w:t>
            </w:r>
          </w:p>
        </w:tc>
        <w:tc>
          <w:tcPr>
            <w:tcW w:w="0" w:type="auto"/>
            <w:tcBorders>
              <w:top w:val="nil"/>
              <w:left w:val="nil"/>
              <w:bottom w:val="nil"/>
              <w:right w:val="nil"/>
            </w:tcBorders>
            <w:tcMar>
              <w:top w:w="48" w:type="dxa"/>
              <w:left w:w="96" w:type="dxa"/>
              <w:bottom w:w="48" w:type="dxa"/>
              <w:right w:w="96" w:type="dxa"/>
            </w:tcMar>
            <w:hideMark/>
          </w:tcPr>
          <w:p w14:paraId="450B9DA4"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9AB6CE6" w14:textId="77777777" w:rsidR="00E030EF" w:rsidRDefault="00E030EF" w:rsidP="00E030EF">
            <w:pPr>
              <w:spacing w:line="393" w:lineRule="atLeast"/>
              <w:rPr>
                <w:sz w:val="20"/>
                <w:szCs w:val="20"/>
              </w:rPr>
            </w:pPr>
          </w:p>
        </w:tc>
      </w:tr>
      <w:tr w:rsidR="00E030EF" w14:paraId="658C9FCA" w14:textId="77777777" w:rsidTr="00E030EF">
        <w:tc>
          <w:tcPr>
            <w:tcW w:w="0" w:type="auto"/>
            <w:tcBorders>
              <w:top w:val="nil"/>
              <w:left w:val="nil"/>
              <w:bottom w:val="nil"/>
              <w:right w:val="nil"/>
            </w:tcBorders>
            <w:tcMar>
              <w:top w:w="48" w:type="dxa"/>
              <w:left w:w="96" w:type="dxa"/>
              <w:bottom w:w="48" w:type="dxa"/>
              <w:right w:w="96" w:type="dxa"/>
            </w:tcMar>
            <w:hideMark/>
          </w:tcPr>
          <w:p w14:paraId="1FC7FDC6"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65F5A16"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30FF0EF"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59ACCBA" w14:textId="77777777" w:rsidR="00E030EF" w:rsidRDefault="00E030EF" w:rsidP="00E030EF">
            <w:pPr>
              <w:spacing w:line="393" w:lineRule="atLeast"/>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0EACD57D" w14:textId="77777777" w:rsidR="00E030EF" w:rsidRDefault="00E030EF" w:rsidP="00E030EF">
            <w:pPr>
              <w:spacing w:line="393" w:lineRule="atLeast"/>
              <w:rPr>
                <w:sz w:val="20"/>
                <w:szCs w:val="20"/>
              </w:rPr>
            </w:pPr>
            <w:r>
              <w:rPr>
                <w:sz w:val="20"/>
                <w:szCs w:val="20"/>
              </w:rPr>
              <w:t>2 (5.3)</w:t>
            </w:r>
          </w:p>
        </w:tc>
        <w:tc>
          <w:tcPr>
            <w:tcW w:w="0" w:type="auto"/>
            <w:tcBorders>
              <w:top w:val="nil"/>
              <w:left w:val="nil"/>
              <w:bottom w:val="nil"/>
              <w:right w:val="nil"/>
            </w:tcBorders>
            <w:tcMar>
              <w:top w:w="48" w:type="dxa"/>
              <w:left w:w="96" w:type="dxa"/>
              <w:bottom w:w="48" w:type="dxa"/>
              <w:right w:w="96" w:type="dxa"/>
            </w:tcMar>
            <w:hideMark/>
          </w:tcPr>
          <w:p w14:paraId="1786CEB1" w14:textId="77777777" w:rsidR="00E030EF" w:rsidRDefault="00E030EF" w:rsidP="00E030EF">
            <w:pPr>
              <w:spacing w:line="393" w:lineRule="atLeast"/>
              <w:rPr>
                <w:sz w:val="20"/>
                <w:szCs w:val="20"/>
              </w:rPr>
            </w:pPr>
            <w:r>
              <w:rPr>
                <w:sz w:val="20"/>
                <w:szCs w:val="20"/>
              </w:rPr>
              <w:t>11 (28.2)</w:t>
            </w:r>
          </w:p>
        </w:tc>
        <w:tc>
          <w:tcPr>
            <w:tcW w:w="0" w:type="auto"/>
            <w:tcBorders>
              <w:top w:val="nil"/>
              <w:left w:val="nil"/>
              <w:bottom w:val="nil"/>
              <w:right w:val="nil"/>
            </w:tcBorders>
            <w:tcMar>
              <w:top w:w="48" w:type="dxa"/>
              <w:left w:w="96" w:type="dxa"/>
              <w:bottom w:w="48" w:type="dxa"/>
              <w:right w:w="96" w:type="dxa"/>
            </w:tcMar>
            <w:hideMark/>
          </w:tcPr>
          <w:p w14:paraId="29B40B35"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B1EBEDA" w14:textId="77777777" w:rsidR="00E030EF" w:rsidRDefault="00E030EF" w:rsidP="00E030EF">
            <w:pPr>
              <w:spacing w:line="393" w:lineRule="atLeast"/>
              <w:rPr>
                <w:sz w:val="20"/>
                <w:szCs w:val="20"/>
              </w:rPr>
            </w:pPr>
          </w:p>
        </w:tc>
      </w:tr>
    </w:tbl>
    <w:p w14:paraId="4A97A63B" w14:textId="53963BE4" w:rsidR="00B96BEA" w:rsidRDefault="00B96BEA"/>
    <w:p w14:paraId="4584893F" w14:textId="381533FB" w:rsidR="00E030EF" w:rsidRDefault="00E030EF">
      <w:hyperlink r:id="rId8" w:history="1">
        <w:r w:rsidRPr="00B04702">
          <w:rPr>
            <w:rStyle w:val="Hyperlink"/>
          </w:rPr>
          <w:t>https://www.ncbi.nlm.nih.gov/pmc/articles/PMC4836736/</w:t>
        </w:r>
      </w:hyperlink>
    </w:p>
    <w:p w14:paraId="524537AC" w14:textId="77777777" w:rsidR="00E030EF" w:rsidRDefault="00E030EF"/>
    <w:p w14:paraId="645FAA87" w14:textId="451DEDBD" w:rsidR="00E030EF" w:rsidRDefault="00E030EF"/>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139"/>
        <w:gridCol w:w="1059"/>
        <w:gridCol w:w="1667"/>
        <w:gridCol w:w="1232"/>
        <w:gridCol w:w="1402"/>
        <w:gridCol w:w="1980"/>
        <w:gridCol w:w="881"/>
      </w:tblGrid>
      <w:tr w:rsidR="00E030EF" w14:paraId="37FEACB6" w14:textId="77777777" w:rsidTr="00E030EF">
        <w:tc>
          <w:tcPr>
            <w:tcW w:w="0" w:type="auto"/>
            <w:gridSpan w:val="7"/>
            <w:tcBorders>
              <w:top w:val="nil"/>
              <w:left w:val="nil"/>
              <w:bottom w:val="nil"/>
              <w:right w:val="nil"/>
            </w:tcBorders>
            <w:shd w:val="clear" w:color="auto" w:fill="FFFCF0"/>
            <w:tcMar>
              <w:top w:w="48" w:type="dxa"/>
              <w:left w:w="96" w:type="dxa"/>
              <w:bottom w:w="48" w:type="dxa"/>
              <w:right w:w="96" w:type="dxa"/>
            </w:tcMar>
            <w:hideMark/>
          </w:tcPr>
          <w:p w14:paraId="074D3533" w14:textId="77777777" w:rsidR="00E030EF" w:rsidRDefault="00E030EF" w:rsidP="00E030EF">
            <w:pPr>
              <w:spacing w:line="393" w:lineRule="atLeast"/>
              <w:rPr>
                <w:color w:val="000000"/>
                <w:sz w:val="20"/>
                <w:szCs w:val="20"/>
              </w:rPr>
            </w:pPr>
            <w:r>
              <w:rPr>
                <w:rStyle w:val="Strong"/>
                <w:color w:val="000000"/>
                <w:sz w:val="20"/>
                <w:szCs w:val="20"/>
              </w:rPr>
              <w:t>Genetic Variables Selected</w:t>
            </w:r>
          </w:p>
        </w:tc>
      </w:tr>
      <w:tr w:rsidR="00E030EF" w14:paraId="4E0AEAE2" w14:textId="77777777" w:rsidTr="00E030EF">
        <w:tc>
          <w:tcPr>
            <w:tcW w:w="0" w:type="auto"/>
            <w:tcBorders>
              <w:top w:val="nil"/>
              <w:left w:val="nil"/>
              <w:bottom w:val="nil"/>
              <w:right w:val="nil"/>
            </w:tcBorders>
            <w:shd w:val="clear" w:color="auto" w:fill="FFFCF0"/>
            <w:tcMar>
              <w:top w:w="48" w:type="dxa"/>
              <w:left w:w="96" w:type="dxa"/>
              <w:bottom w:w="48" w:type="dxa"/>
              <w:right w:w="96" w:type="dxa"/>
            </w:tcMar>
            <w:hideMark/>
          </w:tcPr>
          <w:p w14:paraId="40348B06" w14:textId="77777777" w:rsidR="00E030EF" w:rsidRDefault="00E030EF" w:rsidP="00E030EF">
            <w:pPr>
              <w:spacing w:line="393" w:lineRule="atLeast"/>
              <w:rPr>
                <w:color w:val="000000"/>
                <w:sz w:val="20"/>
                <w:szCs w:val="20"/>
              </w:rPr>
            </w:pPr>
            <w:r>
              <w:rPr>
                <w:rStyle w:val="Strong"/>
                <w:color w:val="000000"/>
                <w:sz w:val="20"/>
                <w:szCs w:val="20"/>
              </w:rPr>
              <w:t>Rank Order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AC634E7" w14:textId="77777777" w:rsidR="00E030EF" w:rsidRDefault="00E030EF" w:rsidP="00E030EF">
            <w:pPr>
              <w:spacing w:line="393" w:lineRule="atLeast"/>
              <w:rPr>
                <w:color w:val="000000"/>
                <w:sz w:val="20"/>
                <w:szCs w:val="20"/>
              </w:rPr>
            </w:pPr>
            <w:r>
              <w:rPr>
                <w:rStyle w:val="Strong"/>
                <w:color w:val="000000"/>
                <w:sz w:val="20"/>
                <w:szCs w:val="20"/>
              </w:rPr>
              <w:t>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0E865F2" w14:textId="77777777" w:rsidR="00E030EF" w:rsidRDefault="00E030EF" w:rsidP="00E030EF">
            <w:pPr>
              <w:spacing w:line="393" w:lineRule="atLeast"/>
              <w:jc w:val="center"/>
              <w:rPr>
                <w:color w:val="000000"/>
                <w:sz w:val="20"/>
                <w:szCs w:val="20"/>
              </w:rPr>
            </w:pPr>
            <w:r>
              <w:rPr>
                <w:rStyle w:val="Strong"/>
                <w:color w:val="000000"/>
                <w:sz w:val="20"/>
                <w:szCs w:val="20"/>
              </w:rPr>
              <w:t>Information Gain</w:t>
            </w:r>
            <w:r>
              <w:rPr>
                <w:color w:val="000000"/>
                <w:sz w:val="20"/>
                <w:szCs w:val="20"/>
                <w:vertAlign w:val="superscript"/>
              </w:rPr>
              <w:t>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E9BE18F" w14:textId="77777777" w:rsidR="00E030EF" w:rsidRDefault="00E030EF" w:rsidP="00E030EF">
            <w:pPr>
              <w:spacing w:line="393" w:lineRule="atLeast"/>
              <w:jc w:val="center"/>
              <w:rPr>
                <w:color w:val="000000"/>
                <w:sz w:val="20"/>
                <w:szCs w:val="20"/>
              </w:rPr>
            </w:pPr>
            <w:r>
              <w:rPr>
                <w:rStyle w:val="Strong"/>
                <w:color w:val="000000"/>
                <w:sz w:val="20"/>
                <w:szCs w:val="20"/>
              </w:rPr>
              <w:t>Gene Symbol</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D291353" w14:textId="77777777" w:rsidR="00E030EF" w:rsidRDefault="00E030EF" w:rsidP="00E030EF">
            <w:pPr>
              <w:spacing w:line="393" w:lineRule="atLeast"/>
              <w:jc w:val="center"/>
              <w:rPr>
                <w:color w:val="000000"/>
                <w:sz w:val="20"/>
                <w:szCs w:val="20"/>
              </w:rPr>
            </w:pPr>
            <w:r>
              <w:rPr>
                <w:rStyle w:val="Strong"/>
                <w:color w:val="000000"/>
                <w:sz w:val="20"/>
                <w:szCs w:val="20"/>
              </w:rPr>
              <w:t>Chromosome</w:t>
            </w:r>
            <w:r>
              <w:rPr>
                <w:color w:val="000000"/>
                <w:sz w:val="20"/>
                <w:szCs w:val="20"/>
                <w:vertAlign w:val="superscript"/>
              </w:rPr>
              <w:t>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D731F7" w14:textId="77777777" w:rsidR="00E030EF" w:rsidRDefault="00E030EF" w:rsidP="00E030EF">
            <w:pPr>
              <w:spacing w:line="393" w:lineRule="atLeast"/>
              <w:jc w:val="center"/>
              <w:rPr>
                <w:color w:val="000000"/>
                <w:sz w:val="20"/>
                <w:szCs w:val="20"/>
              </w:rPr>
            </w:pPr>
            <w:r>
              <w:rPr>
                <w:rStyle w:val="Strong"/>
                <w:color w:val="000000"/>
                <w:sz w:val="20"/>
                <w:szCs w:val="20"/>
              </w:rPr>
              <w:t>Chromosome Position</w:t>
            </w:r>
            <w:r>
              <w:rPr>
                <w:color w:val="000000"/>
                <w:sz w:val="20"/>
                <w:szCs w:val="20"/>
                <w:vertAlign w:val="superscript"/>
              </w:rPr>
              <w:t>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A4B044" w14:textId="77777777" w:rsidR="00E030EF" w:rsidRDefault="00E030EF" w:rsidP="00E030EF">
            <w:pPr>
              <w:spacing w:line="393" w:lineRule="atLeast"/>
              <w:jc w:val="center"/>
              <w:rPr>
                <w:color w:val="000000"/>
                <w:sz w:val="20"/>
                <w:szCs w:val="20"/>
              </w:rPr>
            </w:pPr>
            <w:r>
              <w:rPr>
                <w:rStyle w:val="Strong"/>
                <w:color w:val="000000"/>
                <w:sz w:val="20"/>
                <w:szCs w:val="20"/>
              </w:rPr>
              <w:t>p-value</w:t>
            </w:r>
            <w:r>
              <w:rPr>
                <w:color w:val="000000"/>
                <w:sz w:val="20"/>
                <w:szCs w:val="20"/>
                <w:vertAlign w:val="superscript"/>
              </w:rPr>
              <w:t>3</w:t>
            </w:r>
          </w:p>
        </w:tc>
      </w:tr>
      <w:tr w:rsidR="00E030EF" w14:paraId="40196BFD" w14:textId="77777777" w:rsidTr="00E030EF">
        <w:tc>
          <w:tcPr>
            <w:tcW w:w="0" w:type="auto"/>
            <w:tcBorders>
              <w:top w:val="nil"/>
              <w:left w:val="nil"/>
              <w:bottom w:val="nil"/>
              <w:right w:val="nil"/>
            </w:tcBorders>
            <w:shd w:val="clear" w:color="auto" w:fill="FFFCF0"/>
            <w:tcMar>
              <w:top w:w="48" w:type="dxa"/>
              <w:left w:w="96" w:type="dxa"/>
              <w:bottom w:w="48" w:type="dxa"/>
              <w:right w:w="96" w:type="dxa"/>
            </w:tcMar>
            <w:hideMark/>
          </w:tcPr>
          <w:p w14:paraId="13E1B333" w14:textId="77777777" w:rsidR="00E030EF" w:rsidRDefault="00E030EF" w:rsidP="00E030EF">
            <w:pPr>
              <w:spacing w:line="393" w:lineRule="atLeast"/>
              <w:rPr>
                <w:color w:val="000000"/>
                <w:sz w:val="20"/>
                <w:szCs w:val="20"/>
              </w:rPr>
            </w:pPr>
            <w:r>
              <w:rPr>
                <w:rStyle w:val="Strong"/>
                <w:color w:val="000000"/>
                <w:sz w:val="20"/>
                <w:szCs w:val="20"/>
              </w:rPr>
              <w:t>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A46FDC" w14:textId="77777777" w:rsidR="00E030EF" w:rsidRDefault="00E030EF" w:rsidP="00E030EF">
            <w:pPr>
              <w:spacing w:line="393" w:lineRule="atLeast"/>
              <w:rPr>
                <w:color w:val="000000"/>
                <w:sz w:val="20"/>
                <w:szCs w:val="20"/>
              </w:rPr>
            </w:pPr>
            <w:r>
              <w:rPr>
                <w:rStyle w:val="Strong"/>
                <w:color w:val="000000"/>
                <w:sz w:val="20"/>
                <w:szCs w:val="20"/>
              </w:rPr>
              <w:t>rs2247215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643DF0" w14:textId="77777777" w:rsidR="00E030EF" w:rsidRDefault="00E030EF" w:rsidP="00E030EF">
            <w:pPr>
              <w:spacing w:line="393" w:lineRule="atLeast"/>
              <w:jc w:val="center"/>
              <w:rPr>
                <w:color w:val="000000"/>
                <w:sz w:val="20"/>
                <w:szCs w:val="20"/>
              </w:rPr>
            </w:pPr>
            <w:r>
              <w:rPr>
                <w:color w:val="000000"/>
                <w:sz w:val="20"/>
                <w:szCs w:val="20"/>
              </w:rPr>
              <w:t>0.228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7A8F30E" w14:textId="77777777" w:rsidR="00E030EF" w:rsidRDefault="00E030EF" w:rsidP="00E030EF">
            <w:pPr>
              <w:spacing w:line="393" w:lineRule="atLeast"/>
              <w:jc w:val="center"/>
              <w:rPr>
                <w:color w:val="000000"/>
                <w:sz w:val="20"/>
                <w:szCs w:val="20"/>
              </w:rPr>
            </w:pPr>
            <w:r>
              <w:rPr>
                <w:rStyle w:val="Emphasis"/>
                <w:color w:val="000000"/>
                <w:sz w:val="20"/>
                <w:szCs w:val="20"/>
              </w:rPr>
              <w:t>GRIK2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7815C3E" w14:textId="77777777" w:rsidR="00E030EF" w:rsidRDefault="00E030EF" w:rsidP="00E030EF">
            <w:pPr>
              <w:spacing w:line="393" w:lineRule="atLeast"/>
              <w:jc w:val="center"/>
              <w:rPr>
                <w:color w:val="000000"/>
                <w:sz w:val="20"/>
                <w:szCs w:val="20"/>
              </w:rPr>
            </w:pPr>
            <w:r>
              <w:rPr>
                <w:color w:val="000000"/>
                <w:sz w:val="20"/>
                <w:szCs w:val="20"/>
              </w:rPr>
              <w:t>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8BC8F9D" w14:textId="77777777" w:rsidR="00E030EF" w:rsidRDefault="00E030EF" w:rsidP="00E030EF">
            <w:pPr>
              <w:spacing w:line="393" w:lineRule="atLeast"/>
              <w:jc w:val="center"/>
              <w:rPr>
                <w:color w:val="000000"/>
                <w:sz w:val="20"/>
                <w:szCs w:val="20"/>
              </w:rPr>
            </w:pPr>
            <w:r>
              <w:rPr>
                <w:color w:val="000000"/>
                <w:sz w:val="20"/>
                <w:szCs w:val="20"/>
              </w:rPr>
              <w:t>101966354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DE52C0" w14:textId="77777777" w:rsidR="00E030EF" w:rsidRDefault="00E030EF" w:rsidP="00E030EF">
            <w:pPr>
              <w:spacing w:line="393" w:lineRule="atLeast"/>
              <w:jc w:val="center"/>
              <w:rPr>
                <w:color w:val="000000"/>
                <w:sz w:val="20"/>
                <w:szCs w:val="20"/>
              </w:rPr>
            </w:pPr>
            <w:r>
              <w:rPr>
                <w:color w:val="000000"/>
                <w:sz w:val="20"/>
                <w:szCs w:val="20"/>
              </w:rPr>
              <w:t>0.08482</w:t>
            </w:r>
          </w:p>
        </w:tc>
      </w:tr>
    </w:tbl>
    <w:p w14:paraId="28363D55" w14:textId="3E577739" w:rsidR="00E030EF" w:rsidRDefault="00E030EF">
      <w:pPr>
        <w:rPr>
          <w:color w:val="000000"/>
          <w:shd w:val="clear" w:color="auto" w:fill="FFFFFF"/>
        </w:rPr>
      </w:pPr>
      <w:r>
        <w:rPr>
          <w:color w:val="000000"/>
          <w:shd w:val="clear" w:color="auto" w:fill="FFFFFF"/>
        </w:rPr>
        <w:t>As observed, six of the nine variables were genetic, including rs2247215 (</w:t>
      </w:r>
      <w:r>
        <w:rPr>
          <w:rStyle w:val="Emphasis"/>
          <w:color w:val="000000"/>
          <w:shd w:val="clear" w:color="auto" w:fill="FFFFFF"/>
        </w:rPr>
        <w:t>GRIK2</w:t>
      </w:r>
      <w:r>
        <w:rPr>
          <w:color w:val="000000"/>
          <w:shd w:val="clear" w:color="auto" w:fill="FFFFFF"/>
        </w:rPr>
        <w:t>), rs4887348 (</w:t>
      </w:r>
      <w:r>
        <w:rPr>
          <w:rStyle w:val="Emphasis"/>
          <w:color w:val="000000"/>
          <w:shd w:val="clear" w:color="auto" w:fill="FFFFFF"/>
        </w:rPr>
        <w:t>NTRK3</w:t>
      </w:r>
      <w:r>
        <w:rPr>
          <w:color w:val="000000"/>
          <w:shd w:val="clear" w:color="auto" w:fill="FFFFFF"/>
        </w:rPr>
        <w:t>), rs11583978 (</w:t>
      </w:r>
      <w:r>
        <w:rPr>
          <w:rStyle w:val="Emphasis"/>
          <w:color w:val="000000"/>
          <w:shd w:val="clear" w:color="auto" w:fill="FFFFFF"/>
        </w:rPr>
        <w:t>DLGAP3</w:t>
      </w:r>
      <w:r>
        <w:rPr>
          <w:color w:val="000000"/>
          <w:shd w:val="clear" w:color="auto" w:fill="FFFFFF"/>
        </w:rPr>
        <w:t>), rs7858819 (</w:t>
      </w:r>
      <w:r>
        <w:rPr>
          <w:rStyle w:val="Emphasis"/>
          <w:color w:val="000000"/>
          <w:shd w:val="clear" w:color="auto" w:fill="FFFFFF"/>
        </w:rPr>
        <w:t>SLC1A1</w:t>
      </w:r>
      <w:r>
        <w:rPr>
          <w:color w:val="000000"/>
          <w:shd w:val="clear" w:color="auto" w:fill="FFFFFF"/>
        </w:rPr>
        <w:t>), rs27072 (</w:t>
      </w:r>
      <w:r>
        <w:rPr>
          <w:rStyle w:val="Emphasis"/>
          <w:color w:val="000000"/>
          <w:shd w:val="clear" w:color="auto" w:fill="FFFFFF"/>
        </w:rPr>
        <w:t>SLC6A3</w:t>
      </w:r>
      <w:r>
        <w:rPr>
          <w:color w:val="000000"/>
          <w:shd w:val="clear" w:color="auto" w:fill="FFFFFF"/>
        </w:rPr>
        <w:t>) and rs548294 (</w:t>
      </w:r>
      <w:r>
        <w:rPr>
          <w:rStyle w:val="Emphasis"/>
          <w:color w:val="000000"/>
          <w:shd w:val="clear" w:color="auto" w:fill="FFFFFF"/>
        </w:rPr>
        <w:t>GRIA1</w:t>
      </w:r>
      <w:r>
        <w:rPr>
          <w:color w:val="000000"/>
          <w:shd w:val="clear" w:color="auto" w:fill="FFFFFF"/>
        </w:rPr>
        <w:t xml:space="preserve">). Three non-genetic variables from the neuropsychological dataset </w:t>
      </w:r>
      <w:proofErr w:type="gramStart"/>
      <w:r>
        <w:rPr>
          <w:color w:val="000000"/>
          <w:shd w:val="clear" w:color="auto" w:fill="FFFFFF"/>
        </w:rPr>
        <w:t>were included</w:t>
      </w:r>
      <w:proofErr w:type="gramEnd"/>
      <w:r>
        <w:rPr>
          <w:color w:val="000000"/>
          <w:shd w:val="clear" w:color="auto" w:fill="FFFFFF"/>
        </w:rPr>
        <w:t xml:space="preserve"> in the model. These variables were related to the following domains: visuospatial ability (</w:t>
      </w:r>
      <w:proofErr w:type="spellStart"/>
      <w:r>
        <w:rPr>
          <w:color w:val="000000"/>
          <w:shd w:val="clear" w:color="auto" w:fill="FFFFFF"/>
        </w:rPr>
        <w:t>WISC_Block</w:t>
      </w:r>
      <w:proofErr w:type="spellEnd"/>
      <w:r>
        <w:rPr>
          <w:color w:val="000000"/>
          <w:shd w:val="clear" w:color="auto" w:fill="FFFFFF"/>
        </w:rPr>
        <w:t>, Wechsler Intelligence Scale for Children IV Block design), non-verbal memory (</w:t>
      </w:r>
      <w:proofErr w:type="spellStart"/>
      <w:r>
        <w:rPr>
          <w:color w:val="000000"/>
          <w:shd w:val="clear" w:color="auto" w:fill="FFFFFF"/>
        </w:rPr>
        <w:t>RCFT_immediate</w:t>
      </w:r>
      <w:proofErr w:type="spellEnd"/>
      <w:r>
        <w:rPr>
          <w:color w:val="000000"/>
          <w:shd w:val="clear" w:color="auto" w:fill="FFFFFF"/>
        </w:rPr>
        <w:t>, Rey Complex Figure Test Immediate Recall) and working memory (</w:t>
      </w:r>
      <w:proofErr w:type="spellStart"/>
      <w:r>
        <w:rPr>
          <w:color w:val="000000"/>
          <w:shd w:val="clear" w:color="auto" w:fill="FFFFFF"/>
        </w:rPr>
        <w:t>WISC_Digit</w:t>
      </w:r>
      <w:proofErr w:type="spellEnd"/>
      <w:r>
        <w:rPr>
          <w:color w:val="000000"/>
          <w:shd w:val="clear" w:color="auto" w:fill="FFFFFF"/>
        </w:rPr>
        <w:t xml:space="preserve">, Wechsler Intelligence Scale for Children IV Digit Span). Finally, none of the variables from the neuroimaging datasets (MRI and DTI) exceeded the information gain threshold and so none </w:t>
      </w:r>
      <w:proofErr w:type="gramStart"/>
      <w:r>
        <w:rPr>
          <w:color w:val="000000"/>
          <w:shd w:val="clear" w:color="auto" w:fill="FFFFFF"/>
        </w:rPr>
        <w:t>were included</w:t>
      </w:r>
      <w:proofErr w:type="gramEnd"/>
      <w:r>
        <w:rPr>
          <w:color w:val="000000"/>
          <w:shd w:val="clear" w:color="auto" w:fill="FFFFFF"/>
        </w:rPr>
        <w:t xml:space="preserve"> in the model.</w:t>
      </w:r>
    </w:p>
    <w:p w14:paraId="3C859E1F" w14:textId="6D0FF1FC" w:rsidR="00E030EF" w:rsidRDefault="00E030EF"/>
    <w:p w14:paraId="17C351E0" w14:textId="1120765B" w:rsidR="00E030EF" w:rsidRDefault="00E030EF">
      <w:r>
        <w:rPr>
          <w:color w:val="000000"/>
          <w:shd w:val="clear" w:color="auto" w:fill="FFFFFF"/>
        </w:rPr>
        <w:t xml:space="preserve">Nine variables </w:t>
      </w:r>
      <w:proofErr w:type="gramStart"/>
      <w:r>
        <w:rPr>
          <w:color w:val="000000"/>
          <w:shd w:val="clear" w:color="auto" w:fill="FFFFFF"/>
        </w:rPr>
        <w:t>were used</w:t>
      </w:r>
      <w:proofErr w:type="gramEnd"/>
      <w:r>
        <w:rPr>
          <w:color w:val="000000"/>
          <w:shd w:val="clear" w:color="auto" w:fill="FFFFFF"/>
        </w:rPr>
        <w:t xml:space="preserve"> for the creation of the OCD severity predictor, including six genetic polymorphisms and three variables from the neuropsychological data. The developed model classified child and adolescent patients with OCD by disease severity with an accuracy of 0.90 in the testing set and 0.70 in the validation sample. Above its clinical applicability, the combination of </w:t>
      </w:r>
      <w:proofErr w:type="gramStart"/>
      <w:r>
        <w:rPr>
          <w:color w:val="000000"/>
          <w:shd w:val="clear" w:color="auto" w:fill="FFFFFF"/>
        </w:rPr>
        <w:t>particular neuropsychological</w:t>
      </w:r>
      <w:proofErr w:type="gramEnd"/>
      <w:r>
        <w:rPr>
          <w:color w:val="000000"/>
          <w:shd w:val="clear" w:color="auto" w:fill="FFFFFF"/>
        </w:rPr>
        <w:t>, neuroimaging, and genetic characteristics could enhance our understanding of the neurobiological basis of the disorder.</w:t>
      </w:r>
    </w:p>
    <w:p w14:paraId="6D5AF269" w14:textId="381BFCDE" w:rsidR="00E030EF" w:rsidRDefault="00E030EF"/>
    <w:p w14:paraId="24C0AE89" w14:textId="0EF4881A" w:rsidR="00E030EF" w:rsidRDefault="00E030EF"/>
    <w:p w14:paraId="5616081D" w14:textId="1C8635F6" w:rsidR="00E030EF" w:rsidRDefault="004621E7">
      <w:hyperlink r:id="rId9" w:history="1">
        <w:r w:rsidRPr="00B04702">
          <w:rPr>
            <w:rStyle w:val="Hyperlink"/>
          </w:rPr>
          <w:t>https://www.ncbi.nlm.nih.gov/gene/2898</w:t>
        </w:r>
      </w:hyperlink>
    </w:p>
    <w:p w14:paraId="09BB01CA" w14:textId="27033595" w:rsidR="004621E7" w:rsidRDefault="004621E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glutamate ionotropic receptor </w:t>
      </w:r>
      <w:proofErr w:type="spellStart"/>
      <w:r>
        <w:rPr>
          <w:rFonts w:ascii="Arial" w:hAnsi="Arial" w:cs="Arial"/>
          <w:color w:val="000000"/>
          <w:sz w:val="20"/>
          <w:szCs w:val="20"/>
          <w:shd w:val="clear" w:color="auto" w:fill="FFFFFF"/>
        </w:rPr>
        <w:t>kainate</w:t>
      </w:r>
      <w:proofErr w:type="spellEnd"/>
      <w:r>
        <w:rPr>
          <w:rFonts w:ascii="Arial" w:hAnsi="Arial" w:cs="Arial"/>
          <w:color w:val="000000"/>
          <w:sz w:val="20"/>
          <w:szCs w:val="20"/>
          <w:shd w:val="clear" w:color="auto" w:fill="FFFFFF"/>
        </w:rPr>
        <w:t xml:space="preserve"> type subunit 2</w:t>
      </w:r>
    </w:p>
    <w:p w14:paraId="412B4EE6" w14:textId="70E77CCA" w:rsidR="004621E7" w:rsidRDefault="004621E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Glutamate receptors are the predominant excitatory neurotransmitter receptors in the mammalian brain and </w:t>
      </w:r>
      <w:proofErr w:type="gramStart"/>
      <w:r>
        <w:rPr>
          <w:rFonts w:ascii="Arial" w:hAnsi="Arial" w:cs="Arial"/>
          <w:color w:val="000000"/>
          <w:sz w:val="20"/>
          <w:szCs w:val="20"/>
          <w:shd w:val="clear" w:color="auto" w:fill="FFFFFF"/>
        </w:rPr>
        <w:t>are activated</w:t>
      </w:r>
      <w:proofErr w:type="gramEnd"/>
      <w:r>
        <w:rPr>
          <w:rFonts w:ascii="Arial" w:hAnsi="Arial" w:cs="Arial"/>
          <w:color w:val="000000"/>
          <w:sz w:val="20"/>
          <w:szCs w:val="20"/>
          <w:shd w:val="clear" w:color="auto" w:fill="FFFFFF"/>
        </w:rPr>
        <w:t xml:space="preserve"> in a variety of normal neurophysiologic processes. This gene product belongs to the </w:t>
      </w:r>
      <w:proofErr w:type="spellStart"/>
      <w:r>
        <w:rPr>
          <w:rFonts w:ascii="Arial" w:hAnsi="Arial" w:cs="Arial"/>
          <w:color w:val="000000"/>
          <w:sz w:val="20"/>
          <w:szCs w:val="20"/>
          <w:shd w:val="clear" w:color="auto" w:fill="FFFFFF"/>
        </w:rPr>
        <w:t>kainate</w:t>
      </w:r>
      <w:proofErr w:type="spellEnd"/>
      <w:r>
        <w:rPr>
          <w:rFonts w:ascii="Arial" w:hAnsi="Arial" w:cs="Arial"/>
          <w:color w:val="000000"/>
          <w:sz w:val="20"/>
          <w:szCs w:val="20"/>
          <w:shd w:val="clear" w:color="auto" w:fill="FFFFFF"/>
        </w:rPr>
        <w:t xml:space="preserve"> family of glutamate receptors, which are composed of four subunits and function as ligand-activated ion channels. The subunit encoded by this gene is subject to RNA editing at multiple sites within the first and second transmembrane domains, which </w:t>
      </w:r>
      <w:proofErr w:type="gramStart"/>
      <w:r>
        <w:rPr>
          <w:rFonts w:ascii="Arial" w:hAnsi="Arial" w:cs="Arial"/>
          <w:color w:val="000000"/>
          <w:sz w:val="20"/>
          <w:szCs w:val="20"/>
          <w:shd w:val="clear" w:color="auto" w:fill="FFFFFF"/>
        </w:rPr>
        <w:t>is thought</w:t>
      </w:r>
      <w:proofErr w:type="gramEnd"/>
      <w:r>
        <w:rPr>
          <w:rFonts w:ascii="Arial" w:hAnsi="Arial" w:cs="Arial"/>
          <w:color w:val="000000"/>
          <w:sz w:val="20"/>
          <w:szCs w:val="20"/>
          <w:shd w:val="clear" w:color="auto" w:fill="FFFFFF"/>
        </w:rPr>
        <w:t xml:space="preserve"> to alter the structure and function of the receptor complex. </w:t>
      </w:r>
      <w:proofErr w:type="gramStart"/>
      <w:r>
        <w:rPr>
          <w:rFonts w:ascii="Arial" w:hAnsi="Arial" w:cs="Arial"/>
          <w:color w:val="000000"/>
          <w:sz w:val="20"/>
          <w:szCs w:val="20"/>
          <w:shd w:val="clear" w:color="auto" w:fill="FFFFFF"/>
        </w:rPr>
        <w:t>Alternatively</w:t>
      </w:r>
      <w:proofErr w:type="gramEnd"/>
      <w:r>
        <w:rPr>
          <w:rFonts w:ascii="Arial" w:hAnsi="Arial" w:cs="Arial"/>
          <w:color w:val="000000"/>
          <w:sz w:val="20"/>
          <w:szCs w:val="20"/>
          <w:shd w:val="clear" w:color="auto" w:fill="FFFFFF"/>
        </w:rPr>
        <w:t xml:space="preserve"> spliced transcript variants encoding different isoforms have also been described for this gene. Mutations in this gene have been associated with autosomal recessive cognitive disability. [provided by </w:t>
      </w:r>
      <w:proofErr w:type="spellStart"/>
      <w:r>
        <w:rPr>
          <w:rFonts w:ascii="Arial" w:hAnsi="Arial" w:cs="Arial"/>
          <w:color w:val="000000"/>
          <w:sz w:val="20"/>
          <w:szCs w:val="20"/>
          <w:shd w:val="clear" w:color="auto" w:fill="FFFFFF"/>
        </w:rPr>
        <w:t>RefSeq</w:t>
      </w:r>
      <w:proofErr w:type="spellEnd"/>
      <w:r>
        <w:rPr>
          <w:rFonts w:ascii="Arial" w:hAnsi="Arial" w:cs="Arial"/>
          <w:color w:val="000000"/>
          <w:sz w:val="20"/>
          <w:szCs w:val="20"/>
          <w:shd w:val="clear" w:color="auto" w:fill="FFFFFF"/>
        </w:rPr>
        <w:t>, Jul 2008]</w:t>
      </w:r>
    </w:p>
    <w:p w14:paraId="7BAB522E" w14:textId="767CB834" w:rsidR="004621E7" w:rsidRDefault="004621E7"/>
    <w:p w14:paraId="29B388B8" w14:textId="4917BBA4" w:rsidR="004621E7" w:rsidRDefault="004621E7">
      <w:hyperlink r:id="rId10" w:history="1">
        <w:r w:rsidRPr="00B04702">
          <w:rPr>
            <w:rStyle w:val="Hyperlink"/>
          </w:rPr>
          <w:t>http://www.uniprot.org/uniprot/Q13002</w:t>
        </w:r>
      </w:hyperlink>
    </w:p>
    <w:p w14:paraId="485CB28F" w14:textId="77777777" w:rsidR="004621E7" w:rsidRDefault="004621E7"/>
    <w:p w14:paraId="39619913" w14:textId="2E866DCD" w:rsidR="004621E7" w:rsidRDefault="004621E7">
      <w:pPr>
        <w:rPr>
          <w:rStyle w:val="attributionheader"/>
          <w:rFonts w:ascii="Verdana" w:hAnsi="Verdana"/>
          <w:color w:val="222222"/>
          <w:sz w:val="18"/>
          <w:szCs w:val="18"/>
          <w:bdr w:val="none" w:sz="0" w:space="0" w:color="auto" w:frame="1"/>
          <w:shd w:val="clear" w:color="auto" w:fill="FBEFB6"/>
        </w:rPr>
      </w:pPr>
      <w:r>
        <w:rPr>
          <w:rFonts w:ascii="Verdana" w:hAnsi="Verdana"/>
          <w:color w:val="222222"/>
          <w:sz w:val="20"/>
          <w:szCs w:val="20"/>
        </w:rPr>
        <w:t>Ionotropic glutamate receptor. L-glutamate acts as an excitatory neurotransmitter at many synapses in the central nervous system. Binding of the excitatory neurotransmitter L-glutamate induces a conformation change, leading to the opening of the cation channel, and thereby converts the chemical signal to an electrical impulse. The receptor then desensitizes rapidly and enters a transient inactive state, characterized by the presence of bound agonist (PubMed:</w:t>
      </w:r>
      <w:hyperlink r:id="rId11" w:history="1">
        <w:r>
          <w:rPr>
            <w:rStyle w:val="Hyperlink"/>
            <w:rFonts w:ascii="Verdana" w:hAnsi="Verdana"/>
            <w:color w:val="00709B"/>
            <w:sz w:val="20"/>
            <w:szCs w:val="20"/>
          </w:rPr>
          <w:t>28180184</w:t>
        </w:r>
      </w:hyperlink>
      <w:r>
        <w:rPr>
          <w:rFonts w:ascii="Verdana" w:hAnsi="Verdana"/>
          <w:color w:val="222222"/>
          <w:sz w:val="20"/>
          <w:szCs w:val="20"/>
        </w:rPr>
        <w:t xml:space="preserve">). May be involved in the transmission of light information from the </w:t>
      </w:r>
      <w:r>
        <w:rPr>
          <w:rFonts w:ascii="Verdana" w:hAnsi="Verdana"/>
          <w:color w:val="222222"/>
          <w:sz w:val="20"/>
          <w:szCs w:val="20"/>
        </w:rPr>
        <w:lastRenderedPageBreak/>
        <w:t>retina to the hypothalamus. Modulates cell surface expression of NETO2 (By similarity</w:t>
      </w:r>
      <w:proofErr w:type="gramStart"/>
      <w:r>
        <w:rPr>
          <w:rFonts w:ascii="Verdana" w:hAnsi="Verdana"/>
          <w:color w:val="222222"/>
          <w:sz w:val="20"/>
          <w:szCs w:val="20"/>
        </w:rPr>
        <w:t>).</w:t>
      </w:r>
      <w:r>
        <w:rPr>
          <w:rStyle w:val="attributionheader"/>
          <w:rFonts w:ascii="Verdana" w:hAnsi="Verdana"/>
          <w:color w:val="222222"/>
          <w:sz w:val="18"/>
          <w:szCs w:val="18"/>
          <w:bdr w:val="none" w:sz="0" w:space="0" w:color="auto" w:frame="1"/>
          <w:shd w:val="clear" w:color="auto" w:fill="FBEFB6"/>
        </w:rPr>
        <w:t>By</w:t>
      </w:r>
      <w:proofErr w:type="gramEnd"/>
      <w:r>
        <w:rPr>
          <w:rStyle w:val="attributionheader"/>
          <w:rFonts w:ascii="Verdana" w:hAnsi="Verdana"/>
          <w:color w:val="222222"/>
          <w:sz w:val="18"/>
          <w:szCs w:val="18"/>
          <w:bdr w:val="none" w:sz="0" w:space="0" w:color="auto" w:frame="1"/>
          <w:shd w:val="clear" w:color="auto" w:fill="FBEFB6"/>
        </w:rPr>
        <w:t xml:space="preserve"> similarity1 Publication</w:t>
      </w:r>
    </w:p>
    <w:p w14:paraId="762F2889" w14:textId="0A331286" w:rsidR="004621E7" w:rsidRDefault="004621E7"/>
    <w:p w14:paraId="743C0799" w14:textId="77777777" w:rsidR="004621E7" w:rsidRDefault="004621E7" w:rsidP="004621E7">
      <w:pPr>
        <w:numPr>
          <w:ilvl w:val="0"/>
          <w:numId w:val="1"/>
        </w:numPr>
        <w:spacing w:before="100" w:beforeAutospacing="1" w:afterAutospacing="1"/>
        <w:ind w:left="480" w:firstLine="0"/>
        <w:rPr>
          <w:rFonts w:ascii="Verdana" w:hAnsi="Verdana"/>
          <w:color w:val="222222"/>
          <w:sz w:val="20"/>
          <w:szCs w:val="20"/>
        </w:rPr>
      </w:pPr>
      <w:hyperlink r:id="rId12" w:history="1">
        <w:r>
          <w:rPr>
            <w:rStyle w:val="Hyperlink"/>
            <w:rFonts w:ascii="Verdana" w:hAnsi="Verdana"/>
            <w:color w:val="00709B"/>
            <w:sz w:val="20"/>
            <w:szCs w:val="20"/>
          </w:rPr>
          <w:t>extracellularly glutamate-gated ion channel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3DFC7A6F" w14:textId="77777777" w:rsidR="004621E7" w:rsidRDefault="004621E7" w:rsidP="004621E7">
      <w:pPr>
        <w:numPr>
          <w:ilvl w:val="0"/>
          <w:numId w:val="1"/>
        </w:numPr>
        <w:spacing w:before="100" w:beforeAutospacing="1" w:afterAutospacing="1"/>
        <w:ind w:left="480" w:firstLine="0"/>
        <w:rPr>
          <w:rFonts w:ascii="Verdana" w:hAnsi="Verdana"/>
          <w:color w:val="222222"/>
          <w:sz w:val="20"/>
          <w:szCs w:val="20"/>
        </w:rPr>
      </w:pPr>
      <w:hyperlink r:id="rId13" w:history="1">
        <w:proofErr w:type="spellStart"/>
        <w:r>
          <w:rPr>
            <w:rStyle w:val="Hyperlink"/>
            <w:rFonts w:ascii="Verdana" w:hAnsi="Verdana"/>
            <w:color w:val="00709B"/>
            <w:sz w:val="20"/>
            <w:szCs w:val="20"/>
          </w:rPr>
          <w:t>kainate</w:t>
        </w:r>
        <w:proofErr w:type="spellEnd"/>
        <w:r>
          <w:rPr>
            <w:rStyle w:val="Hyperlink"/>
            <w:rFonts w:ascii="Verdana" w:hAnsi="Verdana"/>
            <w:color w:val="00709B"/>
            <w:sz w:val="20"/>
            <w:szCs w:val="20"/>
          </w:rPr>
          <w:t xml:space="preserve"> selective glutamate receptor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9F1C5EC" w14:textId="77777777" w:rsidR="004621E7" w:rsidRDefault="004621E7" w:rsidP="004621E7">
      <w:pPr>
        <w:numPr>
          <w:ilvl w:val="0"/>
          <w:numId w:val="1"/>
        </w:numPr>
        <w:spacing w:before="100" w:beforeAutospacing="1" w:afterAutospacing="1"/>
        <w:ind w:left="480" w:firstLine="0"/>
        <w:rPr>
          <w:rFonts w:ascii="Verdana" w:hAnsi="Verdana"/>
          <w:color w:val="222222"/>
          <w:sz w:val="20"/>
          <w:szCs w:val="20"/>
        </w:rPr>
      </w:pPr>
      <w:hyperlink r:id="rId14" w:history="1">
        <w:r>
          <w:rPr>
            <w:rStyle w:val="Hyperlink"/>
            <w:rFonts w:ascii="Verdana" w:hAnsi="Verdana"/>
            <w:color w:val="00709B"/>
            <w:sz w:val="20"/>
            <w:szCs w:val="20"/>
          </w:rPr>
          <w:t>ligand-gated ion channel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6B42C127" w14:textId="77777777" w:rsidR="004621E7" w:rsidRDefault="004621E7" w:rsidP="004621E7">
      <w:pPr>
        <w:numPr>
          <w:ilvl w:val="0"/>
          <w:numId w:val="1"/>
        </w:numPr>
        <w:spacing w:before="100" w:beforeAutospacing="1" w:afterAutospacing="1"/>
        <w:ind w:left="480" w:firstLine="0"/>
        <w:rPr>
          <w:rFonts w:ascii="Verdana" w:hAnsi="Verdana"/>
          <w:color w:val="222222"/>
          <w:sz w:val="20"/>
          <w:szCs w:val="20"/>
        </w:rPr>
      </w:pPr>
      <w:hyperlink r:id="rId15" w:history="1">
        <w:r>
          <w:rPr>
            <w:rStyle w:val="Hyperlink"/>
            <w:rFonts w:ascii="Verdana" w:hAnsi="Verdana"/>
            <w:color w:val="00709B"/>
            <w:sz w:val="20"/>
            <w:szCs w:val="20"/>
          </w:rPr>
          <w:t>PDZ domain binding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7AF8EDE0" w14:textId="77777777" w:rsidR="004621E7" w:rsidRDefault="004621E7" w:rsidP="004621E7">
      <w:pPr>
        <w:numPr>
          <w:ilvl w:val="0"/>
          <w:numId w:val="1"/>
        </w:numPr>
        <w:spacing w:before="100" w:beforeAutospacing="1" w:afterAutospacing="1"/>
        <w:ind w:left="480" w:firstLine="0"/>
        <w:rPr>
          <w:rFonts w:ascii="Verdana" w:hAnsi="Verdana"/>
          <w:color w:val="222222"/>
          <w:sz w:val="20"/>
          <w:szCs w:val="20"/>
        </w:rPr>
      </w:pPr>
      <w:hyperlink r:id="rId16" w:history="1">
        <w:r>
          <w:rPr>
            <w:rStyle w:val="Hyperlink"/>
            <w:rFonts w:ascii="Verdana" w:hAnsi="Verdana"/>
            <w:color w:val="00709B"/>
            <w:sz w:val="20"/>
            <w:szCs w:val="20"/>
          </w:rPr>
          <w:t>protein homodimerization activity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3ACA9C31" w14:textId="77777777" w:rsidR="004621E7" w:rsidRDefault="004621E7" w:rsidP="004621E7">
      <w:pPr>
        <w:numPr>
          <w:ilvl w:val="0"/>
          <w:numId w:val="1"/>
        </w:numPr>
        <w:spacing w:before="100" w:beforeAutospacing="1" w:afterAutospacing="1"/>
        <w:ind w:left="480" w:firstLine="0"/>
        <w:rPr>
          <w:rFonts w:ascii="Verdana" w:hAnsi="Verdana"/>
          <w:color w:val="222222"/>
          <w:sz w:val="20"/>
          <w:szCs w:val="20"/>
        </w:rPr>
      </w:pPr>
      <w:hyperlink r:id="rId17" w:history="1">
        <w:r>
          <w:rPr>
            <w:rStyle w:val="Hyperlink"/>
            <w:rFonts w:ascii="Verdana" w:hAnsi="Verdana"/>
            <w:color w:val="00709B"/>
            <w:sz w:val="20"/>
            <w:szCs w:val="20"/>
          </w:rPr>
          <w:t>ubiquitin conjugating enzyme binding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9D6DA59" w14:textId="77777777" w:rsidR="004621E7" w:rsidRDefault="004621E7" w:rsidP="004621E7">
      <w:pPr>
        <w:numPr>
          <w:ilvl w:val="0"/>
          <w:numId w:val="1"/>
        </w:numPr>
        <w:spacing w:before="100" w:beforeAutospacing="1" w:afterAutospacing="1"/>
        <w:ind w:left="480" w:firstLine="0"/>
        <w:rPr>
          <w:rFonts w:ascii="Verdana" w:hAnsi="Verdana"/>
          <w:color w:val="222222"/>
          <w:sz w:val="20"/>
          <w:szCs w:val="20"/>
        </w:rPr>
      </w:pPr>
      <w:hyperlink r:id="rId18" w:history="1">
        <w:r>
          <w:rPr>
            <w:rStyle w:val="Hyperlink"/>
            <w:rFonts w:ascii="Verdana" w:hAnsi="Verdana"/>
            <w:color w:val="00709B"/>
            <w:sz w:val="20"/>
            <w:szCs w:val="20"/>
          </w:rPr>
          <w:t>ubiquitin protein ligase binding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128333F2" w14:textId="77777777" w:rsidR="004621E7" w:rsidRDefault="004621E7" w:rsidP="004621E7">
      <w:pPr>
        <w:rPr>
          <w:rFonts w:ascii="Verdana" w:hAnsi="Verdana"/>
          <w:color w:val="222222"/>
          <w:sz w:val="20"/>
          <w:szCs w:val="20"/>
        </w:rPr>
      </w:pPr>
      <w:hyperlink r:id="rId19"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4E6C7373" w14:textId="77777777" w:rsidR="004621E7" w:rsidRDefault="004621E7" w:rsidP="004621E7">
      <w:pPr>
        <w:pStyle w:val="Heading4"/>
        <w:spacing w:before="0" w:beforeAutospacing="0" w:after="0" w:afterAutospacing="0"/>
        <w:rPr>
          <w:rFonts w:ascii="Helvetica" w:hAnsi="Helvetica"/>
          <w:color w:val="4D4D4D"/>
          <w:sz w:val="23"/>
          <w:szCs w:val="23"/>
        </w:rPr>
      </w:pPr>
      <w:r>
        <w:rPr>
          <w:rStyle w:val="context-help"/>
          <w:rFonts w:ascii="Helvetica" w:eastAsiaTheme="majorEastAsia" w:hAnsi="Helvetica"/>
          <w:color w:val="4D4D4D"/>
          <w:sz w:val="23"/>
          <w:szCs w:val="23"/>
        </w:rPr>
        <w:t xml:space="preserve">GO - Biological </w:t>
      </w:r>
      <w:proofErr w:type="spellStart"/>
      <w:r>
        <w:rPr>
          <w:rStyle w:val="context-help"/>
          <w:rFonts w:ascii="Helvetica" w:eastAsiaTheme="majorEastAsia" w:hAnsi="Helvetica"/>
          <w:color w:val="4D4D4D"/>
          <w:sz w:val="23"/>
          <w:szCs w:val="23"/>
        </w:rPr>
        <w:t>process</w:t>
      </w:r>
      <w:r>
        <w:rPr>
          <w:rStyle w:val="context-help"/>
          <w:rFonts w:ascii="Garamond" w:eastAsiaTheme="majorEastAsia" w:hAnsi="Garamond"/>
          <w:b w:val="0"/>
          <w:bCs w:val="0"/>
          <w:color w:val="4D4D4D"/>
          <w:sz w:val="18"/>
          <w:szCs w:val="18"/>
          <w:vertAlign w:val="superscript"/>
        </w:rPr>
        <w:t>i</w:t>
      </w:r>
      <w:proofErr w:type="spellEnd"/>
    </w:p>
    <w:p w14:paraId="3195E6E2"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20" w:history="1">
        <w:r>
          <w:rPr>
            <w:rStyle w:val="Hyperlink"/>
            <w:rFonts w:ascii="Verdana" w:hAnsi="Verdana"/>
            <w:color w:val="00709B"/>
            <w:sz w:val="20"/>
            <w:szCs w:val="20"/>
          </w:rPr>
          <w:t>behavioral fear response</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5EC7395A"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21" w:history="1">
        <w:r>
          <w:rPr>
            <w:rStyle w:val="Hyperlink"/>
            <w:rFonts w:ascii="Verdana" w:hAnsi="Verdana"/>
            <w:color w:val="00709B"/>
            <w:sz w:val="20"/>
            <w:szCs w:val="20"/>
          </w:rPr>
          <w:t>cellular calcium ion homeostasis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1BF015F4"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22" w:history="1">
        <w:r>
          <w:rPr>
            <w:rStyle w:val="Hyperlink"/>
            <w:rFonts w:ascii="Verdana" w:hAnsi="Verdana"/>
            <w:color w:val="00709B"/>
            <w:sz w:val="20"/>
            <w:szCs w:val="20"/>
          </w:rPr>
          <w:t>chemical synaptic transmission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6486E677"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23" w:history="1">
        <w:r>
          <w:rPr>
            <w:rStyle w:val="Hyperlink"/>
            <w:rFonts w:ascii="Verdana" w:hAnsi="Verdana"/>
            <w:color w:val="00709B"/>
            <w:sz w:val="20"/>
            <w:szCs w:val="20"/>
          </w:rPr>
          <w:t>glutamate receptor signaling pathway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26443F3F"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24" w:history="1">
        <w:r>
          <w:rPr>
            <w:rStyle w:val="Hyperlink"/>
            <w:rFonts w:ascii="Verdana" w:hAnsi="Verdana"/>
            <w:color w:val="00709B"/>
            <w:sz w:val="20"/>
            <w:szCs w:val="20"/>
          </w:rPr>
          <w:t>inhibitory postsynaptic potential</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33B0976"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25" w:history="1">
        <w:r>
          <w:rPr>
            <w:rStyle w:val="Hyperlink"/>
            <w:rFonts w:ascii="Verdana" w:hAnsi="Verdana"/>
            <w:color w:val="00709B"/>
            <w:sz w:val="20"/>
            <w:szCs w:val="20"/>
          </w:rPr>
          <w:t>intracellular protein transport</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AE6C8D6"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26" w:history="1">
        <w:r>
          <w:rPr>
            <w:rStyle w:val="Hyperlink"/>
            <w:rFonts w:ascii="Verdana" w:hAnsi="Verdana"/>
            <w:color w:val="00709B"/>
            <w:sz w:val="20"/>
            <w:szCs w:val="20"/>
          </w:rPr>
          <w:t>modulation of chemical synaptic transmission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72B392D4"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27" w:history="1">
        <w:r>
          <w:rPr>
            <w:rStyle w:val="Hyperlink"/>
            <w:rFonts w:ascii="Verdana" w:hAnsi="Verdana"/>
            <w:color w:val="00709B"/>
            <w:sz w:val="20"/>
            <w:szCs w:val="20"/>
          </w:rPr>
          <w:t>negative regulation of neuron apoptotic process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6E14CE17"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28" w:history="1">
        <w:r>
          <w:rPr>
            <w:rStyle w:val="Hyperlink"/>
            <w:rFonts w:ascii="Verdana" w:hAnsi="Verdana"/>
            <w:color w:val="00709B"/>
            <w:sz w:val="20"/>
            <w:szCs w:val="20"/>
          </w:rPr>
          <w:t>negative regulation of synaptic transmission, glutamatergic</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F334AF5"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29" w:history="1">
        <w:r>
          <w:rPr>
            <w:rStyle w:val="Hyperlink"/>
            <w:rFonts w:ascii="Verdana" w:hAnsi="Verdana"/>
            <w:color w:val="00709B"/>
            <w:sz w:val="20"/>
            <w:szCs w:val="20"/>
          </w:rPr>
          <w:t>neuronal action potential</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5DCF638E"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30" w:history="1">
        <w:r>
          <w:rPr>
            <w:rStyle w:val="Hyperlink"/>
            <w:rFonts w:ascii="Verdana" w:hAnsi="Verdana"/>
            <w:color w:val="00709B"/>
            <w:sz w:val="20"/>
            <w:szCs w:val="20"/>
          </w:rPr>
          <w:t>neuron apoptotic process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782B3485"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31" w:history="1">
        <w:r>
          <w:rPr>
            <w:rStyle w:val="Hyperlink"/>
            <w:rFonts w:ascii="Verdana" w:hAnsi="Verdana"/>
            <w:color w:val="00709B"/>
            <w:sz w:val="20"/>
            <w:szCs w:val="20"/>
          </w:rPr>
          <w:t>positive regulation of neuron apoptotic process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C8ACEC6"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32" w:history="1">
        <w:r>
          <w:rPr>
            <w:rStyle w:val="Hyperlink"/>
            <w:rFonts w:ascii="Verdana" w:hAnsi="Verdana"/>
            <w:color w:val="00709B"/>
            <w:sz w:val="20"/>
            <w:szCs w:val="20"/>
          </w:rPr>
          <w:t>positive regulation of synaptic transmission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642B5087"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33" w:history="1">
        <w:r>
          <w:rPr>
            <w:rStyle w:val="Hyperlink"/>
            <w:rFonts w:ascii="Verdana" w:hAnsi="Verdana"/>
            <w:color w:val="00709B"/>
            <w:sz w:val="20"/>
            <w:szCs w:val="20"/>
          </w:rPr>
          <w:t>receptor clustering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6CBD39A2"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34" w:history="1">
        <w:r>
          <w:rPr>
            <w:rStyle w:val="Hyperlink"/>
            <w:rFonts w:ascii="Verdana" w:hAnsi="Verdana"/>
            <w:color w:val="00709B"/>
            <w:sz w:val="20"/>
            <w:szCs w:val="20"/>
          </w:rPr>
          <w:t>regulation of JNK cascade</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3258FFF4"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35" w:history="1">
        <w:r>
          <w:rPr>
            <w:rStyle w:val="Hyperlink"/>
            <w:rFonts w:ascii="Verdana" w:hAnsi="Verdana"/>
            <w:color w:val="00709B"/>
            <w:sz w:val="20"/>
            <w:szCs w:val="20"/>
          </w:rPr>
          <w:t>regulation of long-term neuronal synaptic plasticity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1B5FF01C" w14:textId="77777777" w:rsidR="004621E7" w:rsidRDefault="004621E7" w:rsidP="004621E7">
      <w:pPr>
        <w:numPr>
          <w:ilvl w:val="0"/>
          <w:numId w:val="2"/>
        </w:numPr>
        <w:spacing w:before="100" w:beforeAutospacing="1" w:afterAutospacing="1"/>
        <w:ind w:left="480" w:firstLine="0"/>
        <w:rPr>
          <w:rFonts w:ascii="Verdana" w:hAnsi="Verdana"/>
          <w:color w:val="222222"/>
          <w:sz w:val="20"/>
          <w:szCs w:val="20"/>
        </w:rPr>
      </w:pPr>
      <w:hyperlink r:id="rId36" w:history="1">
        <w:r>
          <w:rPr>
            <w:rStyle w:val="Hyperlink"/>
            <w:rFonts w:ascii="Verdana" w:hAnsi="Verdana"/>
            <w:color w:val="00709B"/>
            <w:sz w:val="20"/>
            <w:szCs w:val="20"/>
          </w:rPr>
          <w:t>regulation of short-term neuronal synaptic plasticity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4A8B2C0D" w14:textId="34BF44F2" w:rsidR="004621E7" w:rsidRPr="004621E7" w:rsidRDefault="004621E7" w:rsidP="004621E7">
      <w:pPr>
        <w:numPr>
          <w:ilvl w:val="0"/>
          <w:numId w:val="2"/>
        </w:numPr>
        <w:spacing w:before="100" w:beforeAutospacing="1" w:afterAutospacing="1"/>
        <w:ind w:left="480" w:firstLine="0"/>
        <w:rPr>
          <w:rStyle w:val="attributionheader"/>
          <w:rFonts w:ascii="Verdana" w:hAnsi="Verdana"/>
          <w:color w:val="222222"/>
          <w:sz w:val="20"/>
          <w:szCs w:val="20"/>
        </w:rPr>
      </w:pPr>
      <w:hyperlink r:id="rId37" w:history="1">
        <w:r>
          <w:rPr>
            <w:rStyle w:val="Hyperlink"/>
            <w:rFonts w:ascii="Verdana" w:hAnsi="Verdana"/>
            <w:color w:val="00709B"/>
            <w:sz w:val="20"/>
            <w:szCs w:val="20"/>
          </w:rPr>
          <w:t>synaptic transmission, glutamatergic</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8C4C0BF" w14:textId="77777777" w:rsidR="004621E7" w:rsidRDefault="004621E7" w:rsidP="004621E7">
      <w:pPr>
        <w:spacing w:before="100" w:beforeAutospacing="1" w:afterAutospacing="1"/>
        <w:rPr>
          <w:rFonts w:ascii="Verdana" w:hAnsi="Verdana"/>
          <w:color w:val="222222"/>
          <w:sz w:val="20"/>
          <w:szCs w:val="20"/>
        </w:rPr>
      </w:pPr>
    </w:p>
    <w:p w14:paraId="1275CF42" w14:textId="77777777" w:rsidR="004621E7" w:rsidRDefault="004621E7" w:rsidP="004621E7">
      <w:pPr>
        <w:numPr>
          <w:ilvl w:val="0"/>
          <w:numId w:val="2"/>
        </w:numPr>
        <w:shd w:val="clear" w:color="auto" w:fill="FFFFFF"/>
        <w:spacing w:before="100" w:beforeAutospacing="1" w:after="100" w:afterAutospacing="1"/>
        <w:rPr>
          <w:rFonts w:ascii="Verdana" w:hAnsi="Verdana"/>
          <w:color w:val="000000"/>
          <w:sz w:val="20"/>
          <w:szCs w:val="20"/>
        </w:rPr>
      </w:pPr>
      <w:hyperlink r:id="rId38" w:history="1">
        <w:r>
          <w:rPr>
            <w:rStyle w:val="Hyperlink"/>
            <w:rFonts w:ascii="Verdana" w:hAnsi="Verdana"/>
            <w:color w:val="00709B"/>
            <w:sz w:val="20"/>
            <w:szCs w:val="20"/>
          </w:rPr>
          <w:t>Cell membrane </w:t>
        </w:r>
      </w:hyperlink>
      <w:r>
        <w:rPr>
          <w:rFonts w:ascii="Verdana" w:hAnsi="Verdana"/>
          <w:color w:val="000000"/>
          <w:sz w:val="20"/>
          <w:szCs w:val="20"/>
        </w:rPr>
        <w:t>; </w:t>
      </w:r>
      <w:hyperlink r:id="rId39" w:history="1">
        <w:r>
          <w:rPr>
            <w:rStyle w:val="Hyperlink"/>
            <w:rFonts w:ascii="Verdana" w:hAnsi="Verdana"/>
            <w:color w:val="00709B"/>
            <w:sz w:val="20"/>
            <w:szCs w:val="20"/>
          </w:rPr>
          <w:t>Multi-pass membrane protein </w:t>
        </w:r>
      </w:hyperlink>
    </w:p>
    <w:p w14:paraId="4C9CC1AF" w14:textId="1F232825" w:rsidR="004621E7" w:rsidRDefault="004621E7" w:rsidP="004621E7">
      <w:pPr>
        <w:numPr>
          <w:ilvl w:val="0"/>
          <w:numId w:val="2"/>
        </w:numPr>
        <w:shd w:val="clear" w:color="auto" w:fill="FFFFFF"/>
        <w:spacing w:before="100" w:beforeAutospacing="1" w:after="100" w:afterAutospacing="1"/>
        <w:rPr>
          <w:rFonts w:ascii="Verdana" w:hAnsi="Verdana"/>
          <w:color w:val="000000"/>
          <w:sz w:val="20"/>
          <w:szCs w:val="20"/>
        </w:rPr>
      </w:pPr>
      <w:hyperlink r:id="rId40" w:history="1">
        <w:r>
          <w:rPr>
            <w:rStyle w:val="Hyperlink"/>
            <w:rFonts w:ascii="Verdana" w:hAnsi="Verdana"/>
            <w:color w:val="00709B"/>
            <w:sz w:val="20"/>
            <w:szCs w:val="20"/>
          </w:rPr>
          <w:t>postsynaptic cell membrane </w:t>
        </w:r>
      </w:hyperlink>
      <w:r>
        <w:rPr>
          <w:rFonts w:ascii="Verdana" w:hAnsi="Verdana"/>
          <w:color w:val="000000"/>
          <w:sz w:val="20"/>
          <w:szCs w:val="20"/>
        </w:rPr>
        <w:t>; </w:t>
      </w:r>
      <w:hyperlink r:id="rId41" w:history="1">
        <w:r>
          <w:rPr>
            <w:rStyle w:val="Hyperlink"/>
            <w:rFonts w:ascii="Verdana" w:hAnsi="Verdana"/>
            <w:color w:val="00709B"/>
            <w:sz w:val="20"/>
            <w:szCs w:val="20"/>
          </w:rPr>
          <w:t>Multi-pass membrane protein </w:t>
        </w:r>
      </w:hyperlink>
    </w:p>
    <w:p w14:paraId="5A1200C0" w14:textId="77777777" w:rsidR="004621E7" w:rsidRDefault="004621E7" w:rsidP="004621E7">
      <w:pPr>
        <w:pStyle w:val="Heading6"/>
        <w:keepNext w:val="0"/>
        <w:keepLines w:val="0"/>
        <w:numPr>
          <w:ilvl w:val="0"/>
          <w:numId w:val="4"/>
        </w:numPr>
        <w:shd w:val="clear" w:color="auto" w:fill="FFFFFF"/>
        <w:spacing w:before="120" w:after="120"/>
        <w:ind w:left="0" w:firstLine="0"/>
        <w:rPr>
          <w:rFonts w:ascii="Helvetica" w:hAnsi="Helvetica"/>
          <w:color w:val="000000"/>
        </w:rPr>
      </w:pPr>
      <w:r>
        <w:rPr>
          <w:rFonts w:ascii="Helvetica" w:hAnsi="Helvetica"/>
          <w:b/>
          <w:bCs/>
          <w:color w:val="000000"/>
        </w:rPr>
        <w:t>Plasma Membrane</w:t>
      </w:r>
    </w:p>
    <w:p w14:paraId="7FB3AA60" w14:textId="77777777" w:rsidR="004621E7" w:rsidRDefault="004621E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42" w:history="1">
        <w:r>
          <w:rPr>
            <w:rStyle w:val="Hyperlink"/>
            <w:rFonts w:ascii="Verdana" w:hAnsi="Verdana"/>
            <w:color w:val="00709B"/>
            <w:sz w:val="20"/>
            <w:szCs w:val="20"/>
          </w:rPr>
          <w:t>integral component of plasma membrane</w:t>
        </w:r>
      </w:hyperlink>
      <w:r>
        <w:rPr>
          <w:rStyle w:val="attributionheader"/>
          <w:rFonts w:ascii="Verdana" w:hAnsi="Verdana"/>
          <w:color w:val="000000"/>
          <w:sz w:val="18"/>
          <w:szCs w:val="18"/>
          <w:bdr w:val="none" w:sz="0" w:space="0" w:color="auto" w:frame="1"/>
          <w:shd w:val="clear" w:color="auto" w:fill="FBEFB6"/>
        </w:rPr>
        <w:t xml:space="preserve"> Source: </w:t>
      </w:r>
      <w:proofErr w:type="spellStart"/>
      <w:r>
        <w:rPr>
          <w:rStyle w:val="attributionheader"/>
          <w:rFonts w:ascii="Verdana" w:hAnsi="Verdana"/>
          <w:color w:val="000000"/>
          <w:sz w:val="18"/>
          <w:szCs w:val="18"/>
          <w:bdr w:val="none" w:sz="0" w:space="0" w:color="auto" w:frame="1"/>
          <w:shd w:val="clear" w:color="auto" w:fill="FBEFB6"/>
        </w:rPr>
        <w:t>ProtInc</w:t>
      </w:r>
      <w:proofErr w:type="spellEnd"/>
    </w:p>
    <w:p w14:paraId="2A9C22E8" w14:textId="77777777" w:rsidR="004621E7" w:rsidRDefault="004621E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43" w:history="1">
        <w:proofErr w:type="spellStart"/>
        <w:r>
          <w:rPr>
            <w:rStyle w:val="Hyperlink"/>
            <w:rFonts w:ascii="Verdana" w:hAnsi="Verdana"/>
            <w:color w:val="00709B"/>
            <w:sz w:val="20"/>
            <w:szCs w:val="20"/>
          </w:rPr>
          <w:t>kainate</w:t>
        </w:r>
        <w:proofErr w:type="spellEnd"/>
        <w:r>
          <w:rPr>
            <w:rStyle w:val="Hyperlink"/>
            <w:rFonts w:ascii="Verdana" w:hAnsi="Verdana"/>
            <w:color w:val="00709B"/>
            <w:sz w:val="20"/>
            <w:szCs w:val="20"/>
          </w:rPr>
          <w:t xml:space="preserve"> selective glutamate receptor complex</w:t>
        </w:r>
      </w:hyperlink>
      <w:r>
        <w:rPr>
          <w:rStyle w:val="attributionheader"/>
          <w:rFonts w:ascii="Verdana" w:hAnsi="Verdana"/>
          <w:color w:val="000000"/>
          <w:sz w:val="18"/>
          <w:szCs w:val="18"/>
          <w:bdr w:val="none" w:sz="0" w:space="0" w:color="auto" w:frame="1"/>
          <w:shd w:val="clear" w:color="auto" w:fill="D3E8FE"/>
        </w:rPr>
        <w:t xml:space="preserve"> Source: </w:t>
      </w:r>
      <w:proofErr w:type="spellStart"/>
      <w:r>
        <w:rPr>
          <w:rStyle w:val="attributionheader"/>
          <w:rFonts w:ascii="Verdana" w:hAnsi="Verdana"/>
          <w:color w:val="000000"/>
          <w:sz w:val="18"/>
          <w:szCs w:val="18"/>
          <w:bdr w:val="none" w:sz="0" w:space="0" w:color="auto" w:frame="1"/>
          <w:shd w:val="clear" w:color="auto" w:fill="D3E8FE"/>
        </w:rPr>
        <w:t>Ensembl</w:t>
      </w:r>
      <w:proofErr w:type="spellEnd"/>
    </w:p>
    <w:p w14:paraId="42F3E5D7" w14:textId="77777777" w:rsidR="004621E7" w:rsidRDefault="004621E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44" w:history="1">
        <w:r>
          <w:rPr>
            <w:rStyle w:val="Hyperlink"/>
            <w:rFonts w:ascii="Verdana" w:hAnsi="Verdana"/>
            <w:color w:val="00709B"/>
            <w:sz w:val="20"/>
            <w:szCs w:val="20"/>
          </w:rPr>
          <w:t>plasma membrane</w:t>
        </w:r>
      </w:hyperlink>
      <w:r>
        <w:rPr>
          <w:rStyle w:val="attributionheader"/>
          <w:rFonts w:ascii="Verdana" w:hAnsi="Verdana"/>
          <w:color w:val="000000"/>
          <w:sz w:val="18"/>
          <w:szCs w:val="18"/>
          <w:bdr w:val="none" w:sz="0" w:space="0" w:color="auto" w:frame="1"/>
          <w:shd w:val="clear" w:color="auto" w:fill="FBEFB6"/>
        </w:rPr>
        <w:t xml:space="preserve"> Source: </w:t>
      </w:r>
      <w:proofErr w:type="spellStart"/>
      <w:r>
        <w:rPr>
          <w:rStyle w:val="attributionheader"/>
          <w:rFonts w:ascii="Verdana" w:hAnsi="Verdana"/>
          <w:color w:val="000000"/>
          <w:sz w:val="18"/>
          <w:szCs w:val="18"/>
          <w:bdr w:val="none" w:sz="0" w:space="0" w:color="auto" w:frame="1"/>
          <w:shd w:val="clear" w:color="auto" w:fill="FBEFB6"/>
        </w:rPr>
        <w:t>Reactome</w:t>
      </w:r>
      <w:proofErr w:type="spellEnd"/>
    </w:p>
    <w:p w14:paraId="21C52E7E" w14:textId="77777777" w:rsidR="004621E7" w:rsidRDefault="004621E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45" w:history="1">
        <w:r>
          <w:rPr>
            <w:rStyle w:val="Hyperlink"/>
            <w:rFonts w:ascii="Verdana" w:hAnsi="Verdana"/>
            <w:color w:val="00709B"/>
            <w:sz w:val="20"/>
            <w:szCs w:val="20"/>
          </w:rPr>
          <w:t>postsynaptic membrane</w:t>
        </w:r>
      </w:hyperlink>
      <w:r>
        <w:rPr>
          <w:rStyle w:val="attributionheader"/>
          <w:rFonts w:ascii="Verdana" w:hAnsi="Verdana"/>
          <w:color w:val="000000"/>
          <w:sz w:val="18"/>
          <w:szCs w:val="18"/>
          <w:bdr w:val="none" w:sz="0" w:space="0" w:color="auto" w:frame="1"/>
          <w:shd w:val="clear" w:color="auto" w:fill="D3E8FE"/>
        </w:rPr>
        <w:t xml:space="preserve"> Source: </w:t>
      </w:r>
      <w:proofErr w:type="spellStart"/>
      <w:r>
        <w:rPr>
          <w:rStyle w:val="attributionheader"/>
          <w:rFonts w:ascii="Verdana" w:hAnsi="Verdana"/>
          <w:color w:val="000000"/>
          <w:sz w:val="18"/>
          <w:szCs w:val="18"/>
          <w:bdr w:val="none" w:sz="0" w:space="0" w:color="auto" w:frame="1"/>
          <w:shd w:val="clear" w:color="auto" w:fill="D3E8FE"/>
        </w:rPr>
        <w:t>UniProtKB-SubCell</w:t>
      </w:r>
      <w:proofErr w:type="spellEnd"/>
    </w:p>
    <w:p w14:paraId="249552E5" w14:textId="77777777" w:rsidR="004621E7" w:rsidRDefault="004621E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46" w:history="1">
        <w:r>
          <w:rPr>
            <w:rStyle w:val="Hyperlink"/>
            <w:rFonts w:ascii="Verdana" w:hAnsi="Verdana"/>
            <w:color w:val="00709B"/>
            <w:sz w:val="20"/>
            <w:szCs w:val="20"/>
          </w:rPr>
          <w:t>presynaptic membrane</w:t>
        </w:r>
      </w:hyperlink>
      <w:r>
        <w:rPr>
          <w:rStyle w:val="attributionheader"/>
          <w:rFonts w:ascii="Verdana" w:hAnsi="Verdana"/>
          <w:color w:val="000000"/>
          <w:sz w:val="18"/>
          <w:szCs w:val="18"/>
          <w:bdr w:val="none" w:sz="0" w:space="0" w:color="auto" w:frame="1"/>
          <w:shd w:val="clear" w:color="auto" w:fill="D3E8FE"/>
        </w:rPr>
        <w:t xml:space="preserve"> Source: </w:t>
      </w:r>
      <w:proofErr w:type="spellStart"/>
      <w:r>
        <w:rPr>
          <w:rStyle w:val="attributionheader"/>
          <w:rFonts w:ascii="Verdana" w:hAnsi="Verdana"/>
          <w:color w:val="000000"/>
          <w:sz w:val="18"/>
          <w:szCs w:val="18"/>
          <w:bdr w:val="none" w:sz="0" w:space="0" w:color="auto" w:frame="1"/>
          <w:shd w:val="clear" w:color="auto" w:fill="D3E8FE"/>
        </w:rPr>
        <w:t>Ensembl</w:t>
      </w:r>
      <w:proofErr w:type="spellEnd"/>
    </w:p>
    <w:p w14:paraId="0F99DABC" w14:textId="77777777" w:rsidR="004621E7" w:rsidRDefault="004621E7" w:rsidP="004621E7">
      <w:pPr>
        <w:pStyle w:val="Heading6"/>
        <w:keepNext w:val="0"/>
        <w:keepLines w:val="0"/>
        <w:numPr>
          <w:ilvl w:val="0"/>
          <w:numId w:val="4"/>
        </w:numPr>
        <w:shd w:val="clear" w:color="auto" w:fill="FFFFFF"/>
        <w:spacing w:before="120" w:after="120"/>
        <w:ind w:left="0" w:firstLine="0"/>
        <w:rPr>
          <w:rFonts w:ascii="Helvetica" w:hAnsi="Helvetica"/>
          <w:color w:val="000000"/>
        </w:rPr>
      </w:pPr>
      <w:r>
        <w:rPr>
          <w:rFonts w:ascii="Helvetica" w:hAnsi="Helvetica"/>
          <w:b/>
          <w:bCs/>
          <w:color w:val="000000"/>
        </w:rPr>
        <w:t>Other locations</w:t>
      </w:r>
    </w:p>
    <w:p w14:paraId="1C6912F9" w14:textId="77777777" w:rsidR="004621E7" w:rsidRDefault="004621E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47" w:history="1">
        <w:r>
          <w:rPr>
            <w:rStyle w:val="Hyperlink"/>
            <w:rFonts w:ascii="Verdana" w:hAnsi="Verdana"/>
            <w:color w:val="00709B"/>
            <w:sz w:val="20"/>
            <w:szCs w:val="20"/>
          </w:rPr>
          <w:t>cell junction</w:t>
        </w:r>
      </w:hyperlink>
      <w:r>
        <w:rPr>
          <w:rStyle w:val="attributionheader"/>
          <w:rFonts w:ascii="Verdana" w:hAnsi="Verdana"/>
          <w:color w:val="000000"/>
          <w:sz w:val="18"/>
          <w:szCs w:val="18"/>
          <w:bdr w:val="none" w:sz="0" w:space="0" w:color="auto" w:frame="1"/>
          <w:shd w:val="clear" w:color="auto" w:fill="D3E8FE"/>
        </w:rPr>
        <w:t xml:space="preserve"> Source: </w:t>
      </w:r>
      <w:proofErr w:type="spellStart"/>
      <w:r>
        <w:rPr>
          <w:rStyle w:val="attributionheader"/>
          <w:rFonts w:ascii="Verdana" w:hAnsi="Verdana"/>
          <w:color w:val="000000"/>
          <w:sz w:val="18"/>
          <w:szCs w:val="18"/>
          <w:bdr w:val="none" w:sz="0" w:space="0" w:color="auto" w:frame="1"/>
          <w:shd w:val="clear" w:color="auto" w:fill="D3E8FE"/>
        </w:rPr>
        <w:t>UniProtKB</w:t>
      </w:r>
      <w:proofErr w:type="spellEnd"/>
      <w:r>
        <w:rPr>
          <w:rStyle w:val="attributionheader"/>
          <w:rFonts w:ascii="Verdana" w:hAnsi="Verdana"/>
          <w:color w:val="000000"/>
          <w:sz w:val="18"/>
          <w:szCs w:val="18"/>
          <w:bdr w:val="none" w:sz="0" w:space="0" w:color="auto" w:frame="1"/>
          <w:shd w:val="clear" w:color="auto" w:fill="D3E8FE"/>
        </w:rPr>
        <w:t>-KW</w:t>
      </w:r>
    </w:p>
    <w:p w14:paraId="0609A889" w14:textId="77777777" w:rsidR="004621E7" w:rsidRDefault="004621E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48" w:history="1">
        <w:r>
          <w:rPr>
            <w:rStyle w:val="Hyperlink"/>
            <w:rFonts w:ascii="Verdana" w:hAnsi="Verdana"/>
            <w:color w:val="00709B"/>
            <w:sz w:val="20"/>
            <w:szCs w:val="20"/>
          </w:rPr>
          <w:t>dendrite cytoplasm</w:t>
        </w:r>
      </w:hyperlink>
      <w:r>
        <w:rPr>
          <w:rStyle w:val="attributionheader"/>
          <w:rFonts w:ascii="Verdana" w:hAnsi="Verdana"/>
          <w:color w:val="000000"/>
          <w:sz w:val="18"/>
          <w:szCs w:val="18"/>
          <w:bdr w:val="none" w:sz="0" w:space="0" w:color="auto" w:frame="1"/>
          <w:shd w:val="clear" w:color="auto" w:fill="D3E8FE"/>
        </w:rPr>
        <w:t xml:space="preserve"> Source: </w:t>
      </w:r>
      <w:proofErr w:type="spellStart"/>
      <w:r>
        <w:rPr>
          <w:rStyle w:val="attributionheader"/>
          <w:rFonts w:ascii="Verdana" w:hAnsi="Verdana"/>
          <w:color w:val="000000"/>
          <w:sz w:val="18"/>
          <w:szCs w:val="18"/>
          <w:bdr w:val="none" w:sz="0" w:space="0" w:color="auto" w:frame="1"/>
          <w:shd w:val="clear" w:color="auto" w:fill="D3E8FE"/>
        </w:rPr>
        <w:t>Ensembl</w:t>
      </w:r>
      <w:proofErr w:type="spellEnd"/>
    </w:p>
    <w:p w14:paraId="3B934D96" w14:textId="77777777" w:rsidR="004621E7" w:rsidRDefault="004621E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49" w:history="1">
        <w:r>
          <w:rPr>
            <w:rStyle w:val="Hyperlink"/>
            <w:rFonts w:ascii="Verdana" w:hAnsi="Verdana"/>
            <w:color w:val="00709B"/>
            <w:sz w:val="20"/>
            <w:szCs w:val="20"/>
          </w:rPr>
          <w:t>perikaryon</w:t>
        </w:r>
      </w:hyperlink>
      <w:r>
        <w:rPr>
          <w:rStyle w:val="attributionheader"/>
          <w:rFonts w:ascii="Verdana" w:hAnsi="Verdana"/>
          <w:color w:val="000000"/>
          <w:sz w:val="18"/>
          <w:szCs w:val="18"/>
          <w:bdr w:val="none" w:sz="0" w:space="0" w:color="auto" w:frame="1"/>
          <w:shd w:val="clear" w:color="auto" w:fill="D3E8FE"/>
        </w:rPr>
        <w:t xml:space="preserve"> Source: </w:t>
      </w:r>
      <w:proofErr w:type="spellStart"/>
      <w:r>
        <w:rPr>
          <w:rStyle w:val="attributionheader"/>
          <w:rFonts w:ascii="Verdana" w:hAnsi="Verdana"/>
          <w:color w:val="000000"/>
          <w:sz w:val="18"/>
          <w:szCs w:val="18"/>
          <w:bdr w:val="none" w:sz="0" w:space="0" w:color="auto" w:frame="1"/>
          <w:shd w:val="clear" w:color="auto" w:fill="D3E8FE"/>
        </w:rPr>
        <w:t>Ensembl</w:t>
      </w:r>
      <w:proofErr w:type="spellEnd"/>
    </w:p>
    <w:p w14:paraId="1D1447B7" w14:textId="77777777" w:rsidR="004621E7" w:rsidRDefault="004621E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50" w:history="1">
        <w:r>
          <w:rPr>
            <w:rStyle w:val="Hyperlink"/>
            <w:rFonts w:ascii="Verdana" w:hAnsi="Verdana"/>
            <w:color w:val="00709B"/>
            <w:sz w:val="20"/>
            <w:szCs w:val="20"/>
          </w:rPr>
          <w:t>postsynaptic density</w:t>
        </w:r>
      </w:hyperlink>
      <w:r>
        <w:rPr>
          <w:rStyle w:val="attributionheader"/>
          <w:rFonts w:ascii="Verdana" w:hAnsi="Verdana"/>
          <w:color w:val="000000"/>
          <w:sz w:val="18"/>
          <w:szCs w:val="18"/>
          <w:bdr w:val="none" w:sz="0" w:space="0" w:color="auto" w:frame="1"/>
          <w:shd w:val="clear" w:color="auto" w:fill="D3E8FE"/>
        </w:rPr>
        <w:t xml:space="preserve"> Source: </w:t>
      </w:r>
      <w:proofErr w:type="spellStart"/>
      <w:r>
        <w:rPr>
          <w:rStyle w:val="attributionheader"/>
          <w:rFonts w:ascii="Verdana" w:hAnsi="Verdana"/>
          <w:color w:val="000000"/>
          <w:sz w:val="18"/>
          <w:szCs w:val="18"/>
          <w:bdr w:val="none" w:sz="0" w:space="0" w:color="auto" w:frame="1"/>
          <w:shd w:val="clear" w:color="auto" w:fill="D3E8FE"/>
        </w:rPr>
        <w:t>Ensembl</w:t>
      </w:r>
      <w:proofErr w:type="spellEnd"/>
    </w:p>
    <w:p w14:paraId="2E0FF140" w14:textId="77777777" w:rsidR="004621E7" w:rsidRDefault="004621E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51" w:history="1">
        <w:r>
          <w:rPr>
            <w:rStyle w:val="Hyperlink"/>
            <w:rFonts w:ascii="Verdana" w:hAnsi="Verdana"/>
            <w:color w:val="00709B"/>
            <w:sz w:val="20"/>
            <w:szCs w:val="20"/>
          </w:rPr>
          <w:t>terminal bouton</w:t>
        </w:r>
      </w:hyperlink>
      <w:r>
        <w:rPr>
          <w:rStyle w:val="attributionheader"/>
          <w:rFonts w:ascii="Verdana" w:hAnsi="Verdana"/>
          <w:color w:val="000000"/>
          <w:sz w:val="18"/>
          <w:szCs w:val="18"/>
          <w:bdr w:val="none" w:sz="0" w:space="0" w:color="auto" w:frame="1"/>
          <w:shd w:val="clear" w:color="auto" w:fill="D3E8FE"/>
        </w:rPr>
        <w:t xml:space="preserve"> Source: </w:t>
      </w:r>
      <w:proofErr w:type="spellStart"/>
      <w:r>
        <w:rPr>
          <w:rStyle w:val="attributionheader"/>
          <w:rFonts w:ascii="Verdana" w:hAnsi="Verdana"/>
          <w:color w:val="000000"/>
          <w:sz w:val="18"/>
          <w:szCs w:val="18"/>
          <w:bdr w:val="none" w:sz="0" w:space="0" w:color="auto" w:frame="1"/>
          <w:shd w:val="clear" w:color="auto" w:fill="D3E8FE"/>
        </w:rPr>
        <w:t>Ensembl</w:t>
      </w:r>
      <w:proofErr w:type="spellEnd"/>
    </w:p>
    <w:p w14:paraId="2CF4A787" w14:textId="77777777" w:rsidR="004621E7" w:rsidRDefault="004621E7" w:rsidP="004621E7">
      <w:pPr>
        <w:pStyle w:val="Heading6"/>
        <w:spacing w:before="120"/>
        <w:rPr>
          <w:rFonts w:ascii="Helvetica" w:hAnsi="Helvetica"/>
          <w:color w:val="00709B"/>
        </w:rPr>
      </w:pPr>
      <w:hyperlink r:id="rId52" w:history="1">
        <w:r>
          <w:rPr>
            <w:rStyle w:val="Hyperlink"/>
            <w:rFonts w:ascii="Helvetica" w:hAnsi="Helvetica"/>
            <w:b/>
            <w:bCs/>
            <w:color w:val="00709B"/>
          </w:rPr>
          <w:t>Mental retardation, autosomal recessive 6 (MRT6)</w:t>
        </w:r>
      </w:hyperlink>
      <w:r>
        <w:rPr>
          <w:rStyle w:val="attributionheader"/>
          <w:rFonts w:ascii="Helvetica" w:hAnsi="Helvetica"/>
          <w:b/>
          <w:bCs/>
          <w:color w:val="00709B"/>
          <w:sz w:val="18"/>
          <w:szCs w:val="18"/>
          <w:bdr w:val="none" w:sz="0" w:space="0" w:color="auto" w:frame="1"/>
          <w:shd w:val="clear" w:color="auto" w:fill="FBEFB6"/>
        </w:rPr>
        <w:t>1 Publication</w:t>
      </w:r>
    </w:p>
    <w:p w14:paraId="40CB9E3D" w14:textId="77777777" w:rsidR="004621E7" w:rsidRDefault="004621E7" w:rsidP="004621E7">
      <w:pPr>
        <w:rPr>
          <w:rFonts w:ascii="Verdana" w:hAnsi="Verdana"/>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5E826CD7" w14:textId="77777777" w:rsidR="004621E7" w:rsidRDefault="004621E7" w:rsidP="004621E7">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disorder characterized by significantly below average general intellectual functioning associated with impairments in adaptive behavior and manifested during the developmental period. In contrast to syndromic or specific mental retardation which also present with associated physical, </w:t>
      </w:r>
      <w:proofErr w:type="gramStart"/>
      <w:r>
        <w:rPr>
          <w:rFonts w:ascii="Verdana" w:hAnsi="Verdana"/>
          <w:color w:val="222222"/>
          <w:sz w:val="20"/>
          <w:szCs w:val="20"/>
        </w:rPr>
        <w:t>neurological</w:t>
      </w:r>
      <w:proofErr w:type="gramEnd"/>
      <w:r>
        <w:rPr>
          <w:rFonts w:ascii="Verdana" w:hAnsi="Verdana"/>
          <w:color w:val="222222"/>
          <w:sz w:val="20"/>
          <w:szCs w:val="20"/>
        </w:rPr>
        <w:t xml:space="preserve"> and/or psychiatric manifestations, intellectual deficiency is the only primary symptom of non-syndromic mental retardation. MRT6 patients display mild to severe mental retardation and psychomotor development delay in early childhood. Patients do not have neurologic problems, congenital malformations, or facial dysmorphism. Body height, weight, and head circumference are normal.</w:t>
      </w:r>
    </w:p>
    <w:tbl>
      <w:tblPr>
        <w:tblW w:w="1060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445"/>
      </w:tblGrid>
      <w:tr w:rsidR="004621E7" w14:paraId="00B502F2" w14:textId="77777777" w:rsidTr="004621E7">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191A4025" w14:textId="77777777" w:rsidR="004621E7" w:rsidRDefault="004621E7">
            <w:pPr>
              <w:spacing w:before="24"/>
              <w:jc w:val="right"/>
              <w:rPr>
                <w:rFonts w:ascii="Verdana" w:hAnsi="Verdana"/>
                <w:color w:val="222222"/>
                <w:sz w:val="20"/>
                <w:szCs w:val="20"/>
              </w:rPr>
            </w:pPr>
            <w:proofErr w:type="spellStart"/>
            <w:r>
              <w:rPr>
                <w:rStyle w:val="context-help"/>
                <w:rFonts w:ascii="Helvetica" w:hAnsi="Helvetica"/>
                <w:color w:val="222222"/>
                <w:sz w:val="20"/>
                <w:szCs w:val="20"/>
              </w:rPr>
              <w:t>DrugBank</w:t>
            </w:r>
            <w:r>
              <w:rPr>
                <w:rStyle w:val="context-help"/>
                <w:rFonts w:ascii="Garamond" w:hAnsi="Garamond"/>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1F1B9878" w14:textId="77777777" w:rsidR="004621E7" w:rsidRDefault="004621E7">
            <w:pPr>
              <w:spacing w:before="24"/>
              <w:rPr>
                <w:rFonts w:ascii="Verdana" w:hAnsi="Verdana"/>
                <w:color w:val="222222"/>
                <w:sz w:val="20"/>
                <w:szCs w:val="20"/>
              </w:rPr>
            </w:pPr>
            <w:hyperlink r:id="rId53" w:history="1">
              <w:r>
                <w:rPr>
                  <w:rStyle w:val="Hyperlink"/>
                  <w:rFonts w:ascii="Verdana" w:hAnsi="Verdana"/>
                  <w:color w:val="00709B"/>
                  <w:sz w:val="20"/>
                  <w:szCs w:val="20"/>
                </w:rPr>
                <w:t>DB01351</w:t>
              </w:r>
            </w:hyperlink>
            <w:r>
              <w:rPr>
                <w:rFonts w:ascii="Verdana" w:hAnsi="Verdana"/>
                <w:color w:val="222222"/>
                <w:sz w:val="20"/>
                <w:szCs w:val="20"/>
              </w:rPr>
              <w:t> Amobarbital</w:t>
            </w:r>
            <w:r>
              <w:rPr>
                <w:rFonts w:ascii="Verdana" w:hAnsi="Verdana"/>
                <w:color w:val="222222"/>
                <w:sz w:val="20"/>
                <w:szCs w:val="20"/>
              </w:rPr>
              <w:br/>
            </w:r>
            <w:hyperlink r:id="rId54" w:history="1">
              <w:r>
                <w:rPr>
                  <w:rStyle w:val="Hyperlink"/>
                  <w:rFonts w:ascii="Verdana" w:hAnsi="Verdana"/>
                  <w:color w:val="00709B"/>
                  <w:sz w:val="20"/>
                  <w:szCs w:val="20"/>
                </w:rPr>
                <w:t>DB01352</w:t>
              </w:r>
            </w:hyperlink>
            <w:r>
              <w:rPr>
                <w:rFonts w:ascii="Verdana" w:hAnsi="Verdana"/>
                <w:color w:val="222222"/>
                <w:sz w:val="20"/>
                <w:szCs w:val="20"/>
              </w:rPr>
              <w:t> Aprobarbital</w:t>
            </w:r>
            <w:r>
              <w:rPr>
                <w:rFonts w:ascii="Verdana" w:hAnsi="Verdana"/>
                <w:color w:val="222222"/>
                <w:sz w:val="20"/>
                <w:szCs w:val="20"/>
              </w:rPr>
              <w:br/>
            </w:r>
            <w:hyperlink r:id="rId55" w:history="1">
              <w:r>
                <w:rPr>
                  <w:rStyle w:val="Hyperlink"/>
                  <w:rFonts w:ascii="Verdana" w:hAnsi="Verdana"/>
                  <w:color w:val="00709B"/>
                  <w:sz w:val="20"/>
                  <w:szCs w:val="20"/>
                </w:rPr>
                <w:t>DB01483</w:t>
              </w:r>
            </w:hyperlink>
            <w:r>
              <w:rPr>
                <w:rFonts w:ascii="Verdana" w:hAnsi="Verdana"/>
                <w:color w:val="222222"/>
                <w:sz w:val="20"/>
                <w:szCs w:val="20"/>
              </w:rPr>
              <w:t> Barbital</w:t>
            </w:r>
            <w:r>
              <w:rPr>
                <w:rFonts w:ascii="Verdana" w:hAnsi="Verdana"/>
                <w:color w:val="222222"/>
                <w:sz w:val="20"/>
                <w:szCs w:val="20"/>
              </w:rPr>
              <w:br/>
            </w:r>
            <w:hyperlink r:id="rId56" w:history="1">
              <w:r>
                <w:rPr>
                  <w:rStyle w:val="Hyperlink"/>
                  <w:rFonts w:ascii="Verdana" w:hAnsi="Verdana"/>
                  <w:color w:val="00709B"/>
                  <w:sz w:val="20"/>
                  <w:szCs w:val="20"/>
                </w:rPr>
                <w:t>DB01496</w:t>
              </w:r>
            </w:hyperlink>
            <w:r>
              <w:rPr>
                <w:rFonts w:ascii="Verdana" w:hAnsi="Verdana"/>
                <w:color w:val="222222"/>
                <w:sz w:val="20"/>
                <w:szCs w:val="20"/>
              </w:rPr>
              <w:t> Barbituric acid derivative</w:t>
            </w:r>
            <w:r>
              <w:rPr>
                <w:rFonts w:ascii="Verdana" w:hAnsi="Verdana"/>
                <w:color w:val="222222"/>
                <w:sz w:val="20"/>
                <w:szCs w:val="20"/>
              </w:rPr>
              <w:br/>
            </w:r>
            <w:hyperlink r:id="rId57" w:history="1">
              <w:r>
                <w:rPr>
                  <w:rStyle w:val="Hyperlink"/>
                  <w:rFonts w:ascii="Verdana" w:hAnsi="Verdana"/>
                  <w:color w:val="00709B"/>
                  <w:sz w:val="20"/>
                  <w:szCs w:val="20"/>
                </w:rPr>
                <w:t>DB00237</w:t>
              </w:r>
            </w:hyperlink>
            <w:r>
              <w:rPr>
                <w:rFonts w:ascii="Verdana" w:hAnsi="Verdana"/>
                <w:color w:val="222222"/>
                <w:sz w:val="20"/>
                <w:szCs w:val="20"/>
              </w:rPr>
              <w:t> </w:t>
            </w:r>
            <w:proofErr w:type="spellStart"/>
            <w:r>
              <w:rPr>
                <w:rFonts w:ascii="Verdana" w:hAnsi="Verdana"/>
                <w:color w:val="222222"/>
                <w:sz w:val="20"/>
                <w:szCs w:val="20"/>
              </w:rPr>
              <w:t>Butabarbital</w:t>
            </w:r>
            <w:proofErr w:type="spellEnd"/>
            <w:r>
              <w:rPr>
                <w:rFonts w:ascii="Verdana" w:hAnsi="Verdana"/>
                <w:color w:val="222222"/>
                <w:sz w:val="20"/>
                <w:szCs w:val="20"/>
              </w:rPr>
              <w:br/>
            </w:r>
            <w:hyperlink r:id="rId58" w:history="1">
              <w:r>
                <w:rPr>
                  <w:rStyle w:val="Hyperlink"/>
                  <w:rFonts w:ascii="Verdana" w:hAnsi="Verdana"/>
                  <w:color w:val="00709B"/>
                  <w:sz w:val="20"/>
                  <w:szCs w:val="20"/>
                </w:rPr>
                <w:t>DB00241</w:t>
              </w:r>
            </w:hyperlink>
            <w:r>
              <w:rPr>
                <w:rFonts w:ascii="Verdana" w:hAnsi="Verdana"/>
                <w:color w:val="222222"/>
                <w:sz w:val="20"/>
                <w:szCs w:val="20"/>
              </w:rPr>
              <w:t> Butalbital</w:t>
            </w:r>
            <w:r>
              <w:rPr>
                <w:rFonts w:ascii="Verdana" w:hAnsi="Verdana"/>
                <w:color w:val="222222"/>
                <w:sz w:val="20"/>
                <w:szCs w:val="20"/>
              </w:rPr>
              <w:br/>
            </w:r>
            <w:hyperlink r:id="rId59" w:history="1">
              <w:r>
                <w:rPr>
                  <w:rStyle w:val="Hyperlink"/>
                  <w:rFonts w:ascii="Verdana" w:hAnsi="Verdana"/>
                  <w:color w:val="00709B"/>
                  <w:sz w:val="20"/>
                  <w:szCs w:val="20"/>
                </w:rPr>
                <w:t>DB01353</w:t>
              </w:r>
            </w:hyperlink>
            <w:r>
              <w:rPr>
                <w:rFonts w:ascii="Verdana" w:hAnsi="Verdana"/>
                <w:color w:val="222222"/>
                <w:sz w:val="20"/>
                <w:szCs w:val="20"/>
              </w:rPr>
              <w:t> Butethal</w:t>
            </w:r>
            <w:r>
              <w:rPr>
                <w:rFonts w:ascii="Verdana" w:hAnsi="Verdana"/>
                <w:color w:val="222222"/>
                <w:sz w:val="20"/>
                <w:szCs w:val="20"/>
              </w:rPr>
              <w:br/>
            </w:r>
            <w:hyperlink r:id="rId60" w:history="1">
              <w:r>
                <w:rPr>
                  <w:rStyle w:val="Hyperlink"/>
                  <w:rFonts w:ascii="Verdana" w:hAnsi="Verdana"/>
                  <w:color w:val="00709B"/>
                  <w:sz w:val="20"/>
                  <w:szCs w:val="20"/>
                </w:rPr>
                <w:t>DB02852</w:t>
              </w:r>
            </w:hyperlink>
            <w:r>
              <w:rPr>
                <w:rFonts w:ascii="Verdana" w:hAnsi="Verdana"/>
                <w:color w:val="222222"/>
                <w:sz w:val="20"/>
                <w:szCs w:val="20"/>
              </w:rPr>
              <w:t> Domoic Acid</w:t>
            </w:r>
            <w:r>
              <w:rPr>
                <w:rFonts w:ascii="Verdana" w:hAnsi="Verdana"/>
                <w:color w:val="222222"/>
                <w:sz w:val="20"/>
                <w:szCs w:val="20"/>
              </w:rPr>
              <w:br/>
            </w:r>
            <w:hyperlink r:id="rId61" w:history="1">
              <w:r>
                <w:rPr>
                  <w:rStyle w:val="Hyperlink"/>
                  <w:rFonts w:ascii="Verdana" w:hAnsi="Verdana"/>
                  <w:color w:val="00709B"/>
                  <w:sz w:val="20"/>
                  <w:szCs w:val="20"/>
                </w:rPr>
                <w:t>DB01354</w:t>
              </w:r>
            </w:hyperlink>
            <w:r>
              <w:rPr>
                <w:rFonts w:ascii="Verdana" w:hAnsi="Verdana"/>
                <w:color w:val="222222"/>
                <w:sz w:val="20"/>
                <w:szCs w:val="20"/>
              </w:rPr>
              <w:t> </w:t>
            </w:r>
            <w:proofErr w:type="spellStart"/>
            <w:r>
              <w:rPr>
                <w:rFonts w:ascii="Verdana" w:hAnsi="Verdana"/>
                <w:color w:val="222222"/>
                <w:sz w:val="20"/>
                <w:szCs w:val="20"/>
              </w:rPr>
              <w:t>Heptabarbital</w:t>
            </w:r>
            <w:proofErr w:type="spellEnd"/>
            <w:r>
              <w:rPr>
                <w:rFonts w:ascii="Verdana" w:hAnsi="Verdana"/>
                <w:color w:val="222222"/>
                <w:sz w:val="20"/>
                <w:szCs w:val="20"/>
              </w:rPr>
              <w:br/>
            </w:r>
            <w:hyperlink r:id="rId62" w:history="1">
              <w:r>
                <w:rPr>
                  <w:rStyle w:val="Hyperlink"/>
                  <w:rFonts w:ascii="Verdana" w:hAnsi="Verdana"/>
                  <w:color w:val="00709B"/>
                  <w:sz w:val="20"/>
                  <w:szCs w:val="20"/>
                </w:rPr>
                <w:t>DB01355</w:t>
              </w:r>
            </w:hyperlink>
            <w:r>
              <w:rPr>
                <w:rFonts w:ascii="Verdana" w:hAnsi="Verdana"/>
                <w:color w:val="222222"/>
                <w:sz w:val="20"/>
                <w:szCs w:val="20"/>
              </w:rPr>
              <w:t> </w:t>
            </w:r>
            <w:proofErr w:type="spellStart"/>
            <w:r>
              <w:rPr>
                <w:rFonts w:ascii="Verdana" w:hAnsi="Verdana"/>
                <w:color w:val="222222"/>
                <w:sz w:val="20"/>
                <w:szCs w:val="20"/>
              </w:rPr>
              <w:t>Hexobarbital</w:t>
            </w:r>
            <w:proofErr w:type="spellEnd"/>
            <w:r>
              <w:rPr>
                <w:rFonts w:ascii="Verdana" w:hAnsi="Verdana"/>
                <w:color w:val="222222"/>
                <w:sz w:val="20"/>
                <w:szCs w:val="20"/>
              </w:rPr>
              <w:br/>
            </w:r>
            <w:hyperlink r:id="rId63" w:history="1">
              <w:r>
                <w:rPr>
                  <w:rStyle w:val="Hyperlink"/>
                  <w:rFonts w:ascii="Verdana" w:hAnsi="Verdana"/>
                  <w:color w:val="00709B"/>
                  <w:sz w:val="20"/>
                  <w:szCs w:val="20"/>
                </w:rPr>
                <w:t>DB00142</w:t>
              </w:r>
            </w:hyperlink>
            <w:r>
              <w:rPr>
                <w:rFonts w:ascii="Verdana" w:hAnsi="Verdana"/>
                <w:color w:val="222222"/>
                <w:sz w:val="20"/>
                <w:szCs w:val="20"/>
              </w:rPr>
              <w:t> L-Glutamic Acid</w:t>
            </w:r>
            <w:r>
              <w:rPr>
                <w:rFonts w:ascii="Verdana" w:hAnsi="Verdana"/>
                <w:color w:val="222222"/>
                <w:sz w:val="20"/>
                <w:szCs w:val="20"/>
              </w:rPr>
              <w:br/>
            </w:r>
            <w:hyperlink r:id="rId64" w:history="1">
              <w:r>
                <w:rPr>
                  <w:rStyle w:val="Hyperlink"/>
                  <w:rFonts w:ascii="Verdana" w:hAnsi="Verdana"/>
                  <w:color w:val="00709B"/>
                  <w:sz w:val="20"/>
                  <w:szCs w:val="20"/>
                </w:rPr>
                <w:t>DB00463</w:t>
              </w:r>
            </w:hyperlink>
            <w:r>
              <w:rPr>
                <w:rFonts w:ascii="Verdana" w:hAnsi="Verdana"/>
                <w:color w:val="222222"/>
                <w:sz w:val="20"/>
                <w:szCs w:val="20"/>
              </w:rPr>
              <w:t> Metharbital</w:t>
            </w:r>
            <w:r>
              <w:rPr>
                <w:rFonts w:ascii="Verdana" w:hAnsi="Verdana"/>
                <w:color w:val="222222"/>
                <w:sz w:val="20"/>
                <w:szCs w:val="20"/>
              </w:rPr>
              <w:br/>
            </w:r>
            <w:hyperlink r:id="rId65" w:history="1">
              <w:r>
                <w:rPr>
                  <w:rStyle w:val="Hyperlink"/>
                  <w:rFonts w:ascii="Verdana" w:hAnsi="Verdana"/>
                  <w:color w:val="00709B"/>
                  <w:sz w:val="20"/>
                  <w:szCs w:val="20"/>
                </w:rPr>
                <w:t>DB00849</w:t>
              </w:r>
            </w:hyperlink>
            <w:r>
              <w:rPr>
                <w:rFonts w:ascii="Verdana" w:hAnsi="Verdana"/>
                <w:color w:val="222222"/>
                <w:sz w:val="20"/>
                <w:szCs w:val="20"/>
              </w:rPr>
              <w:t> Methylphenobarbital</w:t>
            </w:r>
            <w:r>
              <w:rPr>
                <w:rFonts w:ascii="Verdana" w:hAnsi="Verdana"/>
                <w:color w:val="222222"/>
                <w:sz w:val="20"/>
                <w:szCs w:val="20"/>
              </w:rPr>
              <w:br/>
            </w:r>
            <w:hyperlink r:id="rId66" w:history="1">
              <w:r>
                <w:rPr>
                  <w:rStyle w:val="Hyperlink"/>
                  <w:rFonts w:ascii="Verdana" w:hAnsi="Verdana"/>
                  <w:color w:val="00709B"/>
                  <w:sz w:val="20"/>
                  <w:szCs w:val="20"/>
                </w:rPr>
                <w:t>DB00312</w:t>
              </w:r>
            </w:hyperlink>
            <w:r>
              <w:rPr>
                <w:rFonts w:ascii="Verdana" w:hAnsi="Verdana"/>
                <w:color w:val="222222"/>
                <w:sz w:val="20"/>
                <w:szCs w:val="20"/>
              </w:rPr>
              <w:t> Pentobarbital</w:t>
            </w:r>
            <w:r>
              <w:rPr>
                <w:rFonts w:ascii="Verdana" w:hAnsi="Verdana"/>
                <w:color w:val="222222"/>
                <w:sz w:val="20"/>
                <w:szCs w:val="20"/>
              </w:rPr>
              <w:br/>
            </w:r>
            <w:hyperlink r:id="rId67" w:history="1">
              <w:r>
                <w:rPr>
                  <w:rStyle w:val="Hyperlink"/>
                  <w:rFonts w:ascii="Verdana" w:hAnsi="Verdana"/>
                  <w:color w:val="00709B"/>
                  <w:sz w:val="20"/>
                  <w:szCs w:val="20"/>
                </w:rPr>
                <w:t>DB01174</w:t>
              </w:r>
            </w:hyperlink>
            <w:r>
              <w:rPr>
                <w:rFonts w:ascii="Verdana" w:hAnsi="Verdana"/>
                <w:color w:val="222222"/>
                <w:sz w:val="20"/>
                <w:szCs w:val="20"/>
              </w:rPr>
              <w:t> Phenobarbital</w:t>
            </w:r>
            <w:r>
              <w:rPr>
                <w:rFonts w:ascii="Verdana" w:hAnsi="Verdana"/>
                <w:color w:val="222222"/>
                <w:sz w:val="20"/>
                <w:szCs w:val="20"/>
              </w:rPr>
              <w:br/>
            </w:r>
            <w:hyperlink r:id="rId68" w:history="1">
              <w:r>
                <w:rPr>
                  <w:rStyle w:val="Hyperlink"/>
                  <w:rFonts w:ascii="Verdana" w:hAnsi="Verdana"/>
                  <w:color w:val="00709B"/>
                  <w:sz w:val="20"/>
                  <w:szCs w:val="20"/>
                </w:rPr>
                <w:t>DB00794</w:t>
              </w:r>
            </w:hyperlink>
            <w:r>
              <w:rPr>
                <w:rFonts w:ascii="Verdana" w:hAnsi="Verdana"/>
                <w:color w:val="222222"/>
                <w:sz w:val="20"/>
                <w:szCs w:val="20"/>
              </w:rPr>
              <w:t> Primidone</w:t>
            </w:r>
            <w:r>
              <w:rPr>
                <w:rFonts w:ascii="Verdana" w:hAnsi="Verdana"/>
                <w:color w:val="222222"/>
                <w:sz w:val="20"/>
                <w:szCs w:val="20"/>
              </w:rPr>
              <w:br/>
            </w:r>
            <w:hyperlink r:id="rId69" w:history="1">
              <w:r>
                <w:rPr>
                  <w:rStyle w:val="Hyperlink"/>
                  <w:rFonts w:ascii="Verdana" w:hAnsi="Verdana"/>
                  <w:color w:val="00709B"/>
                  <w:sz w:val="20"/>
                  <w:szCs w:val="20"/>
                </w:rPr>
                <w:t>DB02999</w:t>
              </w:r>
            </w:hyperlink>
            <w:r>
              <w:rPr>
                <w:rFonts w:ascii="Verdana" w:hAnsi="Verdana"/>
                <w:color w:val="222222"/>
                <w:sz w:val="20"/>
                <w:szCs w:val="20"/>
              </w:rPr>
              <w:t> </w:t>
            </w:r>
            <w:proofErr w:type="spellStart"/>
            <w:r>
              <w:rPr>
                <w:rFonts w:ascii="Verdana" w:hAnsi="Verdana"/>
                <w:color w:val="222222"/>
                <w:sz w:val="20"/>
                <w:szCs w:val="20"/>
              </w:rPr>
              <w:t>Quisqualate</w:t>
            </w:r>
            <w:proofErr w:type="spellEnd"/>
            <w:r>
              <w:rPr>
                <w:rFonts w:ascii="Verdana" w:hAnsi="Verdana"/>
                <w:color w:val="222222"/>
                <w:sz w:val="20"/>
                <w:szCs w:val="20"/>
              </w:rPr>
              <w:br/>
            </w:r>
            <w:hyperlink r:id="rId70" w:history="1">
              <w:r>
                <w:rPr>
                  <w:rStyle w:val="Hyperlink"/>
                  <w:rFonts w:ascii="Verdana" w:hAnsi="Verdana"/>
                  <w:color w:val="00709B"/>
                  <w:sz w:val="20"/>
                  <w:szCs w:val="20"/>
                </w:rPr>
                <w:t>DB00418</w:t>
              </w:r>
            </w:hyperlink>
            <w:r>
              <w:rPr>
                <w:rFonts w:ascii="Verdana" w:hAnsi="Verdana"/>
                <w:color w:val="222222"/>
                <w:sz w:val="20"/>
                <w:szCs w:val="20"/>
              </w:rPr>
              <w:t> Secobarbital</w:t>
            </w:r>
            <w:r>
              <w:rPr>
                <w:rFonts w:ascii="Verdana" w:hAnsi="Verdana"/>
                <w:color w:val="222222"/>
                <w:sz w:val="20"/>
                <w:szCs w:val="20"/>
              </w:rPr>
              <w:br/>
            </w:r>
            <w:hyperlink r:id="rId71" w:history="1">
              <w:r>
                <w:rPr>
                  <w:rStyle w:val="Hyperlink"/>
                  <w:rFonts w:ascii="Verdana" w:hAnsi="Verdana"/>
                  <w:color w:val="00709B"/>
                  <w:sz w:val="20"/>
                  <w:szCs w:val="20"/>
                </w:rPr>
                <w:t>DB00306</w:t>
              </w:r>
            </w:hyperlink>
            <w:r>
              <w:rPr>
                <w:rFonts w:ascii="Verdana" w:hAnsi="Verdana"/>
                <w:color w:val="222222"/>
                <w:sz w:val="20"/>
                <w:szCs w:val="20"/>
              </w:rPr>
              <w:t> </w:t>
            </w:r>
            <w:proofErr w:type="spellStart"/>
            <w:r>
              <w:rPr>
                <w:rFonts w:ascii="Verdana" w:hAnsi="Verdana"/>
                <w:color w:val="222222"/>
                <w:sz w:val="20"/>
                <w:szCs w:val="20"/>
              </w:rPr>
              <w:t>Talbutal</w:t>
            </w:r>
            <w:proofErr w:type="spellEnd"/>
            <w:r>
              <w:rPr>
                <w:rFonts w:ascii="Verdana" w:hAnsi="Verdana"/>
                <w:color w:val="222222"/>
                <w:sz w:val="20"/>
                <w:szCs w:val="20"/>
              </w:rPr>
              <w:br/>
            </w:r>
            <w:hyperlink r:id="rId72" w:history="1">
              <w:r>
                <w:rPr>
                  <w:rStyle w:val="Hyperlink"/>
                  <w:rFonts w:ascii="Verdana" w:hAnsi="Verdana"/>
                  <w:color w:val="00709B"/>
                  <w:sz w:val="20"/>
                  <w:szCs w:val="20"/>
                </w:rPr>
                <w:t>DB00599</w:t>
              </w:r>
            </w:hyperlink>
            <w:r>
              <w:rPr>
                <w:rFonts w:ascii="Verdana" w:hAnsi="Verdana"/>
                <w:color w:val="222222"/>
                <w:sz w:val="20"/>
                <w:szCs w:val="20"/>
              </w:rPr>
              <w:t> Thiopental</w:t>
            </w:r>
          </w:p>
        </w:tc>
      </w:tr>
    </w:tbl>
    <w:p w14:paraId="22C7D53B" w14:textId="5B659CF7" w:rsidR="004621E7" w:rsidRDefault="00C5201D" w:rsidP="004621E7">
      <w:pPr>
        <w:shd w:val="clear" w:color="auto" w:fill="FFFFFF"/>
        <w:spacing w:before="100" w:beforeAutospacing="1" w:after="100" w:afterAutospacing="1"/>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This gene encodes a subunit of a </w:t>
      </w:r>
      <w:proofErr w:type="spellStart"/>
      <w:r>
        <w:rPr>
          <w:rFonts w:ascii="Arial" w:hAnsi="Arial" w:cs="Arial"/>
          <w:color w:val="222222"/>
          <w:sz w:val="21"/>
          <w:szCs w:val="21"/>
          <w:shd w:val="clear" w:color="auto" w:fill="FFFFFF"/>
        </w:rPr>
        <w:t>kainate</w:t>
      </w:r>
      <w:proofErr w:type="spellEnd"/>
      <w:r>
        <w:rPr>
          <w:rFonts w:ascii="Arial" w:hAnsi="Arial" w:cs="Arial"/>
          <w:color w:val="222222"/>
          <w:sz w:val="21"/>
          <w:szCs w:val="21"/>
          <w:shd w:val="clear" w:color="auto" w:fill="FFFFFF"/>
        </w:rPr>
        <w:t xml:space="preserve"> glutamate receptor. Glutamate receptors mediate the majority of excitatory neurotransmission in the brain. This receptor may have a role in synaptic plasticity and may be important for learning and memory. It also may be involved in the transmission of light information from the retina to the hypothalamus. The structure and function of the encoded protein is changed by </w:t>
      </w:r>
      <w:hyperlink r:id="rId73" w:tooltip="RNA editing" w:history="1">
        <w:r>
          <w:rPr>
            <w:rStyle w:val="Hyperlink"/>
            <w:rFonts w:ascii="Arial" w:hAnsi="Arial" w:cs="Arial"/>
            <w:color w:val="0B0080"/>
            <w:sz w:val="21"/>
            <w:szCs w:val="21"/>
            <w:shd w:val="clear" w:color="auto" w:fill="FFFFFF"/>
          </w:rPr>
          <w:t>RNA editing</w:t>
        </w:r>
      </w:hyperlink>
      <w:r>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Alternatively</w:t>
      </w:r>
      <w:proofErr w:type="gramEnd"/>
      <w:r>
        <w:rPr>
          <w:rFonts w:ascii="Arial" w:hAnsi="Arial" w:cs="Arial"/>
          <w:color w:val="222222"/>
          <w:sz w:val="21"/>
          <w:szCs w:val="21"/>
          <w:shd w:val="clear" w:color="auto" w:fill="FFFFFF"/>
        </w:rPr>
        <w:t xml:space="preserve"> spliced transcript variants encoding distinct isoforms have been described for this gene.</w:t>
      </w:r>
    </w:p>
    <w:p w14:paraId="64439E66" w14:textId="112093C3" w:rsidR="00C5201D" w:rsidRDefault="00C5201D" w:rsidP="004621E7">
      <w:pPr>
        <w:shd w:val="clear" w:color="auto" w:fill="FFFFFF"/>
        <w:spacing w:before="100" w:beforeAutospacing="1" w:after="100" w:afterAutospacing="1"/>
        <w:rPr>
          <w:rFonts w:ascii="Verdana" w:hAnsi="Verdana"/>
          <w:color w:val="000000"/>
          <w:sz w:val="20"/>
          <w:szCs w:val="20"/>
        </w:rPr>
      </w:pPr>
    </w:p>
    <w:p w14:paraId="29D1581D" w14:textId="77777777" w:rsidR="00C5201D" w:rsidRDefault="00C5201D" w:rsidP="004621E7">
      <w:pPr>
        <w:shd w:val="clear" w:color="auto" w:fill="FFFFFF"/>
        <w:spacing w:before="100" w:beforeAutospacing="1" w:after="100" w:afterAutospacing="1"/>
        <w:rPr>
          <w:rFonts w:ascii="Verdana" w:hAnsi="Verdana"/>
          <w:color w:val="000000"/>
          <w:sz w:val="20"/>
          <w:szCs w:val="20"/>
        </w:rPr>
      </w:pPr>
      <w:bookmarkStart w:id="0" w:name="_GoBack"/>
      <w:bookmarkEnd w:id="0"/>
    </w:p>
    <w:p w14:paraId="645A50CE" w14:textId="77777777" w:rsidR="004621E7" w:rsidRDefault="004621E7"/>
    <w:sectPr w:rsidR="00462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3356"/>
    <w:multiLevelType w:val="multilevel"/>
    <w:tmpl w:val="52D2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939EF"/>
    <w:multiLevelType w:val="multilevel"/>
    <w:tmpl w:val="A4AE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A06D3"/>
    <w:multiLevelType w:val="multilevel"/>
    <w:tmpl w:val="DF2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14731"/>
    <w:multiLevelType w:val="multilevel"/>
    <w:tmpl w:val="E09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A"/>
    <w:rsid w:val="004621E7"/>
    <w:rsid w:val="00B96BEA"/>
    <w:rsid w:val="00C5201D"/>
    <w:rsid w:val="00E03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470E"/>
  <w15:chartTrackingRefBased/>
  <w15:docId w15:val="{836416D8-6EBF-422F-98BC-59FF1942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0EF"/>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4621E7"/>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4621E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030EF"/>
    <w:rPr>
      <w:color w:val="0563C1" w:themeColor="hyperlink"/>
      <w:u w:val="single"/>
    </w:rPr>
  </w:style>
  <w:style w:type="character" w:styleId="Emphasis">
    <w:name w:val="Emphasis"/>
    <w:basedOn w:val="DefaultParagraphFont"/>
    <w:uiPriority w:val="20"/>
    <w:qFormat/>
    <w:rsid w:val="00E030EF"/>
    <w:rPr>
      <w:i/>
      <w:iCs/>
    </w:rPr>
  </w:style>
  <w:style w:type="character" w:styleId="Strong">
    <w:name w:val="Strong"/>
    <w:basedOn w:val="DefaultParagraphFont"/>
    <w:uiPriority w:val="22"/>
    <w:qFormat/>
    <w:rsid w:val="00E030EF"/>
    <w:rPr>
      <w:b/>
      <w:bCs/>
    </w:rPr>
  </w:style>
  <w:style w:type="character" w:styleId="UnresolvedMention">
    <w:name w:val="Unresolved Mention"/>
    <w:basedOn w:val="DefaultParagraphFont"/>
    <w:uiPriority w:val="99"/>
    <w:semiHidden/>
    <w:unhideWhenUsed/>
    <w:rsid w:val="00E030EF"/>
    <w:rPr>
      <w:color w:val="808080"/>
      <w:shd w:val="clear" w:color="auto" w:fill="E6E6E6"/>
    </w:rPr>
  </w:style>
  <w:style w:type="character" w:customStyle="1" w:styleId="attributionheader">
    <w:name w:val="attributionheader"/>
    <w:basedOn w:val="DefaultParagraphFont"/>
    <w:rsid w:val="004621E7"/>
  </w:style>
  <w:style w:type="character" w:customStyle="1" w:styleId="Heading4Char">
    <w:name w:val="Heading 4 Char"/>
    <w:basedOn w:val="DefaultParagraphFont"/>
    <w:link w:val="Heading4"/>
    <w:uiPriority w:val="9"/>
    <w:rsid w:val="004621E7"/>
    <w:rPr>
      <w:rFonts w:ascii="Times New Roman" w:eastAsia="Times New Roman" w:hAnsi="Times New Roman" w:cs="Times New Roman"/>
      <w:b/>
      <w:bCs/>
      <w:sz w:val="24"/>
      <w:szCs w:val="24"/>
    </w:rPr>
  </w:style>
  <w:style w:type="character" w:customStyle="1" w:styleId="context-help">
    <w:name w:val="context-help"/>
    <w:basedOn w:val="DefaultParagraphFont"/>
    <w:rsid w:val="004621E7"/>
  </w:style>
  <w:style w:type="character" w:customStyle="1" w:styleId="Heading6Char">
    <w:name w:val="Heading 6 Char"/>
    <w:basedOn w:val="DefaultParagraphFont"/>
    <w:link w:val="Heading6"/>
    <w:uiPriority w:val="9"/>
    <w:semiHidden/>
    <w:rsid w:val="004621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10603">
      <w:bodyDiv w:val="1"/>
      <w:marLeft w:val="0"/>
      <w:marRight w:val="0"/>
      <w:marTop w:val="0"/>
      <w:marBottom w:val="0"/>
      <w:divBdr>
        <w:top w:val="none" w:sz="0" w:space="0" w:color="auto"/>
        <w:left w:val="none" w:sz="0" w:space="0" w:color="auto"/>
        <w:bottom w:val="none" w:sz="0" w:space="0" w:color="auto"/>
        <w:right w:val="none" w:sz="0" w:space="0" w:color="auto"/>
      </w:divBdr>
    </w:div>
    <w:div w:id="806821365">
      <w:bodyDiv w:val="1"/>
      <w:marLeft w:val="0"/>
      <w:marRight w:val="0"/>
      <w:marTop w:val="0"/>
      <w:marBottom w:val="0"/>
      <w:divBdr>
        <w:top w:val="none" w:sz="0" w:space="0" w:color="auto"/>
        <w:left w:val="none" w:sz="0" w:space="0" w:color="auto"/>
        <w:bottom w:val="none" w:sz="0" w:space="0" w:color="auto"/>
        <w:right w:val="none" w:sz="0" w:space="0" w:color="auto"/>
      </w:divBdr>
    </w:div>
    <w:div w:id="129436586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640722945">
      <w:bodyDiv w:val="1"/>
      <w:marLeft w:val="0"/>
      <w:marRight w:val="0"/>
      <w:marTop w:val="0"/>
      <w:marBottom w:val="0"/>
      <w:divBdr>
        <w:top w:val="none" w:sz="0" w:space="0" w:color="auto"/>
        <w:left w:val="none" w:sz="0" w:space="0" w:color="auto"/>
        <w:bottom w:val="none" w:sz="0" w:space="0" w:color="auto"/>
        <w:right w:val="none" w:sz="0" w:space="0" w:color="auto"/>
      </w:divBdr>
    </w:div>
    <w:div w:id="1694769347">
      <w:bodyDiv w:val="1"/>
      <w:marLeft w:val="0"/>
      <w:marRight w:val="0"/>
      <w:marTop w:val="0"/>
      <w:marBottom w:val="0"/>
      <w:divBdr>
        <w:top w:val="none" w:sz="0" w:space="0" w:color="auto"/>
        <w:left w:val="none" w:sz="0" w:space="0" w:color="auto"/>
        <w:bottom w:val="none" w:sz="0" w:space="0" w:color="auto"/>
        <w:right w:val="none" w:sz="0" w:space="0" w:color="auto"/>
      </w:divBdr>
    </w:div>
    <w:div w:id="19445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ebi.ac.uk/QuickGO/term/GO:0015277" TargetMode="External"/><Relationship Id="rId18" Type="http://schemas.openxmlformats.org/officeDocument/2006/relationships/hyperlink" Target="https://www.ebi.ac.uk/QuickGO/term/GO:0031625" TargetMode="External"/><Relationship Id="rId26" Type="http://schemas.openxmlformats.org/officeDocument/2006/relationships/hyperlink" Target="https://www.ebi.ac.uk/QuickGO/term/GO:0050804" TargetMode="External"/><Relationship Id="rId39" Type="http://schemas.openxmlformats.org/officeDocument/2006/relationships/hyperlink" Target="http://www.uniprot.org/locations/SL-9909" TargetMode="External"/><Relationship Id="rId21" Type="http://schemas.openxmlformats.org/officeDocument/2006/relationships/hyperlink" Target="https://www.ebi.ac.uk/QuickGO/term/GO:0006874" TargetMode="External"/><Relationship Id="rId34" Type="http://schemas.openxmlformats.org/officeDocument/2006/relationships/hyperlink" Target="https://www.ebi.ac.uk/QuickGO/term/GO:0046328" TargetMode="External"/><Relationship Id="rId42" Type="http://schemas.openxmlformats.org/officeDocument/2006/relationships/hyperlink" Target="https://www.ebi.ac.uk/QuickGO/term/GO:0005887" TargetMode="External"/><Relationship Id="rId47" Type="http://schemas.openxmlformats.org/officeDocument/2006/relationships/hyperlink" Target="https://www.ebi.ac.uk/QuickGO/term/GO:0030054" TargetMode="External"/><Relationship Id="rId50" Type="http://schemas.openxmlformats.org/officeDocument/2006/relationships/hyperlink" Target="https://www.ebi.ac.uk/QuickGO/term/GO:0014069" TargetMode="External"/><Relationship Id="rId55" Type="http://schemas.openxmlformats.org/officeDocument/2006/relationships/hyperlink" Target="https://www.drugbank.ca/drugs/DB01483" TargetMode="External"/><Relationship Id="rId63" Type="http://schemas.openxmlformats.org/officeDocument/2006/relationships/hyperlink" Target="https://www.drugbank.ca/drugs/DB00142" TargetMode="External"/><Relationship Id="rId68" Type="http://schemas.openxmlformats.org/officeDocument/2006/relationships/hyperlink" Target="https://www.drugbank.ca/drugs/DB00794" TargetMode="External"/><Relationship Id="rId7" Type="http://schemas.openxmlformats.org/officeDocument/2006/relationships/hyperlink" Target="https://www.ncbi.nlm.nih.gov/pmc/articles/PMC3701888/" TargetMode="External"/><Relationship Id="rId71" Type="http://schemas.openxmlformats.org/officeDocument/2006/relationships/hyperlink" Target="https://www.drugbank.ca/drugs/DB00306" TargetMode="External"/><Relationship Id="rId2" Type="http://schemas.openxmlformats.org/officeDocument/2006/relationships/styles" Target="styles.xml"/><Relationship Id="rId16" Type="http://schemas.openxmlformats.org/officeDocument/2006/relationships/hyperlink" Target="https://www.ebi.ac.uk/QuickGO/term/GO:0042803" TargetMode="External"/><Relationship Id="rId29" Type="http://schemas.openxmlformats.org/officeDocument/2006/relationships/hyperlink" Target="https://www.ebi.ac.uk/QuickGO/term/GO:0019228" TargetMode="External"/><Relationship Id="rId11" Type="http://schemas.openxmlformats.org/officeDocument/2006/relationships/hyperlink" Target="http://www.uniprot.org/citations/28180184" TargetMode="External"/><Relationship Id="rId24" Type="http://schemas.openxmlformats.org/officeDocument/2006/relationships/hyperlink" Target="https://www.ebi.ac.uk/QuickGO/term/GO:0060080" TargetMode="External"/><Relationship Id="rId32" Type="http://schemas.openxmlformats.org/officeDocument/2006/relationships/hyperlink" Target="https://www.ebi.ac.uk/QuickGO/term/GO:0050806" TargetMode="External"/><Relationship Id="rId37" Type="http://schemas.openxmlformats.org/officeDocument/2006/relationships/hyperlink" Target="https://www.ebi.ac.uk/QuickGO/term/GO:0035249" TargetMode="External"/><Relationship Id="rId40" Type="http://schemas.openxmlformats.org/officeDocument/2006/relationships/hyperlink" Target="http://www.uniprot.org/locations/SL-0219" TargetMode="External"/><Relationship Id="rId45" Type="http://schemas.openxmlformats.org/officeDocument/2006/relationships/hyperlink" Target="https://www.ebi.ac.uk/QuickGO/term/GO:0045211" TargetMode="External"/><Relationship Id="rId53" Type="http://schemas.openxmlformats.org/officeDocument/2006/relationships/hyperlink" Target="https://www.drugbank.ca/drugs/DB01351" TargetMode="External"/><Relationship Id="rId58" Type="http://schemas.openxmlformats.org/officeDocument/2006/relationships/hyperlink" Target="https://www.drugbank.ca/drugs/DB00241" TargetMode="External"/><Relationship Id="rId66" Type="http://schemas.openxmlformats.org/officeDocument/2006/relationships/hyperlink" Target="https://www.drugbank.ca/drugs/DB00312" TargetMode="External"/><Relationship Id="rId74" Type="http://schemas.openxmlformats.org/officeDocument/2006/relationships/fontTable" Target="fontTable.xml"/><Relationship Id="rId5" Type="http://schemas.openxmlformats.org/officeDocument/2006/relationships/hyperlink" Target="https://www.ncbi.nlm.nih.gov/pmc/articles/PMC3701888/" TargetMode="External"/><Relationship Id="rId15" Type="http://schemas.openxmlformats.org/officeDocument/2006/relationships/hyperlink" Target="https://www.ebi.ac.uk/QuickGO/term/GO:0030165" TargetMode="External"/><Relationship Id="rId23" Type="http://schemas.openxmlformats.org/officeDocument/2006/relationships/hyperlink" Target="https://www.ebi.ac.uk/QuickGO/term/GO:0007215" TargetMode="External"/><Relationship Id="rId28" Type="http://schemas.openxmlformats.org/officeDocument/2006/relationships/hyperlink" Target="https://www.ebi.ac.uk/QuickGO/term/GO:0051967" TargetMode="External"/><Relationship Id="rId36" Type="http://schemas.openxmlformats.org/officeDocument/2006/relationships/hyperlink" Target="https://www.ebi.ac.uk/QuickGO/term/GO:0048172" TargetMode="External"/><Relationship Id="rId49" Type="http://schemas.openxmlformats.org/officeDocument/2006/relationships/hyperlink" Target="https://www.ebi.ac.uk/QuickGO/term/GO:0043204" TargetMode="External"/><Relationship Id="rId57" Type="http://schemas.openxmlformats.org/officeDocument/2006/relationships/hyperlink" Target="https://www.drugbank.ca/drugs/DB00237" TargetMode="External"/><Relationship Id="rId61" Type="http://schemas.openxmlformats.org/officeDocument/2006/relationships/hyperlink" Target="https://www.drugbank.ca/drugs/DB01354" TargetMode="External"/><Relationship Id="rId10" Type="http://schemas.openxmlformats.org/officeDocument/2006/relationships/hyperlink" Target="http://www.uniprot.org/uniprot/Q13002" TargetMode="External"/><Relationship Id="rId19" Type="http://schemas.openxmlformats.org/officeDocument/2006/relationships/hyperlink" Target="http://www.ebi.ac.uk/QuickGO/annotations?geneProductId=Q13002" TargetMode="External"/><Relationship Id="rId31" Type="http://schemas.openxmlformats.org/officeDocument/2006/relationships/hyperlink" Target="https://www.ebi.ac.uk/QuickGO/term/GO:0043525" TargetMode="External"/><Relationship Id="rId44" Type="http://schemas.openxmlformats.org/officeDocument/2006/relationships/hyperlink" Target="https://www.ebi.ac.uk/QuickGO/term/GO:0005886" TargetMode="External"/><Relationship Id="rId52" Type="http://schemas.openxmlformats.org/officeDocument/2006/relationships/hyperlink" Target="http://www.uniprot.org/diseases/DI-01245" TargetMode="External"/><Relationship Id="rId60" Type="http://schemas.openxmlformats.org/officeDocument/2006/relationships/hyperlink" Target="https://www.drugbank.ca/drugs/DB02852" TargetMode="External"/><Relationship Id="rId65" Type="http://schemas.openxmlformats.org/officeDocument/2006/relationships/hyperlink" Target="https://www.drugbank.ca/drugs/DB00849" TargetMode="External"/><Relationship Id="rId73" Type="http://schemas.openxmlformats.org/officeDocument/2006/relationships/hyperlink" Target="https://en.wikipedia.org/wiki/RNA_editing" TargetMode="External"/><Relationship Id="rId4" Type="http://schemas.openxmlformats.org/officeDocument/2006/relationships/webSettings" Target="webSettings.xml"/><Relationship Id="rId9" Type="http://schemas.openxmlformats.org/officeDocument/2006/relationships/hyperlink" Target="https://www.ncbi.nlm.nih.gov/gene/2898" TargetMode="External"/><Relationship Id="rId14" Type="http://schemas.openxmlformats.org/officeDocument/2006/relationships/hyperlink" Target="https://www.ebi.ac.uk/QuickGO/term/GO:0015276" TargetMode="External"/><Relationship Id="rId22" Type="http://schemas.openxmlformats.org/officeDocument/2006/relationships/hyperlink" Target="https://www.ebi.ac.uk/QuickGO/term/GO:0007268" TargetMode="External"/><Relationship Id="rId27" Type="http://schemas.openxmlformats.org/officeDocument/2006/relationships/hyperlink" Target="https://www.ebi.ac.uk/QuickGO/term/GO:0043524" TargetMode="External"/><Relationship Id="rId30" Type="http://schemas.openxmlformats.org/officeDocument/2006/relationships/hyperlink" Target="https://www.ebi.ac.uk/QuickGO/term/GO:0051402" TargetMode="External"/><Relationship Id="rId35" Type="http://schemas.openxmlformats.org/officeDocument/2006/relationships/hyperlink" Target="https://www.ebi.ac.uk/QuickGO/term/GO:0048169" TargetMode="External"/><Relationship Id="rId43" Type="http://schemas.openxmlformats.org/officeDocument/2006/relationships/hyperlink" Target="https://www.ebi.ac.uk/QuickGO/term/GO:0032983" TargetMode="External"/><Relationship Id="rId48" Type="http://schemas.openxmlformats.org/officeDocument/2006/relationships/hyperlink" Target="https://www.ebi.ac.uk/QuickGO/term/GO:0032839" TargetMode="External"/><Relationship Id="rId56" Type="http://schemas.openxmlformats.org/officeDocument/2006/relationships/hyperlink" Target="https://www.drugbank.ca/drugs/DB01496" TargetMode="External"/><Relationship Id="rId64" Type="http://schemas.openxmlformats.org/officeDocument/2006/relationships/hyperlink" Target="https://www.drugbank.ca/drugs/DB00463" TargetMode="External"/><Relationship Id="rId69" Type="http://schemas.openxmlformats.org/officeDocument/2006/relationships/hyperlink" Target="https://www.drugbank.ca/drugs/DB02999" TargetMode="External"/><Relationship Id="rId8" Type="http://schemas.openxmlformats.org/officeDocument/2006/relationships/hyperlink" Target="https://www.ncbi.nlm.nih.gov/pmc/articles/PMC4836736/" TargetMode="External"/><Relationship Id="rId51" Type="http://schemas.openxmlformats.org/officeDocument/2006/relationships/hyperlink" Target="https://www.ebi.ac.uk/QuickGO/term/GO:0043195" TargetMode="External"/><Relationship Id="rId72" Type="http://schemas.openxmlformats.org/officeDocument/2006/relationships/hyperlink" Target="https://www.drugbank.ca/drugs/DB00599" TargetMode="External"/><Relationship Id="rId3" Type="http://schemas.openxmlformats.org/officeDocument/2006/relationships/settings" Target="settings.xml"/><Relationship Id="rId12" Type="http://schemas.openxmlformats.org/officeDocument/2006/relationships/hyperlink" Target="https://www.ebi.ac.uk/QuickGO/term/GO:0005234" TargetMode="External"/><Relationship Id="rId17" Type="http://schemas.openxmlformats.org/officeDocument/2006/relationships/hyperlink" Target="https://www.ebi.ac.uk/QuickGO/term/GO:0031624" TargetMode="External"/><Relationship Id="rId25" Type="http://schemas.openxmlformats.org/officeDocument/2006/relationships/hyperlink" Target="https://www.ebi.ac.uk/QuickGO/term/GO:0006886" TargetMode="External"/><Relationship Id="rId33" Type="http://schemas.openxmlformats.org/officeDocument/2006/relationships/hyperlink" Target="https://www.ebi.ac.uk/QuickGO/term/GO:0043113" TargetMode="External"/><Relationship Id="rId38" Type="http://schemas.openxmlformats.org/officeDocument/2006/relationships/hyperlink" Target="http://www.uniprot.org/locations/SL-0039" TargetMode="External"/><Relationship Id="rId46" Type="http://schemas.openxmlformats.org/officeDocument/2006/relationships/hyperlink" Target="https://www.ebi.ac.uk/QuickGO/term/GO:0042734" TargetMode="External"/><Relationship Id="rId59" Type="http://schemas.openxmlformats.org/officeDocument/2006/relationships/hyperlink" Target="https://www.drugbank.ca/drugs/DB01353" TargetMode="External"/><Relationship Id="rId67" Type="http://schemas.openxmlformats.org/officeDocument/2006/relationships/hyperlink" Target="https://www.drugbank.ca/drugs/DB01174" TargetMode="External"/><Relationship Id="rId20" Type="http://schemas.openxmlformats.org/officeDocument/2006/relationships/hyperlink" Target="https://www.ebi.ac.uk/QuickGO/term/GO:0001662" TargetMode="External"/><Relationship Id="rId41" Type="http://schemas.openxmlformats.org/officeDocument/2006/relationships/hyperlink" Target="http://www.uniprot.org/locations/SL-9909" TargetMode="External"/><Relationship Id="rId54" Type="http://schemas.openxmlformats.org/officeDocument/2006/relationships/hyperlink" Target="https://www.drugbank.ca/drugs/DB01352" TargetMode="External"/><Relationship Id="rId62" Type="http://schemas.openxmlformats.org/officeDocument/2006/relationships/hyperlink" Target="https://www.drugbank.ca/drugs/DB01355" TargetMode="External"/><Relationship Id="rId70" Type="http://schemas.openxmlformats.org/officeDocument/2006/relationships/hyperlink" Target="https://www.drugbank.ca/drugs/DB00418"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3701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4</cp:revision>
  <dcterms:created xsi:type="dcterms:W3CDTF">2018-05-11T08:57:00Z</dcterms:created>
  <dcterms:modified xsi:type="dcterms:W3CDTF">2018-05-11T09:07:00Z</dcterms:modified>
</cp:coreProperties>
</file>