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B4E8F" w14:textId="452C5FDF" w:rsidR="00DC377A" w:rsidRDefault="00DC377A" w:rsidP="004A7D1A">
      <w:pPr>
        <w:pStyle w:val="NormalWeb"/>
        <w:shd w:val="clear" w:color="auto" w:fill="FFFFFF"/>
        <w:spacing w:before="0" w:beforeAutospacing="0" w:after="120" w:afterAutospacing="0"/>
        <w:rPr>
          <w:rFonts w:ascii="Calibri" w:hAnsi="Calibri"/>
          <w:color w:val="000000"/>
          <w:sz w:val="22"/>
          <w:szCs w:val="22"/>
        </w:rPr>
      </w:pPr>
      <w:r>
        <w:rPr>
          <w:rFonts w:ascii="Calibri" w:hAnsi="Calibri"/>
          <w:color w:val="000000"/>
          <w:sz w:val="22"/>
          <w:szCs w:val="22"/>
        </w:rPr>
        <w:t>This variant causes increased IFN-gamma production</w:t>
      </w:r>
      <w:r w:rsidR="004A7D1A">
        <w:rPr>
          <w:rFonts w:ascii="Calibri" w:hAnsi="Calibri"/>
          <w:color w:val="000000"/>
          <w:sz w:val="22"/>
          <w:szCs w:val="22"/>
        </w:rPr>
        <w:t xml:space="preserve"> in natural killer cells and T-cells, which decreases CD-4 counts and impairs the ability of the immune system to recognize and fight viruses</w:t>
      </w:r>
      <w:r>
        <w:rPr>
          <w:rFonts w:ascii="Calibri" w:hAnsi="Calibri"/>
          <w:color w:val="000000"/>
          <w:sz w:val="22"/>
          <w:szCs w:val="22"/>
        </w:rPr>
        <w:t xml:space="preserve">. </w:t>
      </w:r>
      <w:r>
        <w:rPr>
          <w:rFonts w:ascii="Arial" w:hAnsi="Arial" w:cs="Arial"/>
          <w:color w:val="000000"/>
          <w:sz w:val="21"/>
          <w:szCs w:val="21"/>
        </w:rPr>
        <w:t xml:space="preserve">Elevated expression of IFNG has been associated with [systemic lupus </w:t>
      </w:r>
      <w:proofErr w:type="gramStart"/>
      <w:r>
        <w:rPr>
          <w:rFonts w:ascii="Arial" w:hAnsi="Arial" w:cs="Arial"/>
          <w:color w:val="000000"/>
          <w:sz w:val="21"/>
          <w:szCs w:val="21"/>
        </w:rPr>
        <w:t>erythematosus]</w:t>
      </w:r>
      <w:r w:rsidR="004A7D1A">
        <w:rPr>
          <w:rFonts w:ascii="Arial" w:hAnsi="Arial" w:cs="Arial"/>
          <w:color w:val="000000"/>
          <w:sz w:val="21"/>
          <w:szCs w:val="21"/>
        </w:rPr>
        <w:t>(</w:t>
      </w:r>
      <w:proofErr w:type="gramEnd"/>
      <w:r w:rsidR="004A7D1A">
        <w:rPr>
          <w:rFonts w:ascii="Arial" w:hAnsi="Arial" w:cs="Arial"/>
          <w:sz w:val="25"/>
          <w:szCs w:val="25"/>
        </w:rPr>
        <w:fldChar w:fldCharType="begin"/>
      </w:r>
      <w:r w:rsidR="004A7D1A">
        <w:rPr>
          <w:rFonts w:ascii="Arial" w:hAnsi="Arial" w:cs="Arial"/>
          <w:sz w:val="25"/>
          <w:szCs w:val="25"/>
        </w:rPr>
        <w:instrText xml:space="preserve"> HYPERLINK "</w:instrText>
      </w:r>
      <w:r w:rsidR="004A7D1A" w:rsidRPr="004A7D1A">
        <w:rPr>
          <w:rFonts w:ascii="Arial" w:hAnsi="Arial" w:cs="Arial"/>
          <w:sz w:val="25"/>
          <w:szCs w:val="25"/>
        </w:rPr>
        <w:instrText>https://www.ncbi.nlm.nih.gov/pubmed/19919944</w:instrText>
      </w:r>
      <w:r w:rsidR="004A7D1A">
        <w:rPr>
          <w:rFonts w:ascii="Arial" w:hAnsi="Arial" w:cs="Arial"/>
          <w:sz w:val="25"/>
          <w:szCs w:val="25"/>
        </w:rPr>
        <w:instrText xml:space="preserve">" </w:instrText>
      </w:r>
      <w:r w:rsidR="004A7D1A">
        <w:rPr>
          <w:rFonts w:ascii="Arial" w:hAnsi="Arial" w:cs="Arial"/>
          <w:sz w:val="25"/>
          <w:szCs w:val="25"/>
        </w:rPr>
        <w:fldChar w:fldCharType="separate"/>
      </w:r>
      <w:r w:rsidR="004A7D1A" w:rsidRPr="00B4547F">
        <w:rPr>
          <w:rStyle w:val="Hyperlink"/>
          <w:rFonts w:ascii="Arial" w:hAnsi="Arial" w:cs="Arial"/>
          <w:sz w:val="25"/>
          <w:szCs w:val="25"/>
        </w:rPr>
        <w:t>https://www.ncbi.nlm.nih.gov/pubmed/19919944</w:t>
      </w:r>
      <w:r w:rsidR="004A7D1A">
        <w:rPr>
          <w:rFonts w:ascii="Arial" w:hAnsi="Arial" w:cs="Arial"/>
          <w:sz w:val="25"/>
          <w:szCs w:val="25"/>
        </w:rPr>
        <w:fldChar w:fldCharType="end"/>
      </w:r>
      <w:r w:rsidR="004A7D1A">
        <w:rPr>
          <w:rFonts w:ascii="Arial" w:hAnsi="Arial" w:cs="Arial"/>
          <w:color w:val="000000"/>
          <w:sz w:val="21"/>
          <w:szCs w:val="21"/>
        </w:rPr>
        <w:t>)</w:t>
      </w:r>
      <w:r>
        <w:rPr>
          <w:rFonts w:ascii="Arial" w:hAnsi="Arial" w:cs="Arial"/>
          <w:color w:val="000000"/>
          <w:sz w:val="21"/>
          <w:szCs w:val="21"/>
        </w:rPr>
        <w:t xml:space="preserve">, with this variant </w:t>
      </w:r>
      <w:r w:rsidR="004A7D1A">
        <w:rPr>
          <w:rFonts w:ascii="Arial" w:hAnsi="Arial" w:cs="Arial"/>
          <w:color w:val="000000"/>
          <w:sz w:val="21"/>
          <w:szCs w:val="21"/>
        </w:rPr>
        <w:t>being marginally correlated</w:t>
      </w:r>
      <w:r>
        <w:rPr>
          <w:rFonts w:ascii="Arial" w:hAnsi="Arial" w:cs="Arial"/>
          <w:color w:val="000000"/>
          <w:sz w:val="21"/>
          <w:szCs w:val="21"/>
        </w:rPr>
        <w:t xml:space="preserve">. </w:t>
      </w:r>
      <w:r>
        <w:rPr>
          <w:rFonts w:ascii="Calibri" w:hAnsi="Calibri"/>
          <w:color w:val="000000"/>
          <w:sz w:val="22"/>
          <w:szCs w:val="22"/>
        </w:rPr>
        <w:t>Due to the reduced efficiency of the immune system, The CT and TT variants significantly associated with [tuberculosis](</w:t>
      </w:r>
      <w:hyperlink r:id="rId5" w:history="1">
        <w:r w:rsidRPr="00B4547F">
          <w:rPr>
            <w:rStyle w:val="Hyperlink"/>
            <w:rFonts w:ascii="Arial" w:hAnsi="Arial" w:cs="Arial"/>
            <w:sz w:val="25"/>
            <w:szCs w:val="25"/>
          </w:rPr>
          <w:t>https://www.ncbi.nlm.nih.gov/pubmed/24529854</w:t>
        </w:r>
      </w:hyperlink>
      <w:r>
        <w:rPr>
          <w:rFonts w:ascii="Calibri" w:hAnsi="Calibri"/>
          <w:color w:val="000000"/>
          <w:sz w:val="22"/>
          <w:szCs w:val="22"/>
        </w:rPr>
        <w:t>)</w:t>
      </w:r>
      <w:r w:rsidR="004A7D1A">
        <w:rPr>
          <w:rFonts w:ascii="Calibri" w:hAnsi="Calibri"/>
          <w:color w:val="000000"/>
          <w:sz w:val="22"/>
          <w:szCs w:val="22"/>
        </w:rPr>
        <w:t xml:space="preserve">, </w:t>
      </w:r>
      <w:r>
        <w:rPr>
          <w:rFonts w:ascii="Calibri" w:hAnsi="Calibri"/>
          <w:color w:val="000000"/>
          <w:sz w:val="22"/>
          <w:szCs w:val="22"/>
        </w:rPr>
        <w:t xml:space="preserve"> [pulmonary tuberculosis](</w:t>
      </w:r>
      <w:hyperlink r:id="rId6" w:history="1">
        <w:r w:rsidR="004A7D1A" w:rsidRPr="00B4547F">
          <w:rPr>
            <w:rStyle w:val="Hyperlink"/>
          </w:rPr>
          <w:t>https://www.ncbi.nlm.nih.gov/pubmed/28867622</w:t>
        </w:r>
      </w:hyperlink>
      <w:r>
        <w:rPr>
          <w:rFonts w:ascii="Calibri" w:hAnsi="Calibri"/>
          <w:color w:val="000000"/>
          <w:sz w:val="22"/>
          <w:szCs w:val="22"/>
        </w:rPr>
        <w:t>)</w:t>
      </w:r>
      <w:r w:rsidR="004A7D1A">
        <w:rPr>
          <w:rFonts w:ascii="Calibri" w:hAnsi="Calibri"/>
          <w:color w:val="000000"/>
          <w:sz w:val="22"/>
          <w:szCs w:val="22"/>
        </w:rPr>
        <w:t>, [asthma](</w:t>
      </w:r>
      <w:hyperlink r:id="rId7" w:history="1">
        <w:r w:rsidR="004A7D1A" w:rsidRPr="00B4547F">
          <w:rPr>
            <w:rStyle w:val="Hyperlink"/>
            <w:rFonts w:ascii="Arial" w:hAnsi="Arial" w:cs="Arial"/>
            <w:sz w:val="25"/>
            <w:szCs w:val="25"/>
          </w:rPr>
          <w:t>https://www.ncbi.nlm.nih.gov/pubmed/18385742</w:t>
        </w:r>
      </w:hyperlink>
      <w:r w:rsidR="004A7D1A">
        <w:rPr>
          <w:rFonts w:ascii="Calibri" w:hAnsi="Calibri"/>
          <w:color w:val="000000"/>
          <w:sz w:val="22"/>
          <w:szCs w:val="22"/>
        </w:rPr>
        <w:t>) and [ME/CFS](</w:t>
      </w:r>
      <w:hyperlink r:id="rId8" w:history="1">
        <w:r w:rsidR="004A7D1A" w:rsidRPr="00B4547F">
          <w:rPr>
            <w:rStyle w:val="Hyperlink"/>
          </w:rPr>
          <w:t>https://www.ncbi.nlm.nih.gov/pubmed/26063326</w:t>
        </w:r>
      </w:hyperlink>
      <w:r w:rsidR="004A7D1A">
        <w:rPr>
          <w:rFonts w:ascii="Calibri" w:hAnsi="Calibri"/>
          <w:color w:val="000000"/>
          <w:sz w:val="22"/>
          <w:szCs w:val="22"/>
        </w:rPr>
        <w:t>).</w:t>
      </w:r>
    </w:p>
    <w:p w14:paraId="5266CF31" w14:textId="4D277B31" w:rsidR="004A7D1A" w:rsidRDefault="004A7D1A" w:rsidP="004A7D1A">
      <w:pPr>
        <w:pStyle w:val="NormalWeb"/>
        <w:shd w:val="clear" w:color="auto" w:fill="FFFFFF"/>
        <w:spacing w:before="0" w:beforeAutospacing="0" w:after="120" w:afterAutospacing="0"/>
        <w:rPr>
          <w:rFonts w:ascii="Arial" w:hAnsi="Arial" w:cs="Arial"/>
          <w:color w:val="000000"/>
          <w:sz w:val="25"/>
          <w:szCs w:val="25"/>
        </w:rPr>
      </w:pPr>
    </w:p>
    <w:p w14:paraId="7EADF252" w14:textId="3F6418EC" w:rsidR="004A7D1A" w:rsidRDefault="004A7D1A" w:rsidP="004A7D1A">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People should consider regular bloodwork to check levels of white blood cells. Be aware of your susceptibility to TB and avoid infectious areas and patients.  </w:t>
      </w:r>
      <w:r>
        <w:t>[Medications](</w:t>
      </w:r>
      <w:hyperlink r:id="rId9" w:history="1">
        <w:r w:rsidRPr="00B4547F">
          <w:rPr>
            <w:rStyle w:val="Hyperlink"/>
          </w:rPr>
          <w:t>http://www.uniprot.org/uniprot/P01579</w:t>
        </w:r>
      </w:hyperlink>
      <w:r>
        <w:t xml:space="preserve">) used for IFNG variants include: </w:t>
      </w:r>
      <w:r>
        <w:rPr>
          <w:rFonts w:ascii="Verdana" w:hAnsi="Verdana"/>
          <w:color w:val="222222"/>
          <w:sz w:val="20"/>
          <w:szCs w:val="20"/>
        </w:rPr>
        <w:t>[Apremilast](</w:t>
      </w:r>
      <w:hyperlink r:id="rId10" w:history="1">
        <w:r w:rsidRPr="00B4547F">
          <w:rPr>
            <w:rStyle w:val="Hyperlink"/>
            <w:rFonts w:ascii="Verdana" w:hAnsi="Verdana"/>
            <w:sz w:val="20"/>
            <w:szCs w:val="20"/>
          </w:rPr>
          <w:t>https://www.drugbank.ca/drugs/DB05676</w:t>
        </w:r>
      </w:hyperlink>
      <w:r>
        <w:rPr>
          <w:rFonts w:ascii="Verdana" w:hAnsi="Verdana"/>
          <w:color w:val="222222"/>
          <w:sz w:val="20"/>
          <w:szCs w:val="20"/>
        </w:rPr>
        <w:t>), [Fontolizumab]</w:t>
      </w:r>
      <w:r>
        <w:t>(</w:t>
      </w:r>
      <w:hyperlink r:id="rId11" w:history="1">
        <w:r w:rsidRPr="00B4547F">
          <w:rPr>
            <w:rStyle w:val="Hyperlink"/>
            <w:rFonts w:ascii="Verdana" w:hAnsi="Verdana"/>
            <w:sz w:val="20"/>
            <w:szCs w:val="20"/>
          </w:rPr>
          <w:t>https://www.drugbank.ca/drugs/DB05111</w:t>
        </w:r>
      </w:hyperlink>
      <w:r>
        <w:rPr>
          <w:rFonts w:ascii="Verdana" w:hAnsi="Verdana"/>
          <w:color w:val="222222"/>
          <w:sz w:val="20"/>
          <w:szCs w:val="20"/>
        </w:rPr>
        <w:t>), [Glucosamine](</w:t>
      </w:r>
      <w:hyperlink r:id="rId12" w:history="1">
        <w:r w:rsidRPr="00B4547F">
          <w:rPr>
            <w:rStyle w:val="Hyperlink"/>
            <w:rFonts w:ascii="Verdana" w:hAnsi="Verdana"/>
            <w:sz w:val="20"/>
            <w:szCs w:val="20"/>
          </w:rPr>
          <w:t>https://www.drugbank.ca/drugs/DB01296</w:t>
        </w:r>
      </w:hyperlink>
      <w:r>
        <w:rPr>
          <w:rFonts w:ascii="Verdana" w:hAnsi="Verdana"/>
          <w:color w:val="222222"/>
          <w:sz w:val="20"/>
          <w:szCs w:val="20"/>
        </w:rPr>
        <w:t>), [Olsalazine](</w:t>
      </w:r>
      <w:hyperlink r:id="rId13" w:history="1">
        <w:r w:rsidRPr="00B4547F">
          <w:rPr>
            <w:rStyle w:val="Hyperlink"/>
            <w:rFonts w:ascii="Verdana" w:hAnsi="Verdana"/>
            <w:sz w:val="20"/>
            <w:szCs w:val="20"/>
          </w:rPr>
          <w:t>https://www.drugbank.ca/drugs/DB01250</w:t>
        </w:r>
      </w:hyperlink>
      <w:r>
        <w:rPr>
          <w:rFonts w:ascii="Verdana" w:hAnsi="Verdana"/>
          <w:color w:val="222222"/>
          <w:sz w:val="20"/>
          <w:szCs w:val="20"/>
        </w:rPr>
        <w:t>), and [VIR201](</w:t>
      </w:r>
      <w:r w:rsidRPr="00D81AEF">
        <w:rPr>
          <w:rFonts w:ascii="Verdana" w:hAnsi="Verdana"/>
          <w:color w:val="222222"/>
          <w:sz w:val="20"/>
          <w:szCs w:val="20"/>
        </w:rPr>
        <w:t>https://www.drugbank.ca/drugs/DB05110</w:t>
      </w:r>
      <w:r>
        <w:rPr>
          <w:rFonts w:ascii="Verdana" w:hAnsi="Verdana"/>
          <w:color w:val="222222"/>
          <w:sz w:val="20"/>
          <w:szCs w:val="20"/>
        </w:rPr>
        <w:t>).</w:t>
      </w:r>
    </w:p>
    <w:p w14:paraId="77893DF9" w14:textId="671B61D5" w:rsidR="004A7D1A" w:rsidRDefault="004A7D1A" w:rsidP="004A7D1A">
      <w:pPr>
        <w:pStyle w:val="NormalWeb"/>
        <w:shd w:val="clear" w:color="auto" w:fill="FFFFFF"/>
        <w:spacing w:before="0" w:beforeAutospacing="0" w:after="120" w:afterAutospacing="0"/>
        <w:rPr>
          <w:rFonts w:ascii="Arial" w:hAnsi="Arial" w:cs="Arial"/>
          <w:color w:val="000000"/>
          <w:sz w:val="25"/>
          <w:szCs w:val="25"/>
        </w:rPr>
      </w:pPr>
    </w:p>
    <w:p w14:paraId="20850345" w14:textId="77777777" w:rsidR="004A7D1A" w:rsidRPr="004A7D1A" w:rsidRDefault="004A7D1A" w:rsidP="004A7D1A">
      <w:pPr>
        <w:pStyle w:val="NormalWeb"/>
        <w:shd w:val="clear" w:color="auto" w:fill="FFFFFF"/>
        <w:spacing w:before="0" w:beforeAutospacing="0" w:after="120" w:afterAutospacing="0"/>
        <w:rPr>
          <w:rFonts w:ascii="Arial" w:hAnsi="Arial" w:cs="Arial"/>
          <w:color w:val="000000"/>
          <w:sz w:val="25"/>
          <w:szCs w:val="25"/>
        </w:rPr>
      </w:pPr>
    </w:p>
    <w:p w14:paraId="4B755CFD" w14:textId="707D2E9F" w:rsidR="00DC377A" w:rsidRDefault="00DC377A" w:rsidP="00664426"/>
    <w:p w14:paraId="0D728C5D" w14:textId="77777777" w:rsidR="00DC377A" w:rsidRPr="00DC377A" w:rsidRDefault="00DC377A" w:rsidP="00664426"/>
    <w:p w14:paraId="6CA488D9" w14:textId="77777777" w:rsidR="00DC377A" w:rsidRDefault="00DC377A" w:rsidP="00664426">
      <w:pPr>
        <w:rPr>
          <w:rFonts w:ascii="Calibri" w:hAnsi="Calibri"/>
          <w:color w:val="000000"/>
          <w:sz w:val="22"/>
          <w:szCs w:val="22"/>
        </w:rPr>
      </w:pPr>
    </w:p>
    <w:p w14:paraId="1C15A616" w14:textId="1ED1AB47" w:rsidR="00664426" w:rsidRPr="00664426" w:rsidRDefault="00664426" w:rsidP="00664426">
      <w:pPr>
        <w:rPr>
          <w:rFonts w:ascii="Calibri" w:hAnsi="Calibri"/>
          <w:color w:val="000000"/>
          <w:sz w:val="22"/>
          <w:szCs w:val="22"/>
        </w:rPr>
      </w:pPr>
      <w:r w:rsidRPr="00664426">
        <w:rPr>
          <w:rFonts w:ascii="Calibri" w:hAnsi="Calibri"/>
          <w:color w:val="000000"/>
          <w:sz w:val="22"/>
          <w:szCs w:val="22"/>
        </w:rPr>
        <w:t>rs2069718</w:t>
      </w:r>
    </w:p>
    <w:p w14:paraId="44366067" w14:textId="77777777" w:rsidR="00664426" w:rsidRDefault="00664426" w:rsidP="008416A2"/>
    <w:p w14:paraId="3D16965E" w14:textId="17E59519" w:rsidR="008416A2" w:rsidRDefault="004A7D1A" w:rsidP="008416A2">
      <w:hyperlink r:id="rId14" w:history="1">
        <w:r w:rsidR="00664426" w:rsidRPr="00B04702">
          <w:rPr>
            <w:rStyle w:val="Hyperlink"/>
          </w:rPr>
          <w:t>https://www.ncbi.nlm.nih.gov/pubmed/26063326</w:t>
        </w:r>
      </w:hyperlink>
    </w:p>
    <w:p w14:paraId="26935F14" w14:textId="77777777" w:rsidR="008416A2" w:rsidRDefault="008416A2" w:rsidP="008416A2">
      <w:pPr>
        <w:pStyle w:val="NormalWeb"/>
        <w:spacing w:before="0" w:beforeAutospacing="0" w:after="0" w:afterAutospacing="0"/>
        <w:rPr>
          <w:color w:val="000000"/>
        </w:rPr>
      </w:pPr>
      <w:r>
        <w:rPr>
          <w:color w:val="000000"/>
        </w:rPr>
        <w:t>Top 10 genetic markers associated with CFS based on weighted genetic variation (WGV) estimated by the Bayesian model</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037"/>
        <w:gridCol w:w="1131"/>
        <w:gridCol w:w="1363"/>
        <w:gridCol w:w="1608"/>
        <w:gridCol w:w="692"/>
        <w:gridCol w:w="1276"/>
      </w:tblGrid>
      <w:tr w:rsidR="008416A2" w14:paraId="3A8B8933" w14:textId="77777777" w:rsidTr="004A7D1A">
        <w:trPr>
          <w:tblHeader/>
        </w:trPr>
        <w:tc>
          <w:tcPr>
            <w:tcW w:w="0" w:type="auto"/>
            <w:tcBorders>
              <w:top w:val="nil"/>
              <w:left w:val="nil"/>
              <w:bottom w:val="nil"/>
              <w:right w:val="nil"/>
            </w:tcBorders>
            <w:tcMar>
              <w:top w:w="48" w:type="dxa"/>
              <w:left w:w="96" w:type="dxa"/>
              <w:bottom w:w="48" w:type="dxa"/>
              <w:right w:w="96" w:type="dxa"/>
            </w:tcMar>
            <w:hideMark/>
          </w:tcPr>
          <w:p w14:paraId="7EB34E50" w14:textId="77777777" w:rsidR="008416A2" w:rsidRDefault="008416A2" w:rsidP="004A7D1A">
            <w:pPr>
              <w:jc w:val="center"/>
              <w:rPr>
                <w:b/>
                <w:bCs/>
                <w:sz w:val="20"/>
                <w:szCs w:val="20"/>
              </w:rPr>
            </w:pPr>
            <w:r>
              <w:rPr>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3FD06147" w14:textId="77777777" w:rsidR="008416A2" w:rsidRDefault="008416A2" w:rsidP="004A7D1A">
            <w:pPr>
              <w:jc w:val="center"/>
              <w:rPr>
                <w:b/>
                <w:bCs/>
                <w:sz w:val="20"/>
                <w:szCs w:val="20"/>
              </w:rPr>
            </w:pPr>
            <w:r>
              <w:rPr>
                <w:b/>
                <w:bCs/>
                <w:sz w:val="20"/>
                <w:szCs w:val="20"/>
              </w:rPr>
              <w:t>Proxy SNP</w:t>
            </w:r>
          </w:p>
        </w:tc>
        <w:tc>
          <w:tcPr>
            <w:tcW w:w="0" w:type="auto"/>
            <w:tcBorders>
              <w:top w:val="nil"/>
              <w:left w:val="nil"/>
              <w:bottom w:val="nil"/>
              <w:right w:val="nil"/>
            </w:tcBorders>
            <w:tcMar>
              <w:top w:w="48" w:type="dxa"/>
              <w:left w:w="96" w:type="dxa"/>
              <w:bottom w:w="48" w:type="dxa"/>
              <w:right w:w="96" w:type="dxa"/>
            </w:tcMar>
            <w:hideMark/>
          </w:tcPr>
          <w:p w14:paraId="3830B157" w14:textId="77777777" w:rsidR="008416A2" w:rsidRDefault="008416A2" w:rsidP="004A7D1A">
            <w:pPr>
              <w:jc w:val="center"/>
              <w:rPr>
                <w:b/>
                <w:bCs/>
                <w:sz w:val="20"/>
                <w:szCs w:val="20"/>
              </w:rPr>
            </w:pPr>
            <w:r>
              <w:rPr>
                <w:b/>
                <w:bCs/>
                <w:sz w:val="20"/>
                <w:szCs w:val="20"/>
              </w:rPr>
              <w:t xml:space="preserve">Gene </w:t>
            </w:r>
            <w:proofErr w:type="spellStart"/>
            <w:r>
              <w:rPr>
                <w:b/>
                <w:bCs/>
                <w:sz w:val="20"/>
                <w:szCs w:val="20"/>
              </w:rPr>
              <w:t>symbol</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3F103A8F" w14:textId="77777777" w:rsidR="008416A2" w:rsidRDefault="008416A2" w:rsidP="004A7D1A">
            <w:pPr>
              <w:jc w:val="center"/>
              <w:rPr>
                <w:b/>
                <w:bCs/>
                <w:sz w:val="20"/>
                <w:szCs w:val="20"/>
              </w:rPr>
            </w:pPr>
            <w:r>
              <w:rPr>
                <w:b/>
                <w:bCs/>
                <w:sz w:val="20"/>
                <w:szCs w:val="20"/>
              </w:rPr>
              <w:t xml:space="preserve">SNP </w:t>
            </w:r>
            <w:proofErr w:type="spellStart"/>
            <w:r>
              <w:rPr>
                <w:b/>
                <w:bCs/>
                <w:sz w:val="20"/>
                <w:szCs w:val="20"/>
              </w:rPr>
              <w:t>annotation</w:t>
            </w:r>
            <w:r>
              <w:rPr>
                <w:b/>
                <w:bCs/>
                <w:sz w:val="20"/>
                <w:szCs w:val="20"/>
                <w:vertAlign w:val="superscript"/>
              </w:rPr>
              <w:t>a</w:t>
            </w:r>
            <w:proofErr w:type="spellEnd"/>
          </w:p>
        </w:tc>
        <w:tc>
          <w:tcPr>
            <w:tcW w:w="0" w:type="auto"/>
            <w:tcBorders>
              <w:top w:val="nil"/>
              <w:left w:val="nil"/>
              <w:bottom w:val="nil"/>
              <w:right w:val="nil"/>
            </w:tcBorders>
            <w:tcMar>
              <w:top w:w="48" w:type="dxa"/>
              <w:left w:w="96" w:type="dxa"/>
              <w:bottom w:w="48" w:type="dxa"/>
              <w:right w:w="96" w:type="dxa"/>
            </w:tcMar>
            <w:hideMark/>
          </w:tcPr>
          <w:p w14:paraId="6CA365A0" w14:textId="77777777" w:rsidR="008416A2" w:rsidRDefault="008416A2" w:rsidP="004A7D1A">
            <w:pPr>
              <w:jc w:val="center"/>
              <w:rPr>
                <w:b/>
                <w:bCs/>
                <w:sz w:val="20"/>
                <w:szCs w:val="20"/>
              </w:rPr>
            </w:pPr>
            <w:r>
              <w:rPr>
                <w:b/>
                <w:bCs/>
                <w:sz w:val="20"/>
                <w:szCs w:val="20"/>
              </w:rPr>
              <w:t>WGV</w:t>
            </w:r>
          </w:p>
        </w:tc>
        <w:tc>
          <w:tcPr>
            <w:tcW w:w="0" w:type="auto"/>
            <w:tcBorders>
              <w:top w:val="nil"/>
              <w:left w:val="nil"/>
              <w:bottom w:val="nil"/>
              <w:right w:val="nil"/>
            </w:tcBorders>
            <w:tcMar>
              <w:top w:w="48" w:type="dxa"/>
              <w:left w:w="96" w:type="dxa"/>
              <w:bottom w:w="48" w:type="dxa"/>
              <w:right w:w="96" w:type="dxa"/>
            </w:tcMar>
            <w:hideMark/>
          </w:tcPr>
          <w:p w14:paraId="537E979F" w14:textId="77777777" w:rsidR="008416A2" w:rsidRDefault="008416A2" w:rsidP="004A7D1A">
            <w:pPr>
              <w:jc w:val="center"/>
              <w:rPr>
                <w:b/>
                <w:bCs/>
                <w:sz w:val="20"/>
                <w:szCs w:val="20"/>
              </w:rPr>
            </w:pPr>
            <w:r>
              <w:rPr>
                <w:b/>
                <w:bCs/>
                <w:sz w:val="20"/>
                <w:szCs w:val="20"/>
              </w:rPr>
              <w:t xml:space="preserve">SE of </w:t>
            </w:r>
            <w:proofErr w:type="spellStart"/>
            <w:r>
              <w:rPr>
                <w:b/>
                <w:bCs/>
                <w:sz w:val="20"/>
                <w:szCs w:val="20"/>
              </w:rPr>
              <w:t>WGV</w:t>
            </w:r>
            <w:r>
              <w:rPr>
                <w:b/>
                <w:bCs/>
                <w:sz w:val="20"/>
                <w:szCs w:val="20"/>
                <w:vertAlign w:val="superscript"/>
              </w:rPr>
              <w:t>b</w:t>
            </w:r>
            <w:proofErr w:type="spellEnd"/>
          </w:p>
        </w:tc>
      </w:tr>
      <w:tr w:rsidR="008416A2" w14:paraId="64C14FF7" w14:textId="77777777" w:rsidTr="004A7D1A">
        <w:tc>
          <w:tcPr>
            <w:tcW w:w="0" w:type="auto"/>
            <w:tcBorders>
              <w:top w:val="nil"/>
              <w:left w:val="nil"/>
              <w:bottom w:val="nil"/>
              <w:right w:val="nil"/>
            </w:tcBorders>
            <w:tcMar>
              <w:top w:w="48" w:type="dxa"/>
              <w:left w:w="96" w:type="dxa"/>
              <w:bottom w:w="48" w:type="dxa"/>
              <w:right w:w="96" w:type="dxa"/>
            </w:tcMar>
            <w:hideMark/>
          </w:tcPr>
          <w:p w14:paraId="06A1B7B7" w14:textId="77777777" w:rsidR="008416A2" w:rsidRDefault="008416A2" w:rsidP="004A7D1A">
            <w:pPr>
              <w:rPr>
                <w:sz w:val="20"/>
                <w:szCs w:val="20"/>
              </w:rPr>
            </w:pPr>
            <w:r>
              <w:rPr>
                <w:sz w:val="20"/>
                <w:szCs w:val="20"/>
              </w:rPr>
              <w:t>rs2069718</w:t>
            </w:r>
          </w:p>
        </w:tc>
        <w:tc>
          <w:tcPr>
            <w:tcW w:w="0" w:type="auto"/>
            <w:tcBorders>
              <w:top w:val="nil"/>
              <w:left w:val="nil"/>
              <w:bottom w:val="nil"/>
              <w:right w:val="nil"/>
            </w:tcBorders>
            <w:tcMar>
              <w:top w:w="48" w:type="dxa"/>
              <w:left w:w="96" w:type="dxa"/>
              <w:bottom w:w="48" w:type="dxa"/>
              <w:right w:w="96" w:type="dxa"/>
            </w:tcMar>
            <w:hideMark/>
          </w:tcPr>
          <w:p w14:paraId="05119E1B" w14:textId="77777777" w:rsidR="008416A2" w:rsidRDefault="008416A2" w:rsidP="004A7D1A">
            <w:pPr>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FEB353F" w14:textId="77777777" w:rsidR="008416A2" w:rsidRDefault="008416A2" w:rsidP="004A7D1A">
            <w:pPr>
              <w:rPr>
                <w:sz w:val="20"/>
                <w:szCs w:val="20"/>
              </w:rPr>
            </w:pPr>
            <w:r>
              <w:rPr>
                <w:rStyle w:val="Emphasis"/>
                <w:sz w:val="20"/>
                <w:szCs w:val="20"/>
              </w:rPr>
              <w:t>IFNG</w:t>
            </w:r>
          </w:p>
        </w:tc>
        <w:tc>
          <w:tcPr>
            <w:tcW w:w="0" w:type="auto"/>
            <w:tcBorders>
              <w:top w:val="nil"/>
              <w:left w:val="nil"/>
              <w:bottom w:val="nil"/>
              <w:right w:val="nil"/>
            </w:tcBorders>
            <w:tcMar>
              <w:top w:w="48" w:type="dxa"/>
              <w:left w:w="96" w:type="dxa"/>
              <w:bottom w:w="48" w:type="dxa"/>
              <w:right w:w="96" w:type="dxa"/>
            </w:tcMar>
            <w:hideMark/>
          </w:tcPr>
          <w:p w14:paraId="4D6677A5" w14:textId="77777777" w:rsidR="008416A2" w:rsidRDefault="008416A2" w:rsidP="004A7D1A">
            <w:pPr>
              <w:rPr>
                <w:sz w:val="20"/>
                <w:szCs w:val="20"/>
              </w:rPr>
            </w:pPr>
            <w:r>
              <w:rPr>
                <w:sz w:val="20"/>
                <w:szCs w:val="20"/>
              </w:rPr>
              <w:t>Intron</w:t>
            </w:r>
          </w:p>
        </w:tc>
        <w:tc>
          <w:tcPr>
            <w:tcW w:w="0" w:type="auto"/>
            <w:tcBorders>
              <w:top w:val="nil"/>
              <w:left w:val="nil"/>
              <w:bottom w:val="nil"/>
              <w:right w:val="nil"/>
            </w:tcBorders>
            <w:tcMar>
              <w:top w:w="48" w:type="dxa"/>
              <w:left w:w="96" w:type="dxa"/>
              <w:bottom w:w="48" w:type="dxa"/>
              <w:right w:w="96" w:type="dxa"/>
            </w:tcMar>
            <w:hideMark/>
          </w:tcPr>
          <w:p w14:paraId="6F08D2E6" w14:textId="77777777" w:rsidR="008416A2" w:rsidRDefault="008416A2" w:rsidP="004A7D1A">
            <w:pPr>
              <w:jc w:val="center"/>
              <w:rPr>
                <w:sz w:val="20"/>
                <w:szCs w:val="20"/>
              </w:rPr>
            </w:pPr>
            <w:r>
              <w:rPr>
                <w:sz w:val="20"/>
                <w:szCs w:val="20"/>
              </w:rPr>
              <w:t>3.34</w:t>
            </w:r>
          </w:p>
        </w:tc>
        <w:tc>
          <w:tcPr>
            <w:tcW w:w="0" w:type="auto"/>
            <w:tcBorders>
              <w:top w:val="nil"/>
              <w:left w:val="nil"/>
              <w:bottom w:val="nil"/>
              <w:right w:val="nil"/>
            </w:tcBorders>
            <w:tcMar>
              <w:top w:w="48" w:type="dxa"/>
              <w:left w:w="96" w:type="dxa"/>
              <w:bottom w:w="48" w:type="dxa"/>
              <w:right w:w="96" w:type="dxa"/>
            </w:tcMar>
            <w:hideMark/>
          </w:tcPr>
          <w:p w14:paraId="408FB937" w14:textId="77777777" w:rsidR="008416A2" w:rsidRDefault="008416A2" w:rsidP="004A7D1A">
            <w:pPr>
              <w:jc w:val="center"/>
              <w:rPr>
                <w:sz w:val="20"/>
                <w:szCs w:val="20"/>
              </w:rPr>
            </w:pPr>
            <w:r>
              <w:rPr>
                <w:sz w:val="20"/>
                <w:szCs w:val="20"/>
              </w:rPr>
              <w:t>0.0272</w:t>
            </w:r>
          </w:p>
        </w:tc>
      </w:tr>
    </w:tbl>
    <w:p w14:paraId="06749D92" w14:textId="05915929" w:rsidR="008416A2" w:rsidRDefault="008416A2"/>
    <w:p w14:paraId="34163218" w14:textId="27D4DCE5" w:rsidR="00664426" w:rsidRDefault="00664426">
      <w:r w:rsidRPr="00664426">
        <w:t>https://www.ncbi.nlm.nih.gov/pubmed/28867622</w:t>
      </w:r>
    </w:p>
    <w:p w14:paraId="77A59293" w14:textId="6A37A467" w:rsidR="00664426" w:rsidRDefault="00664426">
      <w:pPr>
        <w:rPr>
          <w:rFonts w:ascii="Arial" w:hAnsi="Arial" w:cs="Arial"/>
          <w:color w:val="000000"/>
          <w:sz w:val="20"/>
          <w:szCs w:val="20"/>
          <w:shd w:val="clear" w:color="auto" w:fill="FFFFFF"/>
        </w:rPr>
      </w:pPr>
      <w:r>
        <w:rPr>
          <w:rFonts w:ascii="Arial" w:hAnsi="Arial" w:cs="Arial"/>
          <w:color w:val="000000"/>
          <w:sz w:val="20"/>
          <w:szCs w:val="20"/>
          <w:shd w:val="clear" w:color="auto" w:fill="FFFFFF"/>
        </w:rPr>
        <w:t>Spinal tuberculosis (STB) is an extrapulmonary form of tuberculosis (TB) caused by Mycobacterium tuberculosis (</w:t>
      </w:r>
      <w:proofErr w:type="spellStart"/>
      <w:r>
        <w:rPr>
          <w:rFonts w:ascii="Arial" w:hAnsi="Arial" w:cs="Arial"/>
          <w:color w:val="000000"/>
          <w:sz w:val="20"/>
          <w:szCs w:val="20"/>
          <w:shd w:val="clear" w:color="auto" w:fill="FFFFFF"/>
        </w:rPr>
        <w:t>Mtb</w:t>
      </w:r>
      <w:proofErr w:type="spellEnd"/>
      <w:r>
        <w:rPr>
          <w:rFonts w:ascii="Arial" w:hAnsi="Arial" w:cs="Arial"/>
          <w:color w:val="000000"/>
          <w:sz w:val="20"/>
          <w:szCs w:val="20"/>
          <w:shd w:val="clear" w:color="auto" w:fill="FFFFFF"/>
        </w:rPr>
        <w:t xml:space="preserve">), which accounts for around 2% of all TB cases and can lead to spine degeneration. It </w:t>
      </w:r>
      <w:proofErr w:type="gramStart"/>
      <w:r>
        <w:rPr>
          <w:rFonts w:ascii="Arial" w:hAnsi="Arial" w:cs="Arial"/>
          <w:color w:val="000000"/>
          <w:sz w:val="20"/>
          <w:szCs w:val="20"/>
          <w:shd w:val="clear" w:color="auto" w:fill="FFFFFF"/>
        </w:rPr>
        <w:t>is widely accepted</w:t>
      </w:r>
      <w:proofErr w:type="gramEnd"/>
      <w:r>
        <w:rPr>
          <w:rFonts w:ascii="Arial" w:hAnsi="Arial" w:cs="Arial"/>
          <w:color w:val="000000"/>
          <w:sz w:val="20"/>
          <w:szCs w:val="20"/>
          <w:shd w:val="clear" w:color="auto" w:fill="FFFFFF"/>
        </w:rPr>
        <w:t xml:space="preserve"> that host genetic factors participate in the pathogenesis of active TB, but the factors controlling which TB form will manifest after </w:t>
      </w:r>
      <w:proofErr w:type="spellStart"/>
      <w:r>
        <w:rPr>
          <w:rFonts w:ascii="Arial" w:hAnsi="Arial" w:cs="Arial"/>
          <w:color w:val="000000"/>
          <w:sz w:val="20"/>
          <w:szCs w:val="20"/>
          <w:shd w:val="clear" w:color="auto" w:fill="FFFFFF"/>
        </w:rPr>
        <w:t>Mtb</w:t>
      </w:r>
      <w:proofErr w:type="spellEnd"/>
      <w:r>
        <w:rPr>
          <w:rFonts w:ascii="Arial" w:hAnsi="Arial" w:cs="Arial"/>
          <w:color w:val="000000"/>
          <w:sz w:val="20"/>
          <w:szCs w:val="20"/>
          <w:shd w:val="clear" w:color="auto" w:fill="FFFFFF"/>
        </w:rPr>
        <w:t xml:space="preserve"> infection remain unknown. We hypothesized that a genetic difference may exist between the development of STB and pulmonary tuberculosis (PTB). Here, three single nucleotide polymorphisms (SNPs) in the IFNG gene (</w:t>
      </w:r>
      <w:r w:rsidRPr="00D81AEF">
        <w:rPr>
          <w:rStyle w:val="highlight"/>
          <w:rFonts w:ascii="Arial" w:hAnsi="Arial" w:cs="Arial"/>
          <w:b/>
          <w:color w:val="000000"/>
          <w:sz w:val="20"/>
          <w:szCs w:val="20"/>
          <w:shd w:val="clear" w:color="auto" w:fill="FFFFFF"/>
        </w:rPr>
        <w:t>rs2069718</w:t>
      </w:r>
      <w:r>
        <w:rPr>
          <w:rFonts w:ascii="Arial" w:hAnsi="Arial" w:cs="Arial"/>
          <w:color w:val="000000"/>
          <w:sz w:val="20"/>
          <w:szCs w:val="20"/>
          <w:shd w:val="clear" w:color="auto" w:fill="FFFFFF"/>
        </w:rPr>
        <w:t xml:space="preserve">), IRGM gene (rs10065172), and MBL2 gene (rs11003125) were genotyped among 183 PTB patients, 177 STB patients, and 360 healthy controls from the Chinese Han population. We found </w:t>
      </w:r>
      <w:r w:rsidRPr="00D81AEF">
        <w:rPr>
          <w:rFonts w:ascii="Arial" w:hAnsi="Arial" w:cs="Arial"/>
          <w:b/>
          <w:color w:val="000000"/>
          <w:sz w:val="20"/>
          <w:szCs w:val="20"/>
          <w:shd w:val="clear" w:color="auto" w:fill="FFFFFF"/>
        </w:rPr>
        <w:t>that </w:t>
      </w:r>
      <w:r w:rsidRPr="00D81AEF">
        <w:rPr>
          <w:rStyle w:val="highlight"/>
          <w:rFonts w:ascii="Arial" w:hAnsi="Arial" w:cs="Arial"/>
          <w:b/>
          <w:color w:val="000000"/>
          <w:sz w:val="20"/>
          <w:szCs w:val="20"/>
          <w:shd w:val="clear" w:color="auto" w:fill="FFFFFF"/>
        </w:rPr>
        <w:t>rs2069718</w:t>
      </w:r>
      <w:r w:rsidR="00D81AEF">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genotypes were significantly associated with PTB (TT, p = 0.007; CT, p = 0.008) but not STB, and the TT genotype (p = 0.046) of </w:t>
      </w:r>
      <w:r>
        <w:rPr>
          <w:rStyle w:val="highlight"/>
          <w:rFonts w:ascii="Arial" w:hAnsi="Arial" w:cs="Arial"/>
          <w:color w:val="000000"/>
          <w:sz w:val="20"/>
          <w:szCs w:val="20"/>
          <w:shd w:val="clear" w:color="auto" w:fill="FFFFFF"/>
        </w:rPr>
        <w:t>r</w:t>
      </w:r>
      <w:r w:rsidRPr="00D81AEF">
        <w:rPr>
          <w:rStyle w:val="highlight"/>
          <w:rFonts w:ascii="Arial" w:hAnsi="Arial" w:cs="Arial"/>
          <w:b/>
          <w:color w:val="000000"/>
          <w:sz w:val="20"/>
          <w:szCs w:val="20"/>
          <w:shd w:val="clear" w:color="auto" w:fill="FFFFFF"/>
        </w:rPr>
        <w:t>s2069718</w:t>
      </w:r>
      <w:r>
        <w:rPr>
          <w:rFonts w:ascii="Arial" w:hAnsi="Arial" w:cs="Arial"/>
          <w:color w:val="000000"/>
          <w:sz w:val="20"/>
          <w:szCs w:val="20"/>
          <w:shd w:val="clear" w:color="auto" w:fill="FFFFFF"/>
        </w:rPr>
        <w:t xml:space="preserve"> were less common in PTB than in STB. In contrast, neither PTB nor STB </w:t>
      </w:r>
      <w:proofErr w:type="gramStart"/>
      <w:r>
        <w:rPr>
          <w:rFonts w:ascii="Arial" w:hAnsi="Arial" w:cs="Arial"/>
          <w:color w:val="000000"/>
          <w:sz w:val="20"/>
          <w:szCs w:val="20"/>
          <w:shd w:val="clear" w:color="auto" w:fill="FFFFFF"/>
        </w:rPr>
        <w:t>were found</w:t>
      </w:r>
      <w:proofErr w:type="gramEnd"/>
      <w:r>
        <w:rPr>
          <w:rFonts w:ascii="Arial" w:hAnsi="Arial" w:cs="Arial"/>
          <w:color w:val="000000"/>
          <w:sz w:val="20"/>
          <w:szCs w:val="20"/>
          <w:shd w:val="clear" w:color="auto" w:fill="FFFFFF"/>
        </w:rPr>
        <w:t xml:space="preserve"> to be associated with rs10065172 and rs11003125. Overall, we found a difference in the </w:t>
      </w:r>
      <w:r>
        <w:rPr>
          <w:rStyle w:val="highlight"/>
          <w:rFonts w:ascii="Arial" w:hAnsi="Arial" w:cs="Arial"/>
          <w:color w:val="000000"/>
          <w:sz w:val="20"/>
          <w:szCs w:val="20"/>
          <w:shd w:val="clear" w:color="auto" w:fill="FFFFFF"/>
        </w:rPr>
        <w:t>rs2069718</w:t>
      </w:r>
      <w:r>
        <w:rPr>
          <w:rFonts w:ascii="Arial" w:hAnsi="Arial" w:cs="Arial"/>
          <w:color w:val="000000"/>
          <w:sz w:val="20"/>
          <w:szCs w:val="20"/>
          <w:shd w:val="clear" w:color="auto" w:fill="FFFFFF"/>
        </w:rPr>
        <w:t> genetic distribution between the STB and PTB patients in a Chinese Han population. The </w:t>
      </w:r>
      <w:r>
        <w:rPr>
          <w:rStyle w:val="highlight"/>
          <w:rFonts w:ascii="Arial" w:hAnsi="Arial" w:cs="Arial"/>
          <w:color w:val="000000"/>
          <w:sz w:val="20"/>
          <w:szCs w:val="20"/>
          <w:shd w:val="clear" w:color="auto" w:fill="FFFFFF"/>
        </w:rPr>
        <w:t>rs2069718</w:t>
      </w:r>
      <w:r>
        <w:rPr>
          <w:rFonts w:ascii="Arial" w:hAnsi="Arial" w:cs="Arial"/>
          <w:color w:val="000000"/>
          <w:sz w:val="20"/>
          <w:szCs w:val="20"/>
          <w:shd w:val="clear" w:color="auto" w:fill="FFFFFF"/>
        </w:rPr>
        <w:t xml:space="preserve"> TT genotype was associated with a protective role in PTB but not STB development during active </w:t>
      </w:r>
      <w:proofErr w:type="spellStart"/>
      <w:r>
        <w:rPr>
          <w:rFonts w:ascii="Arial" w:hAnsi="Arial" w:cs="Arial"/>
          <w:color w:val="000000"/>
          <w:sz w:val="20"/>
          <w:szCs w:val="20"/>
          <w:shd w:val="clear" w:color="auto" w:fill="FFFFFF"/>
        </w:rPr>
        <w:t>Mtb</w:t>
      </w:r>
      <w:proofErr w:type="spellEnd"/>
      <w:r>
        <w:rPr>
          <w:rFonts w:ascii="Arial" w:hAnsi="Arial" w:cs="Arial"/>
          <w:color w:val="000000"/>
          <w:sz w:val="20"/>
          <w:szCs w:val="20"/>
          <w:shd w:val="clear" w:color="auto" w:fill="FFFFFF"/>
        </w:rPr>
        <w:t xml:space="preserve"> infection.</w:t>
      </w:r>
    </w:p>
    <w:p w14:paraId="054E4CC9" w14:textId="2C2B0666" w:rsidR="00664426" w:rsidRDefault="00664426"/>
    <w:p w14:paraId="09A13C4B" w14:textId="764E748D" w:rsidR="00664426" w:rsidRDefault="004A7D1A">
      <w:hyperlink r:id="rId15" w:history="1">
        <w:r w:rsidR="00664426" w:rsidRPr="00B04702">
          <w:rPr>
            <w:rStyle w:val="Hyperlink"/>
          </w:rPr>
          <w:t>https://www.ncbi.nlm.nih.gov/pubmed/28651128</w:t>
        </w:r>
      </w:hyperlink>
    </w:p>
    <w:p w14:paraId="19E825BD" w14:textId="4F7AD83B" w:rsidR="00664426" w:rsidRDefault="00664426">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Lumbar radicular pain after disc herniation may be associated with release of pro-inflammatory cytokines from nucleus pulposus (NP) tissue. In the present study we examined the role of interferon-γ (IFN-γ) and cluster of differentiation 68 (CD68) in the acute phase of this process. First, in an animal model mimicking the clinical situation after disc herniation, the role of IFN-γ close to the dorsal nerve roots </w:t>
      </w:r>
      <w:proofErr w:type="gramStart"/>
      <w:r>
        <w:rPr>
          <w:rFonts w:ascii="Arial" w:hAnsi="Arial" w:cs="Arial"/>
          <w:color w:val="000000"/>
          <w:sz w:val="20"/>
          <w:szCs w:val="20"/>
          <w:shd w:val="clear" w:color="auto" w:fill="FFFFFF"/>
        </w:rPr>
        <w:t>was studied</w:t>
      </w:r>
      <w:proofErr w:type="gramEnd"/>
      <w:r>
        <w:rPr>
          <w:rFonts w:ascii="Arial" w:hAnsi="Arial" w:cs="Arial"/>
          <w:color w:val="000000"/>
          <w:sz w:val="20"/>
          <w:szCs w:val="20"/>
          <w:shd w:val="clear" w:color="auto" w:fill="FFFFFF"/>
        </w:rPr>
        <w:t xml:space="preserve">. Next, in patients with lumbar radicular pain due to disc herniation, we examined how two single nucleotide polymorphisms (SNPs; rs2069705 </w:t>
      </w:r>
      <w:r w:rsidRPr="00D81AEF">
        <w:rPr>
          <w:rFonts w:ascii="Arial" w:hAnsi="Arial" w:cs="Arial"/>
          <w:b/>
          <w:color w:val="000000"/>
          <w:sz w:val="20"/>
          <w:szCs w:val="20"/>
          <w:shd w:val="clear" w:color="auto" w:fill="FFFFFF"/>
        </w:rPr>
        <w:t>and </w:t>
      </w:r>
      <w:r w:rsidRPr="00D81AEF">
        <w:rPr>
          <w:rStyle w:val="highlight"/>
          <w:rFonts w:ascii="Arial" w:hAnsi="Arial" w:cs="Arial"/>
          <w:b/>
          <w:color w:val="000000"/>
          <w:sz w:val="20"/>
          <w:szCs w:val="20"/>
          <w:shd w:val="clear" w:color="auto" w:fill="FFFFFF"/>
        </w:rPr>
        <w:t>rs2069718</w:t>
      </w:r>
      <w:r>
        <w:rPr>
          <w:rFonts w:ascii="Arial" w:hAnsi="Arial" w:cs="Arial"/>
          <w:color w:val="000000"/>
          <w:sz w:val="20"/>
          <w:szCs w:val="20"/>
          <w:shd w:val="clear" w:color="auto" w:fill="FFFFFF"/>
        </w:rPr>
        <w:t xml:space="preserve">) are important for the IFN-γ expression influenced the pain behavior. The animal data demonstrated a significant increase in the nociceptive activity at the spinal level after local application of NP and IFN-γ onto the dorsal nerve roots. A positive correlation between IFN-γ and CD68 in the NP tissue </w:t>
      </w:r>
      <w:proofErr w:type="gramStart"/>
      <w:r>
        <w:rPr>
          <w:rFonts w:ascii="Arial" w:hAnsi="Arial" w:cs="Arial"/>
          <w:color w:val="000000"/>
          <w:sz w:val="20"/>
          <w:szCs w:val="20"/>
          <w:shd w:val="clear" w:color="auto" w:fill="FFFFFF"/>
        </w:rPr>
        <w:t>was also demonstrated</w:t>
      </w:r>
      <w:proofErr w:type="gramEnd"/>
      <w:r>
        <w:rPr>
          <w:rFonts w:ascii="Arial" w:hAnsi="Arial" w:cs="Arial"/>
          <w:color w:val="000000"/>
          <w:sz w:val="20"/>
          <w:szCs w:val="20"/>
          <w:shd w:val="clear" w:color="auto" w:fill="FFFFFF"/>
        </w:rPr>
        <w:t xml:space="preserve">. In the patients, a significant increase in </w:t>
      </w:r>
      <w:proofErr w:type="spellStart"/>
      <w:r>
        <w:rPr>
          <w:rFonts w:ascii="Arial" w:hAnsi="Arial" w:cs="Arial"/>
          <w:color w:val="000000"/>
          <w:sz w:val="20"/>
          <w:szCs w:val="20"/>
          <w:shd w:val="clear" w:color="auto" w:fill="FFFFFF"/>
        </w:rPr>
        <w:t>Oswestry</w:t>
      </w:r>
      <w:proofErr w:type="spellEnd"/>
      <w:r>
        <w:rPr>
          <w:rFonts w:ascii="Arial" w:hAnsi="Arial" w:cs="Arial"/>
          <w:color w:val="000000"/>
          <w:sz w:val="20"/>
          <w:szCs w:val="20"/>
          <w:shd w:val="clear" w:color="auto" w:fill="FFFFFF"/>
        </w:rPr>
        <w:t xml:space="preserve"> Disability Index (ODI) score </w:t>
      </w:r>
      <w:proofErr w:type="gramStart"/>
      <w:r>
        <w:rPr>
          <w:rFonts w:ascii="Arial" w:hAnsi="Arial" w:cs="Arial"/>
          <w:color w:val="000000"/>
          <w:sz w:val="20"/>
          <w:szCs w:val="20"/>
          <w:shd w:val="clear" w:color="auto" w:fill="FFFFFF"/>
        </w:rPr>
        <w:t>was observed</w:t>
      </w:r>
      <w:proofErr w:type="gramEnd"/>
      <w:r>
        <w:rPr>
          <w:rFonts w:ascii="Arial" w:hAnsi="Arial" w:cs="Arial"/>
          <w:color w:val="000000"/>
          <w:sz w:val="20"/>
          <w:szCs w:val="20"/>
          <w:shd w:val="clear" w:color="auto" w:fill="FFFFFF"/>
        </w:rPr>
        <w:t xml:space="preserve"> in carriers of the IFN-γ SNPs; rs2069705 A and </w:t>
      </w:r>
      <w:r>
        <w:rPr>
          <w:rStyle w:val="highlight"/>
          <w:rFonts w:ascii="Arial" w:hAnsi="Arial" w:cs="Arial"/>
          <w:color w:val="000000"/>
          <w:sz w:val="20"/>
          <w:szCs w:val="20"/>
          <w:shd w:val="clear" w:color="auto" w:fill="FFFFFF"/>
        </w:rPr>
        <w:t>r</w:t>
      </w:r>
      <w:r w:rsidRPr="00D81AEF">
        <w:rPr>
          <w:rStyle w:val="highlight"/>
          <w:rFonts w:ascii="Arial" w:hAnsi="Arial" w:cs="Arial"/>
          <w:b/>
          <w:color w:val="000000"/>
          <w:sz w:val="20"/>
          <w:szCs w:val="20"/>
          <w:shd w:val="clear" w:color="auto" w:fill="FFFFFF"/>
        </w:rPr>
        <w:t>s2069718</w:t>
      </w:r>
      <w:r w:rsidRPr="00D81AEF">
        <w:rPr>
          <w:rFonts w:ascii="Arial" w:hAnsi="Arial" w:cs="Arial"/>
          <w:b/>
          <w:color w:val="000000"/>
          <w:sz w:val="20"/>
          <w:szCs w:val="20"/>
          <w:shd w:val="clear" w:color="auto" w:fill="FFFFFF"/>
        </w:rPr>
        <w:t> </w:t>
      </w:r>
      <w:r>
        <w:rPr>
          <w:rFonts w:ascii="Arial" w:hAnsi="Arial" w:cs="Arial"/>
          <w:color w:val="000000"/>
          <w:sz w:val="20"/>
          <w:szCs w:val="20"/>
          <w:shd w:val="clear" w:color="auto" w:fill="FFFFFF"/>
        </w:rPr>
        <w:t>G alleles. The present data suggest that IFN-γ close to the dorsal nerve roots may contribute to the pathogenesis, the nociceptive activity and the pain behavior following lumbar disc herniation.</w:t>
      </w:r>
    </w:p>
    <w:p w14:paraId="36C63BDB" w14:textId="6DF31407" w:rsidR="00664426" w:rsidRDefault="00664426"/>
    <w:p w14:paraId="71E1F3C7" w14:textId="746EAC43" w:rsidR="00664426" w:rsidRDefault="004A7D1A">
      <w:pPr>
        <w:rPr>
          <w:rFonts w:ascii="Arial" w:hAnsi="Arial" w:cs="Arial"/>
          <w:color w:val="000000"/>
          <w:sz w:val="20"/>
          <w:szCs w:val="20"/>
          <w:shd w:val="clear" w:color="auto" w:fill="FFFFFF"/>
        </w:rPr>
      </w:pPr>
      <w:hyperlink r:id="rId16" w:history="1">
        <w:r w:rsidR="00664426" w:rsidRPr="00B04702">
          <w:rPr>
            <w:rStyle w:val="Hyperlink"/>
            <w:rFonts w:ascii="Arial" w:hAnsi="Arial" w:cs="Arial"/>
            <w:sz w:val="20"/>
            <w:szCs w:val="20"/>
            <w:shd w:val="clear" w:color="auto" w:fill="FFFFFF"/>
          </w:rPr>
          <w:t>https://www.ncbi.nlm.nih.gov/pubmed/26198819</w:t>
        </w:r>
      </w:hyperlink>
    </w:p>
    <w:p w14:paraId="67E0D08F" w14:textId="77777777" w:rsidR="00664426" w:rsidRDefault="00664426">
      <w:pPr>
        <w:rPr>
          <w:rFonts w:ascii="Arial" w:hAnsi="Arial" w:cs="Arial"/>
          <w:color w:val="000000"/>
          <w:sz w:val="20"/>
          <w:szCs w:val="20"/>
          <w:shd w:val="clear" w:color="auto" w:fill="FFFFFF"/>
        </w:rPr>
      </w:pPr>
    </w:p>
    <w:p w14:paraId="215437B9" w14:textId="0AEAEF10" w:rsidR="00664426" w:rsidRDefault="00664426">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Intracranial aneurysm (IA) is often asymptomatic until the time of rupture resulting in subarachnoid hemorrhage (SAH</w:t>
      </w:r>
      <w:proofErr w:type="gramStart"/>
      <w:r>
        <w:rPr>
          <w:rFonts w:ascii="Arial" w:hAnsi="Arial" w:cs="Arial"/>
          <w:color w:val="000000"/>
          <w:sz w:val="20"/>
          <w:szCs w:val="20"/>
          <w:shd w:val="clear" w:color="auto" w:fill="FFFFFF"/>
        </w:rPr>
        <w:t>).There</w:t>
      </w:r>
      <w:proofErr w:type="gramEnd"/>
      <w:r>
        <w:rPr>
          <w:rFonts w:ascii="Arial" w:hAnsi="Arial" w:cs="Arial"/>
          <w:color w:val="000000"/>
          <w:sz w:val="20"/>
          <w:szCs w:val="20"/>
          <w:shd w:val="clear" w:color="auto" w:fill="FFFFFF"/>
        </w:rPr>
        <w:t xml:space="preserve"> is no precise biochemical or phenotype marker for diagnosis of aneurysm. Environmental risk factors that associate with IA can result in modifying the effect of inherited genetic factors and thereby increase the susceptibility to SAH. In </w:t>
      </w:r>
      <w:proofErr w:type="gramStart"/>
      <w:r>
        <w:rPr>
          <w:rFonts w:ascii="Arial" w:hAnsi="Arial" w:cs="Arial"/>
          <w:color w:val="000000"/>
          <w:sz w:val="20"/>
          <w:szCs w:val="20"/>
          <w:shd w:val="clear" w:color="auto" w:fill="FFFFFF"/>
        </w:rPr>
        <w:t>addition</w:t>
      </w:r>
      <w:proofErr w:type="gramEnd"/>
      <w:r>
        <w:rPr>
          <w:rFonts w:ascii="Arial" w:hAnsi="Arial" w:cs="Arial"/>
          <w:color w:val="000000"/>
          <w:sz w:val="20"/>
          <w:szCs w:val="20"/>
          <w:shd w:val="clear" w:color="auto" w:fill="FFFFFF"/>
        </w:rPr>
        <w:t xml:space="preserve"> subsequent to aneurismal rupture, the nature and quantum of inflammatory response might be critical for repair. Therefore, genetic liability to inflammatory response caused by polymorphisms in cytokine genes might be the common denominator for gene and environment in the development of aneurysm and complications associated with rupture.</w:t>
      </w:r>
    </w:p>
    <w:p w14:paraId="17B6264E" w14:textId="77777777" w:rsidR="00664426" w:rsidRDefault="00664426"/>
    <w:p w14:paraId="5A4AAE3A" w14:textId="72D647F6" w:rsidR="00664426" w:rsidRDefault="00664426">
      <w:r>
        <w:rPr>
          <w:rFonts w:ascii="Arial" w:hAnsi="Arial" w:cs="Arial"/>
          <w:color w:val="000000"/>
          <w:sz w:val="20"/>
          <w:szCs w:val="20"/>
          <w:shd w:val="clear" w:color="auto" w:fill="FFFFFF"/>
        </w:rPr>
        <w:t>Pro-inflammatory cytokines TNFA rs361525, IFNG </w:t>
      </w:r>
      <w:r w:rsidRPr="00D81AEF">
        <w:rPr>
          <w:rStyle w:val="highlight"/>
          <w:rFonts w:ascii="Arial" w:hAnsi="Arial" w:cs="Arial"/>
          <w:b/>
          <w:color w:val="000000"/>
          <w:sz w:val="20"/>
          <w:szCs w:val="20"/>
          <w:shd w:val="clear" w:color="auto" w:fill="FFFFFF"/>
        </w:rPr>
        <w:t>rs2069718</w:t>
      </w:r>
      <w:r>
        <w:rPr>
          <w:rFonts w:ascii="Arial" w:hAnsi="Arial" w:cs="Arial"/>
          <w:color w:val="000000"/>
          <w:sz w:val="20"/>
          <w:szCs w:val="20"/>
          <w:shd w:val="clear" w:color="auto" w:fill="FFFFFF"/>
        </w:rPr>
        <w:t xml:space="preserve">, and anti-inflammatory cytokine IL10 rs1800871 and rs1800872 </w:t>
      </w:r>
      <w:proofErr w:type="gramStart"/>
      <w:r>
        <w:rPr>
          <w:rFonts w:ascii="Arial" w:hAnsi="Arial" w:cs="Arial"/>
          <w:color w:val="000000"/>
          <w:sz w:val="20"/>
          <w:szCs w:val="20"/>
          <w:shd w:val="clear" w:color="auto" w:fill="FFFFFF"/>
        </w:rPr>
        <w:t>were found</w:t>
      </w:r>
      <w:proofErr w:type="gramEnd"/>
      <w:r>
        <w:rPr>
          <w:rFonts w:ascii="Arial" w:hAnsi="Arial" w:cs="Arial"/>
          <w:color w:val="000000"/>
          <w:sz w:val="20"/>
          <w:szCs w:val="20"/>
          <w:shd w:val="clear" w:color="auto" w:fill="FFFFFF"/>
        </w:rPr>
        <w:t xml:space="preserve"> to be significantly associated with IA, independent of epidemiological factors. TGFB1 rs1800469 polymorphism </w:t>
      </w:r>
      <w:proofErr w:type="gramStart"/>
      <w:r>
        <w:rPr>
          <w:rFonts w:ascii="Arial" w:hAnsi="Arial" w:cs="Arial"/>
          <w:color w:val="000000"/>
          <w:sz w:val="20"/>
          <w:szCs w:val="20"/>
          <w:shd w:val="clear" w:color="auto" w:fill="FFFFFF"/>
        </w:rPr>
        <w:t>was observed</w:t>
      </w:r>
      <w:proofErr w:type="gramEnd"/>
      <w:r>
        <w:rPr>
          <w:rFonts w:ascii="Arial" w:hAnsi="Arial" w:cs="Arial"/>
          <w:color w:val="000000"/>
          <w:sz w:val="20"/>
          <w:szCs w:val="20"/>
          <w:shd w:val="clear" w:color="auto" w:fill="FFFFFF"/>
        </w:rPr>
        <w:t xml:space="preserve"> to be associated with IA through co-modifying factors such as hypertension and gender. Functional prediction of all the associated SNPs of TNFA, IL10, and TGFB1 indicates their potential role in transcriptional regulation. Meta-analysis further reiterates that IL1 gene cluster and IL6 were not associated with IA.</w:t>
      </w:r>
    </w:p>
    <w:p w14:paraId="175DAC3F" w14:textId="6CB46C26" w:rsidR="00664426" w:rsidRDefault="00664426"/>
    <w:p w14:paraId="688A2042" w14:textId="2C389F21" w:rsidR="00F7099D" w:rsidRDefault="004A7D1A" w:rsidP="00F7099D">
      <w:pPr>
        <w:pStyle w:val="NormalWeb"/>
        <w:shd w:val="clear" w:color="auto" w:fill="FFFFFF"/>
        <w:spacing w:before="0" w:beforeAutospacing="0" w:after="120" w:afterAutospacing="0"/>
        <w:rPr>
          <w:rFonts w:ascii="Arial" w:hAnsi="Arial" w:cs="Arial"/>
          <w:color w:val="000000"/>
          <w:sz w:val="25"/>
          <w:szCs w:val="25"/>
        </w:rPr>
      </w:pPr>
      <w:hyperlink r:id="rId17" w:history="1">
        <w:r w:rsidR="00F7099D" w:rsidRPr="00B04702">
          <w:rPr>
            <w:rStyle w:val="Hyperlink"/>
            <w:rFonts w:ascii="Arial" w:hAnsi="Arial" w:cs="Arial"/>
            <w:sz w:val="25"/>
            <w:szCs w:val="25"/>
          </w:rPr>
          <w:t>https://www.ncbi.nlm.nih.gov/pubmed/24529854</w:t>
        </w:r>
      </w:hyperlink>
    </w:p>
    <w:p w14:paraId="4ED94143" w14:textId="6A23553E"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Polymorphisms of the interferon gamma (IFN-γ) gene are associated with the risk of tuberculosis (TB) in different populations. However, the genetic susceptibility to TB in Han Chinese living in Taiwan is still unknown. The purpose of this study is to evaluate whether the polymorphisms of the IFN-γ gene are associated with TB in Han Taiwanese.</w:t>
      </w:r>
    </w:p>
    <w:p w14:paraId="7FA9879E" w14:textId="77777777" w:rsidR="00F7099D" w:rsidRDefault="00F7099D" w:rsidP="00F7099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METHODS:</w:t>
      </w:r>
    </w:p>
    <w:p w14:paraId="25C4C843" w14:textId="77777777"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 xml:space="preserve">A total of 200 TB patients and 202 age-matched non-TB individuals </w:t>
      </w:r>
      <w:proofErr w:type="gramStart"/>
      <w:r>
        <w:rPr>
          <w:rFonts w:ascii="Arial" w:hAnsi="Arial" w:cs="Arial"/>
          <w:color w:val="000000"/>
          <w:sz w:val="25"/>
          <w:szCs w:val="25"/>
        </w:rPr>
        <w:t>were enrolled</w:t>
      </w:r>
      <w:proofErr w:type="gramEnd"/>
      <w:r>
        <w:rPr>
          <w:rFonts w:ascii="Arial" w:hAnsi="Arial" w:cs="Arial"/>
          <w:color w:val="000000"/>
          <w:sz w:val="25"/>
          <w:szCs w:val="25"/>
        </w:rPr>
        <w:t>. Five tag single nucleotide polymorphisms (</w:t>
      </w:r>
      <w:proofErr w:type="spellStart"/>
      <w:r>
        <w:rPr>
          <w:rFonts w:ascii="Arial" w:hAnsi="Arial" w:cs="Arial"/>
          <w:color w:val="000000"/>
          <w:sz w:val="25"/>
          <w:szCs w:val="25"/>
        </w:rPr>
        <w:t>tSNPs</w:t>
      </w:r>
      <w:proofErr w:type="spellEnd"/>
      <w:r>
        <w:rPr>
          <w:rFonts w:ascii="Arial" w:hAnsi="Arial" w:cs="Arial"/>
          <w:color w:val="000000"/>
          <w:sz w:val="25"/>
          <w:szCs w:val="25"/>
        </w:rPr>
        <w:t xml:space="preserve">) and rs2430561 (+874) of IFN-γ </w:t>
      </w:r>
      <w:proofErr w:type="gramStart"/>
      <w:r>
        <w:rPr>
          <w:rFonts w:ascii="Arial" w:hAnsi="Arial" w:cs="Arial"/>
          <w:color w:val="000000"/>
          <w:sz w:val="25"/>
          <w:szCs w:val="25"/>
        </w:rPr>
        <w:t>were selected</w:t>
      </w:r>
      <w:proofErr w:type="gramEnd"/>
      <w:r>
        <w:rPr>
          <w:rFonts w:ascii="Arial" w:hAnsi="Arial" w:cs="Arial"/>
          <w:color w:val="000000"/>
          <w:sz w:val="25"/>
          <w:szCs w:val="25"/>
        </w:rPr>
        <w:t xml:space="preserve"> from a public database. The genotypes were determined using polymerase chain reaction assays.</w:t>
      </w:r>
    </w:p>
    <w:p w14:paraId="09438297" w14:textId="77777777" w:rsidR="00F7099D" w:rsidRDefault="00F7099D" w:rsidP="00F7099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RESULTS:</w:t>
      </w:r>
    </w:p>
    <w:p w14:paraId="7DF5A2EF" w14:textId="77777777"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t>Three IFN-γ polymorphisms in intron 3, rs1861494 and </w:t>
      </w:r>
      <w:r w:rsidRPr="00D81AEF">
        <w:rPr>
          <w:rStyle w:val="highlight"/>
          <w:rFonts w:ascii="Arial" w:hAnsi="Arial" w:cs="Arial"/>
          <w:b/>
          <w:color w:val="000000"/>
          <w:sz w:val="25"/>
          <w:szCs w:val="25"/>
        </w:rPr>
        <w:t>rs2069718</w:t>
      </w:r>
      <w:r>
        <w:rPr>
          <w:rFonts w:ascii="Arial" w:hAnsi="Arial" w:cs="Arial"/>
          <w:color w:val="000000"/>
          <w:sz w:val="25"/>
          <w:szCs w:val="25"/>
        </w:rPr>
        <w:t xml:space="preserve">, and rs2430561 in </w:t>
      </w:r>
      <w:proofErr w:type="spellStart"/>
      <w:r>
        <w:rPr>
          <w:rFonts w:ascii="Arial" w:hAnsi="Arial" w:cs="Arial"/>
          <w:color w:val="000000"/>
          <w:sz w:val="25"/>
          <w:szCs w:val="25"/>
        </w:rPr>
        <w:t>interon</w:t>
      </w:r>
      <w:proofErr w:type="spellEnd"/>
      <w:r>
        <w:rPr>
          <w:rFonts w:ascii="Arial" w:hAnsi="Arial" w:cs="Arial"/>
          <w:color w:val="000000"/>
          <w:sz w:val="25"/>
          <w:szCs w:val="25"/>
        </w:rPr>
        <w:t xml:space="preserve"> 1 were strongly associated with TB. The C carrier (CT+TT) of rs1861494, TT homozygous of </w:t>
      </w:r>
      <w:r>
        <w:rPr>
          <w:rStyle w:val="highlight"/>
          <w:rFonts w:ascii="Arial" w:hAnsi="Arial" w:cs="Arial"/>
          <w:color w:val="000000"/>
          <w:sz w:val="25"/>
          <w:szCs w:val="25"/>
        </w:rPr>
        <w:t>rs2069718</w:t>
      </w:r>
      <w:r>
        <w:rPr>
          <w:rFonts w:ascii="Arial" w:hAnsi="Arial" w:cs="Arial"/>
          <w:color w:val="000000"/>
          <w:sz w:val="25"/>
          <w:szCs w:val="25"/>
        </w:rPr>
        <w:t>, and AA homozygous of rs2430561 were risk genotypes for susceptibility to TB.</w:t>
      </w:r>
    </w:p>
    <w:p w14:paraId="5378A0FC" w14:textId="77777777" w:rsidR="00F7099D" w:rsidRDefault="00F7099D" w:rsidP="00F7099D">
      <w:pPr>
        <w:pStyle w:val="Heading4"/>
        <w:shd w:val="clear" w:color="auto" w:fill="FFFFFF"/>
        <w:spacing w:before="0" w:beforeAutospacing="0" w:after="0" w:afterAutospacing="0"/>
        <w:ind w:right="60"/>
        <w:rPr>
          <w:rFonts w:ascii="Arial" w:hAnsi="Arial" w:cs="Arial"/>
          <w:caps/>
          <w:color w:val="000000"/>
          <w:sz w:val="20"/>
          <w:szCs w:val="20"/>
        </w:rPr>
      </w:pPr>
      <w:r>
        <w:rPr>
          <w:rFonts w:ascii="Arial" w:hAnsi="Arial" w:cs="Arial"/>
          <w:caps/>
          <w:color w:val="000000"/>
          <w:sz w:val="20"/>
          <w:szCs w:val="20"/>
        </w:rPr>
        <w:t>CONCLUSION:</w:t>
      </w:r>
    </w:p>
    <w:p w14:paraId="55C4CE9E" w14:textId="610E5B47"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r>
        <w:rPr>
          <w:rFonts w:ascii="Arial" w:hAnsi="Arial" w:cs="Arial"/>
          <w:color w:val="000000"/>
          <w:sz w:val="25"/>
          <w:szCs w:val="25"/>
        </w:rPr>
        <w:lastRenderedPageBreak/>
        <w:t>The IFN-γ polymorphisms, rs1861494, </w:t>
      </w:r>
      <w:r>
        <w:rPr>
          <w:rStyle w:val="highlight"/>
          <w:rFonts w:ascii="Arial" w:hAnsi="Arial" w:cs="Arial"/>
          <w:color w:val="000000"/>
          <w:sz w:val="25"/>
          <w:szCs w:val="25"/>
        </w:rPr>
        <w:t>rs2069718</w:t>
      </w:r>
      <w:r>
        <w:rPr>
          <w:rFonts w:ascii="Arial" w:hAnsi="Arial" w:cs="Arial"/>
          <w:color w:val="000000"/>
          <w:sz w:val="25"/>
          <w:szCs w:val="25"/>
        </w:rPr>
        <w:t>, and rs2430561, may confer the risk of TB in Han Taiwanese.</w:t>
      </w:r>
    </w:p>
    <w:p w14:paraId="7ED08A02" w14:textId="77777777"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p>
    <w:p w14:paraId="37365F62" w14:textId="09BE3545" w:rsidR="00F7099D" w:rsidRDefault="004A7D1A" w:rsidP="00F7099D">
      <w:pPr>
        <w:pStyle w:val="NormalWeb"/>
        <w:shd w:val="clear" w:color="auto" w:fill="FFFFFF"/>
        <w:spacing w:before="0" w:beforeAutospacing="0" w:after="120" w:afterAutospacing="0"/>
        <w:rPr>
          <w:rFonts w:ascii="Arial" w:hAnsi="Arial" w:cs="Arial"/>
          <w:color w:val="000000"/>
          <w:sz w:val="25"/>
          <w:szCs w:val="25"/>
        </w:rPr>
      </w:pPr>
      <w:hyperlink r:id="rId18" w:history="1">
        <w:r w:rsidR="00F7099D" w:rsidRPr="00B04702">
          <w:rPr>
            <w:rStyle w:val="Hyperlink"/>
            <w:rFonts w:ascii="Arial" w:hAnsi="Arial" w:cs="Arial"/>
            <w:sz w:val="25"/>
            <w:szCs w:val="25"/>
          </w:rPr>
          <w:t>https://www.ncbi.nlm.nih.gov/pubmed/19919944</w:t>
        </w:r>
      </w:hyperlink>
    </w:p>
    <w:p w14:paraId="52171DB1" w14:textId="77777777"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p>
    <w:p w14:paraId="388D4C75" w14:textId="1076F1CC" w:rsidR="00F7099D" w:rsidRDefault="00F7099D" w:rsidP="00F7099D">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systemic lupus erythematosus.</w:t>
      </w:r>
    </w:p>
    <w:p w14:paraId="470353AB" w14:textId="77777777" w:rsidR="00F7099D" w:rsidRDefault="00F7099D" w:rsidP="00F7099D">
      <w:pPr>
        <w:pStyle w:val="Heading4"/>
        <w:shd w:val="clear" w:color="auto" w:fill="FFFFFF"/>
        <w:spacing w:before="0" w:beforeAutospacing="0" w:after="0" w:afterAutospacing="0" w:line="369" w:lineRule="atLeast"/>
        <w:ind w:right="60"/>
        <w:rPr>
          <w:rFonts w:ascii="Arial" w:hAnsi="Arial" w:cs="Arial"/>
          <w:caps/>
          <w:color w:val="000000"/>
          <w:sz w:val="20"/>
          <w:szCs w:val="20"/>
        </w:rPr>
      </w:pPr>
      <w:r>
        <w:rPr>
          <w:rFonts w:ascii="Arial" w:hAnsi="Arial" w:cs="Arial"/>
          <w:caps/>
          <w:color w:val="000000"/>
          <w:sz w:val="20"/>
          <w:szCs w:val="20"/>
        </w:rPr>
        <w:t>OBJECTIVE:</w:t>
      </w:r>
    </w:p>
    <w:p w14:paraId="65ADA8D3" w14:textId="77777777" w:rsidR="00F7099D" w:rsidRDefault="00F7099D" w:rsidP="00F7099D">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Interferon-gamma (IFNG) is a type II interferon playing diverse roles in innate and adaptive immune systems. Elevated expression of IFNG has been associated with systemic lupus erythematosus (SLE). This study examined the association of IFNG polymorphisms with SLE susceptibility.</w:t>
      </w:r>
    </w:p>
    <w:p w14:paraId="5232A176" w14:textId="77777777" w:rsidR="00F7099D" w:rsidRDefault="00F7099D" w:rsidP="00F7099D">
      <w:pPr>
        <w:pStyle w:val="Heading4"/>
        <w:shd w:val="clear" w:color="auto" w:fill="FFFFFF"/>
        <w:spacing w:before="0" w:beforeAutospacing="0" w:after="0" w:afterAutospacing="0" w:line="369" w:lineRule="atLeast"/>
        <w:ind w:right="60"/>
        <w:rPr>
          <w:rFonts w:ascii="Arial" w:hAnsi="Arial" w:cs="Arial"/>
          <w:caps/>
          <w:color w:val="000000"/>
          <w:sz w:val="20"/>
          <w:szCs w:val="20"/>
        </w:rPr>
      </w:pPr>
      <w:r>
        <w:rPr>
          <w:rFonts w:ascii="Arial" w:hAnsi="Arial" w:cs="Arial"/>
          <w:caps/>
          <w:color w:val="000000"/>
          <w:sz w:val="20"/>
          <w:szCs w:val="20"/>
        </w:rPr>
        <w:t>METHODS:</w:t>
      </w:r>
    </w:p>
    <w:p w14:paraId="7B68FA8A" w14:textId="77777777" w:rsidR="00F7099D" w:rsidRDefault="00F7099D" w:rsidP="00F7099D">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 xml:space="preserve">Five tag single-nucleotide polymorphisms (SNP) and eight variations in all known regulatory sequences affecting IFNG expression within and around IFNG were genotyped in 1759 unrelated Korean subjects. SLE susceptibility association </w:t>
      </w:r>
      <w:proofErr w:type="gramStart"/>
      <w:r>
        <w:rPr>
          <w:rFonts w:ascii="Arial" w:hAnsi="Arial" w:cs="Arial"/>
          <w:color w:val="000000"/>
          <w:sz w:val="21"/>
          <w:szCs w:val="21"/>
        </w:rPr>
        <w:t>was assessed</w:t>
      </w:r>
      <w:proofErr w:type="gramEnd"/>
      <w:r>
        <w:rPr>
          <w:rFonts w:ascii="Arial" w:hAnsi="Arial" w:cs="Arial"/>
          <w:color w:val="000000"/>
          <w:sz w:val="21"/>
          <w:szCs w:val="21"/>
        </w:rPr>
        <w:t xml:space="preserve"> by comparing 742 SLE patients and 1017 unaffected controls using multivariate logistic regression analysis with adjustment for age and gender.</w:t>
      </w:r>
    </w:p>
    <w:p w14:paraId="056075B3" w14:textId="77777777" w:rsidR="00F7099D" w:rsidRDefault="00F7099D" w:rsidP="00F7099D">
      <w:pPr>
        <w:pStyle w:val="Heading4"/>
        <w:shd w:val="clear" w:color="auto" w:fill="FFFFFF"/>
        <w:spacing w:before="0" w:beforeAutospacing="0" w:after="0" w:afterAutospacing="0" w:line="369" w:lineRule="atLeast"/>
        <w:ind w:right="60"/>
        <w:rPr>
          <w:rFonts w:ascii="Arial" w:hAnsi="Arial" w:cs="Arial"/>
          <w:caps/>
          <w:color w:val="000000"/>
          <w:sz w:val="20"/>
          <w:szCs w:val="20"/>
        </w:rPr>
      </w:pPr>
      <w:r>
        <w:rPr>
          <w:rFonts w:ascii="Arial" w:hAnsi="Arial" w:cs="Arial"/>
          <w:caps/>
          <w:color w:val="000000"/>
          <w:sz w:val="20"/>
          <w:szCs w:val="20"/>
        </w:rPr>
        <w:t>RESULTS:</w:t>
      </w:r>
    </w:p>
    <w:p w14:paraId="6090075A" w14:textId="77777777" w:rsidR="00F7099D" w:rsidRDefault="00F7099D" w:rsidP="00F7099D">
      <w:pPr>
        <w:pStyle w:val="NormalWeb"/>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SLE susceptibility association was significant with rs2069705 in the promoter (adjusted OR 2.27, p=0.0024) and marginal with rs3181032 in the promoter (p=0.037), rs2430561 in intron 1 (p=0.022) and </w:t>
      </w:r>
      <w:r w:rsidRPr="00D81AEF">
        <w:rPr>
          <w:rStyle w:val="highlight"/>
          <w:rFonts w:ascii="Arial" w:hAnsi="Arial" w:cs="Arial"/>
          <w:b/>
          <w:color w:val="000000"/>
          <w:sz w:val="21"/>
          <w:szCs w:val="21"/>
        </w:rPr>
        <w:t>rs2069718</w:t>
      </w:r>
      <w:r>
        <w:rPr>
          <w:rFonts w:ascii="Arial" w:hAnsi="Arial" w:cs="Arial"/>
          <w:color w:val="000000"/>
          <w:sz w:val="21"/>
          <w:szCs w:val="21"/>
        </w:rPr>
        <w:t> in intron 3 (p=0.026) in a recessive genetic model. F</w:t>
      </w:r>
    </w:p>
    <w:p w14:paraId="69D7D641" w14:textId="214B590D"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p>
    <w:p w14:paraId="62A417F8" w14:textId="4FC6BD2F" w:rsidR="00F7099D" w:rsidRDefault="004A7D1A" w:rsidP="00F7099D">
      <w:pPr>
        <w:pStyle w:val="NormalWeb"/>
        <w:shd w:val="clear" w:color="auto" w:fill="FFFFFF"/>
        <w:spacing w:before="0" w:beforeAutospacing="0" w:after="120" w:afterAutospacing="0"/>
        <w:rPr>
          <w:rFonts w:ascii="Arial" w:hAnsi="Arial" w:cs="Arial"/>
          <w:color w:val="000000"/>
          <w:sz w:val="25"/>
          <w:szCs w:val="25"/>
        </w:rPr>
      </w:pPr>
      <w:hyperlink r:id="rId19" w:history="1">
        <w:r w:rsidR="00F7099D" w:rsidRPr="00B04702">
          <w:rPr>
            <w:rStyle w:val="Hyperlink"/>
            <w:rFonts w:ascii="Arial" w:hAnsi="Arial" w:cs="Arial"/>
            <w:sz w:val="25"/>
            <w:szCs w:val="25"/>
          </w:rPr>
          <w:t>https://www.ncbi.nlm.nih.gov/pubmed/18385742</w:t>
        </w:r>
      </w:hyperlink>
    </w:p>
    <w:p w14:paraId="64B3534A" w14:textId="14EA0DF9" w:rsidR="00F7099D" w:rsidRDefault="00F7099D" w:rsidP="00F7099D">
      <w:pPr>
        <w:pStyle w:val="NormalWeb"/>
        <w:shd w:val="clear" w:color="auto" w:fill="FFFFFF"/>
        <w:spacing w:before="0" w:beforeAutospacing="0" w:after="120"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t>Interferon-gamma (</w:t>
      </w:r>
      <w:proofErr w:type="spellStart"/>
      <w:r>
        <w:rPr>
          <w:rFonts w:ascii="Arial" w:hAnsi="Arial" w:cs="Arial"/>
          <w:color w:val="000000"/>
          <w:sz w:val="20"/>
          <w:szCs w:val="20"/>
          <w:shd w:val="clear" w:color="auto" w:fill="FFFFFF"/>
        </w:rPr>
        <w:t>IFNgamma</w:t>
      </w:r>
      <w:proofErr w:type="spellEnd"/>
      <w:r>
        <w:rPr>
          <w:rFonts w:ascii="Arial" w:hAnsi="Arial" w:cs="Arial"/>
          <w:color w:val="000000"/>
          <w:sz w:val="20"/>
          <w:szCs w:val="20"/>
          <w:shd w:val="clear" w:color="auto" w:fill="FFFFFF"/>
        </w:rPr>
        <w:t xml:space="preserve">) is located on chromosome 12, and </w:t>
      </w:r>
      <w:proofErr w:type="gramStart"/>
      <w:r>
        <w:rPr>
          <w:rFonts w:ascii="Arial" w:hAnsi="Arial" w:cs="Arial"/>
          <w:color w:val="000000"/>
          <w:sz w:val="20"/>
          <w:szCs w:val="20"/>
          <w:shd w:val="clear" w:color="auto" w:fill="FFFFFF"/>
        </w:rPr>
        <w:t>a number of</w:t>
      </w:r>
      <w:proofErr w:type="gramEnd"/>
      <w:r>
        <w:rPr>
          <w:rFonts w:ascii="Arial" w:hAnsi="Arial" w:cs="Arial"/>
          <w:color w:val="000000"/>
          <w:sz w:val="20"/>
          <w:szCs w:val="20"/>
          <w:shd w:val="clear" w:color="auto" w:fill="FFFFFF"/>
        </w:rPr>
        <w:t xml:space="preserve"> studies have detected very strong linkage signals around this gene and asthma. The aim of this study was to analyze the association of a (CA)n repeat in intron 1 and six single nucleotide polymorphisms (((rs2069705, T/C) (promoter)), ((rs1861494, A/G), (rs1861493, T/C), </w:t>
      </w:r>
      <w:r w:rsidRPr="00D81AEF">
        <w:rPr>
          <w:rFonts w:ascii="Arial" w:hAnsi="Arial" w:cs="Arial"/>
          <w:b/>
          <w:color w:val="000000"/>
          <w:sz w:val="20"/>
          <w:szCs w:val="20"/>
          <w:shd w:val="clear" w:color="auto" w:fill="FFFFFF"/>
        </w:rPr>
        <w:t>(</w:t>
      </w:r>
      <w:r w:rsidRPr="00D81AEF">
        <w:rPr>
          <w:rStyle w:val="highlight"/>
          <w:rFonts w:ascii="Arial" w:hAnsi="Arial" w:cs="Arial"/>
          <w:b/>
          <w:color w:val="000000"/>
          <w:sz w:val="20"/>
          <w:szCs w:val="20"/>
          <w:shd w:val="clear" w:color="auto" w:fill="FFFFFF"/>
        </w:rPr>
        <w:t>rs2069718</w:t>
      </w:r>
      <w:r>
        <w:rPr>
          <w:rFonts w:ascii="Arial" w:hAnsi="Arial" w:cs="Arial"/>
          <w:color w:val="000000"/>
          <w:sz w:val="20"/>
          <w:szCs w:val="20"/>
          <w:shd w:val="clear" w:color="auto" w:fill="FFFFFF"/>
        </w:rPr>
        <w:t xml:space="preserve">, C/T) (intron 3)), ((rs2069727, A/G) and (rs2069728, G/A) (3' untranslated region))) spanning the whole gene with asthma. We report here the association of rs1861494 A/G with atopic asthma in a case-control cohort (n=189 and n=270 cases and controls, respectively) (P=0.0006), which </w:t>
      </w:r>
      <w:proofErr w:type="gramStart"/>
      <w:r>
        <w:rPr>
          <w:rFonts w:ascii="Arial" w:hAnsi="Arial" w:cs="Arial"/>
          <w:color w:val="000000"/>
          <w:sz w:val="20"/>
          <w:szCs w:val="20"/>
          <w:shd w:val="clear" w:color="auto" w:fill="FFFFFF"/>
        </w:rPr>
        <w:t>was replicated</w:t>
      </w:r>
      <w:proofErr w:type="gramEnd"/>
      <w:r>
        <w:rPr>
          <w:rFonts w:ascii="Arial" w:hAnsi="Arial" w:cs="Arial"/>
          <w:color w:val="000000"/>
          <w:sz w:val="20"/>
          <w:szCs w:val="20"/>
          <w:shd w:val="clear" w:color="auto" w:fill="FFFFFF"/>
        </w:rPr>
        <w:t xml:space="preserve"> (P=0.006) in a family study (n=137) as well. Allele G </w:t>
      </w:r>
      <w:proofErr w:type="gramStart"/>
      <w:r>
        <w:rPr>
          <w:rFonts w:ascii="Arial" w:hAnsi="Arial" w:cs="Arial"/>
          <w:color w:val="000000"/>
          <w:sz w:val="20"/>
          <w:szCs w:val="20"/>
          <w:shd w:val="clear" w:color="auto" w:fill="FFFFFF"/>
        </w:rPr>
        <w:t>was found</w:t>
      </w:r>
      <w:proofErr w:type="gramEnd"/>
      <w:r>
        <w:rPr>
          <w:rFonts w:ascii="Arial" w:hAnsi="Arial" w:cs="Arial"/>
          <w:color w:val="000000"/>
          <w:sz w:val="20"/>
          <w:szCs w:val="20"/>
          <w:shd w:val="clear" w:color="auto" w:fill="FFFFFF"/>
        </w:rPr>
        <w:t xml:space="preserve"> to be negatively associated (odds ratio=0.50, 95% confidence interval, P=0.0006). A five-locus haplotype also showed significant association with asthma in the case-control (P=0.002) and the family studies (P=0.0004). In our three-locus sliding window haplotypic analysis, we found the (CA)n repeat, rs1861494 A/G and </w:t>
      </w:r>
      <w:r w:rsidRPr="00D81AEF">
        <w:rPr>
          <w:rStyle w:val="highlight"/>
          <w:rFonts w:ascii="Arial" w:hAnsi="Arial" w:cs="Arial"/>
          <w:b/>
          <w:color w:val="000000"/>
          <w:sz w:val="20"/>
          <w:szCs w:val="20"/>
          <w:shd w:val="clear" w:color="auto" w:fill="FFFFFF"/>
        </w:rPr>
        <w:t>rs2069718</w:t>
      </w:r>
      <w:r>
        <w:rPr>
          <w:rFonts w:ascii="Arial" w:hAnsi="Arial" w:cs="Arial"/>
          <w:color w:val="000000"/>
          <w:sz w:val="20"/>
          <w:szCs w:val="20"/>
          <w:shd w:val="clear" w:color="auto" w:fill="FFFFFF"/>
        </w:rPr>
        <w:t xml:space="preserve"> C/T to be of high priority (P=0.0003). Using electrophoretic mobility shift assay, we provide evidence that the alleles of rs1861494 A/G have differential affinity to bind to putative nuclear factor(s). In conclusion, we report for the </w:t>
      </w:r>
      <w:proofErr w:type="gramStart"/>
      <w:r>
        <w:rPr>
          <w:rFonts w:ascii="Arial" w:hAnsi="Arial" w:cs="Arial"/>
          <w:color w:val="000000"/>
          <w:sz w:val="20"/>
          <w:szCs w:val="20"/>
          <w:shd w:val="clear" w:color="auto" w:fill="FFFFFF"/>
        </w:rPr>
        <w:t>first time</w:t>
      </w:r>
      <w:proofErr w:type="gramEnd"/>
      <w:r>
        <w:rPr>
          <w:rFonts w:ascii="Arial" w:hAnsi="Arial" w:cs="Arial"/>
          <w:color w:val="000000"/>
          <w:sz w:val="20"/>
          <w:szCs w:val="20"/>
          <w:shd w:val="clear" w:color="auto" w:fill="FFFFFF"/>
        </w:rPr>
        <w:t xml:space="preserve"> association of rs1861494 A/G polymorphism with asthma, which may regulate the </w:t>
      </w:r>
      <w:proofErr w:type="spellStart"/>
      <w:r>
        <w:rPr>
          <w:rFonts w:ascii="Arial" w:hAnsi="Arial" w:cs="Arial"/>
          <w:color w:val="000000"/>
          <w:sz w:val="20"/>
          <w:szCs w:val="20"/>
          <w:shd w:val="clear" w:color="auto" w:fill="FFFFFF"/>
        </w:rPr>
        <w:t>IFNgamma</w:t>
      </w:r>
      <w:proofErr w:type="spellEnd"/>
      <w:r>
        <w:rPr>
          <w:rFonts w:ascii="Arial" w:hAnsi="Arial" w:cs="Arial"/>
          <w:color w:val="000000"/>
          <w:sz w:val="20"/>
          <w:szCs w:val="20"/>
          <w:shd w:val="clear" w:color="auto" w:fill="FFFFFF"/>
        </w:rPr>
        <w:t xml:space="preserve"> levels and, hence, modulate asthma pathogenesis.</w:t>
      </w:r>
    </w:p>
    <w:p w14:paraId="7226C83F" w14:textId="54DCFAF8"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p>
    <w:p w14:paraId="3C94CD17" w14:textId="77777777" w:rsidR="00F7099D" w:rsidRDefault="00F7099D" w:rsidP="00F7099D">
      <w:pPr>
        <w:pStyle w:val="NormalWeb"/>
        <w:shd w:val="clear" w:color="auto" w:fill="FFFFFF"/>
        <w:spacing w:before="0" w:beforeAutospacing="0" w:after="120" w:afterAutospacing="0"/>
        <w:rPr>
          <w:rFonts w:ascii="Arial" w:hAnsi="Arial" w:cs="Arial"/>
          <w:color w:val="000000"/>
          <w:sz w:val="25"/>
          <w:szCs w:val="25"/>
        </w:rPr>
      </w:pPr>
    </w:p>
    <w:p w14:paraId="316D0820" w14:textId="0A112AD1" w:rsidR="00DC1B26" w:rsidRPr="00DC1B26" w:rsidRDefault="00E44527" w:rsidP="00DC1B26">
      <w:r>
        <w:t>IFNG [</w:t>
      </w:r>
      <w:r w:rsidR="00DC1B26">
        <w:t>(</w:t>
      </w:r>
      <w:r>
        <w:t>Interferon gamma</w:t>
      </w:r>
      <w:proofErr w:type="gramStart"/>
      <w:r w:rsidR="00DC1B26">
        <w:t>)</w:t>
      </w:r>
      <w:r>
        <w:t>](</w:t>
      </w:r>
      <w:proofErr w:type="gramEnd"/>
      <w:r w:rsidR="00DC1B26">
        <w:fldChar w:fldCharType="begin"/>
      </w:r>
      <w:r w:rsidR="00DC1B26">
        <w:instrText xml:space="preserve"> HYPERLINK "http://www.uniprot.org/uniprot/P01579" </w:instrText>
      </w:r>
      <w:r w:rsidR="00DC1B26">
        <w:fldChar w:fldCharType="separate"/>
      </w:r>
      <w:r w:rsidR="00DC1B26" w:rsidRPr="00B4547F">
        <w:rPr>
          <w:rStyle w:val="Hyperlink"/>
        </w:rPr>
        <w:t>http://www.uniprot.org/uniprot/P01579</w:t>
      </w:r>
      <w:r w:rsidR="00DC1B26">
        <w:fldChar w:fldCharType="end"/>
      </w:r>
      <w:r>
        <w:t>)</w:t>
      </w:r>
      <w:r w:rsidR="00DC1B26">
        <w:t xml:space="preserve"> encodes a cytokine, also known as a small protein, that is involved in cell signaling and immunomodulating.</w:t>
      </w:r>
      <w:r w:rsidR="00D81AEF">
        <w:t xml:space="preserve"> </w:t>
      </w:r>
      <w:r w:rsidR="00DC1B26">
        <w:t>Th</w:t>
      </w:r>
      <w:r w:rsidR="00D81AEF">
        <w:t>e INF-gamma</w:t>
      </w:r>
      <w:r w:rsidR="00DC1B26">
        <w:t xml:space="preserve"> cytokine </w:t>
      </w:r>
      <w:proofErr w:type="gramStart"/>
      <w:r w:rsidR="00DC1B26">
        <w:t>is produced</w:t>
      </w:r>
      <w:proofErr w:type="gramEnd"/>
      <w:r w:rsidR="00DC1B26">
        <w:t xml:space="preserve"> by lymphocytes</w:t>
      </w:r>
      <w:r w:rsidR="00D81AEF">
        <w:t xml:space="preserve"> (</w:t>
      </w:r>
      <w:r w:rsidR="00DC1B26">
        <w:t>a type of white blood cell</w:t>
      </w:r>
      <w:r w:rsidR="00D81AEF">
        <w:t>)</w:t>
      </w:r>
      <w:r w:rsidR="00DC1B26">
        <w:t xml:space="preserve"> when activated by antigens such as viruses or microbial infections. It has antiviral properties, immunoregulatory functions, and antitumor effects. Variations in this gene are associated with autoimmune disorders including [systemic lupus erythematosus](https://www.ncbi.nlm.nih.gov/pubmed/19919944), [increased susceptibility to viral, bacterial, and parasitical infections](</w:t>
      </w:r>
      <w:hyperlink r:id="rId20" w:history="1">
        <w:r w:rsidR="00DC1B26" w:rsidRPr="00B4547F">
          <w:rPr>
            <w:rStyle w:val="Hyperlink"/>
            <w:rFonts w:ascii="Arial" w:hAnsi="Arial" w:cs="Arial"/>
            <w:sz w:val="20"/>
            <w:szCs w:val="20"/>
            <w:shd w:val="clear" w:color="auto" w:fill="FFFFFF"/>
          </w:rPr>
          <w:t>https://www.ncbi.nlm.nih.gov/gene/3458</w:t>
        </w:r>
      </w:hyperlink>
      <w:r w:rsidR="00DC1B26">
        <w:t>) such as [</w:t>
      </w:r>
      <w:r w:rsidR="00D81AEF">
        <w:t>tuberculosis</w:t>
      </w:r>
      <w:r w:rsidR="00DC1B26">
        <w:t>](</w:t>
      </w:r>
      <w:hyperlink r:id="rId21" w:history="1">
        <w:r w:rsidR="00DC1B26" w:rsidRPr="00B4547F">
          <w:rPr>
            <w:rStyle w:val="Hyperlink"/>
            <w:rFonts w:ascii="Arial" w:hAnsi="Arial" w:cs="Arial"/>
            <w:sz w:val="25"/>
            <w:szCs w:val="25"/>
          </w:rPr>
          <w:t>https://www.ncbi.nlm.nih.gov/pubmed/24529854</w:t>
        </w:r>
      </w:hyperlink>
      <w:r w:rsidR="00DC1B26">
        <w:t>), [asthma](</w:t>
      </w:r>
      <w:hyperlink r:id="rId22" w:history="1">
        <w:r w:rsidR="00DC1B26" w:rsidRPr="00B4547F">
          <w:rPr>
            <w:rStyle w:val="Hyperlink"/>
            <w:rFonts w:ascii="Arial" w:hAnsi="Arial" w:cs="Arial"/>
            <w:sz w:val="25"/>
            <w:szCs w:val="25"/>
          </w:rPr>
          <w:t>https://www.ncbi.nlm.nih.gov/pubmed/18385742</w:t>
        </w:r>
      </w:hyperlink>
      <w:r w:rsidR="00DC1B26">
        <w:t>), [aplastic anemia](</w:t>
      </w:r>
      <w:r w:rsidR="00DC1B26" w:rsidRPr="00DC1B26">
        <w:t>http://www.uniprot.org/citations/15327519</w:t>
      </w:r>
      <w:r w:rsidR="00DC1B26">
        <w:t>), [increased progression of acquired immunodeficiency syndrome](</w:t>
      </w:r>
      <w:hyperlink r:id="rId23" w:history="1">
        <w:r w:rsidR="00DC1B26" w:rsidRPr="00B4547F">
          <w:rPr>
            <w:rStyle w:val="Hyperlink"/>
          </w:rPr>
          <w:t>https://www.ncbi.nlm.nih.gov/pubmed/12854077</w:t>
        </w:r>
      </w:hyperlink>
      <w:r w:rsidR="00DC1B26">
        <w:t>) and [ME/CFS](</w:t>
      </w:r>
      <w:r w:rsidR="00DC1B26" w:rsidRPr="00DC1B26">
        <w:t xml:space="preserve"> </w:t>
      </w:r>
      <w:hyperlink r:id="rId24" w:history="1">
        <w:r w:rsidR="00DC1B26" w:rsidRPr="00B04702">
          <w:rPr>
            <w:rStyle w:val="Hyperlink"/>
          </w:rPr>
          <w:t>https://www.ncbi.nlm.nih.gov/pubmed/26063326</w:t>
        </w:r>
      </w:hyperlink>
      <w:r w:rsidR="00DC1B26">
        <w:t>).</w:t>
      </w:r>
    </w:p>
    <w:p w14:paraId="1452CFEE" w14:textId="77777777" w:rsidR="00664426" w:rsidRDefault="00664426"/>
    <w:p w14:paraId="23B10AFD" w14:textId="3A177868" w:rsidR="008416A2" w:rsidRDefault="004A7D1A">
      <w:hyperlink r:id="rId25" w:history="1">
        <w:r w:rsidR="00664426" w:rsidRPr="00B04702">
          <w:rPr>
            <w:rStyle w:val="Hyperlink"/>
          </w:rPr>
          <w:t>http://www.uniprot.org/uniprot/P01579</w:t>
        </w:r>
      </w:hyperlink>
    </w:p>
    <w:p w14:paraId="31730DFE" w14:textId="0C010302" w:rsidR="00664426" w:rsidRDefault="00664426">
      <w:pPr>
        <w:rPr>
          <w:rFonts w:ascii="Verdana" w:hAnsi="Verdana"/>
          <w:b/>
          <w:bCs/>
          <w:color w:val="000000"/>
          <w:sz w:val="21"/>
          <w:szCs w:val="21"/>
        </w:rPr>
      </w:pPr>
      <w:r>
        <w:rPr>
          <w:rFonts w:ascii="Verdana" w:hAnsi="Verdana"/>
          <w:b/>
          <w:bCs/>
          <w:color w:val="000000"/>
          <w:sz w:val="21"/>
          <w:szCs w:val="21"/>
        </w:rPr>
        <w:t>Interferon gamma</w:t>
      </w:r>
    </w:p>
    <w:p w14:paraId="1DDD2BE3" w14:textId="77777777" w:rsidR="00664426" w:rsidRDefault="00664426"/>
    <w:p w14:paraId="6E19AAE7" w14:textId="4BCD11BB" w:rsidR="00664426" w:rsidRDefault="00664426">
      <w:pPr>
        <w:rPr>
          <w:rFonts w:ascii="Verdana" w:hAnsi="Verdana"/>
          <w:color w:val="222222"/>
          <w:sz w:val="20"/>
          <w:szCs w:val="20"/>
        </w:rPr>
      </w:pPr>
      <w:r>
        <w:rPr>
          <w:rFonts w:ascii="Verdana" w:hAnsi="Verdana"/>
          <w:color w:val="222222"/>
          <w:sz w:val="20"/>
          <w:szCs w:val="20"/>
        </w:rPr>
        <w:t>Produced by lymphocytes activated by specific antigens or mitogens. IFN-gamma, in addition to having antiviral activity, has important immunoregulatory functions. It is a potent activator of macrophages, it has antiproliferative effects on transformed cells and it can potentiate the antiviral and antitumor effects of the type I interferons.</w:t>
      </w:r>
    </w:p>
    <w:p w14:paraId="152E02F6" w14:textId="21344A8C" w:rsidR="00664426" w:rsidRDefault="00664426"/>
    <w:p w14:paraId="1C77797A" w14:textId="77777777" w:rsidR="00664426" w:rsidRDefault="004A7D1A" w:rsidP="00664426">
      <w:pPr>
        <w:numPr>
          <w:ilvl w:val="0"/>
          <w:numId w:val="1"/>
        </w:numPr>
        <w:spacing w:before="100" w:beforeAutospacing="1" w:afterAutospacing="1"/>
        <w:ind w:left="480" w:firstLine="0"/>
        <w:rPr>
          <w:rFonts w:ascii="Verdana" w:hAnsi="Verdana"/>
          <w:color w:val="222222"/>
          <w:sz w:val="20"/>
          <w:szCs w:val="20"/>
        </w:rPr>
      </w:pPr>
      <w:hyperlink r:id="rId26" w:history="1">
        <w:r w:rsidR="00664426">
          <w:rPr>
            <w:rFonts w:ascii="Verdana" w:hAnsi="Verdana"/>
            <w:color w:val="00709B"/>
            <w:sz w:val="20"/>
            <w:szCs w:val="20"/>
          </w:rPr>
          <w:br/>
        </w:r>
        <w:r w:rsidR="00664426">
          <w:rPr>
            <w:rStyle w:val="Hyperlink"/>
            <w:rFonts w:ascii="Verdana" w:hAnsi="Verdana"/>
            <w:color w:val="00709B"/>
            <w:sz w:val="20"/>
            <w:szCs w:val="20"/>
          </w:rPr>
          <w:t>cytokine activity</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GO_Central</w:t>
      </w:r>
      <w:proofErr w:type="spellEnd"/>
    </w:p>
    <w:p w14:paraId="2E7C022E" w14:textId="77777777" w:rsidR="00664426" w:rsidRDefault="004A7D1A" w:rsidP="00664426">
      <w:pPr>
        <w:numPr>
          <w:ilvl w:val="0"/>
          <w:numId w:val="1"/>
        </w:numPr>
        <w:spacing w:before="100" w:beforeAutospacing="1" w:afterAutospacing="1"/>
        <w:ind w:left="480" w:firstLine="0"/>
        <w:rPr>
          <w:rFonts w:ascii="Verdana" w:hAnsi="Verdana"/>
          <w:color w:val="222222"/>
          <w:sz w:val="20"/>
          <w:szCs w:val="20"/>
        </w:rPr>
      </w:pPr>
      <w:hyperlink r:id="rId27" w:history="1">
        <w:r w:rsidR="00664426">
          <w:rPr>
            <w:rStyle w:val="Hyperlink"/>
            <w:rFonts w:ascii="Verdana" w:hAnsi="Verdana"/>
            <w:color w:val="00709B"/>
            <w:sz w:val="20"/>
            <w:szCs w:val="20"/>
          </w:rPr>
          <w:t>interferon-gamma receptor binding</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ProtInc</w:t>
      </w:r>
      <w:proofErr w:type="spellEnd"/>
    </w:p>
    <w:p w14:paraId="666C75C7" w14:textId="77777777" w:rsidR="00664426" w:rsidRDefault="004A7D1A" w:rsidP="00664426">
      <w:pPr>
        <w:rPr>
          <w:rFonts w:ascii="Verdana" w:hAnsi="Verdana"/>
          <w:color w:val="222222"/>
          <w:sz w:val="20"/>
          <w:szCs w:val="20"/>
        </w:rPr>
      </w:pPr>
      <w:hyperlink r:id="rId28" w:history="1">
        <w:r w:rsidR="00664426">
          <w:rPr>
            <w:rStyle w:val="Hyperlink"/>
            <w:rFonts w:ascii="Verdana" w:hAnsi="Verdana"/>
            <w:color w:val="00709B"/>
            <w:sz w:val="20"/>
            <w:szCs w:val="20"/>
          </w:rPr>
          <w:t xml:space="preserve">View the complete GO annotation on </w:t>
        </w:r>
        <w:proofErr w:type="spellStart"/>
        <w:r w:rsidR="00664426">
          <w:rPr>
            <w:rStyle w:val="Hyperlink"/>
            <w:rFonts w:ascii="Verdana" w:hAnsi="Verdana"/>
            <w:color w:val="00709B"/>
            <w:sz w:val="20"/>
            <w:szCs w:val="20"/>
          </w:rPr>
          <w:t>QuickGO</w:t>
        </w:r>
        <w:proofErr w:type="spellEnd"/>
        <w:r w:rsidR="00664426">
          <w:rPr>
            <w:rStyle w:val="Hyperlink"/>
            <w:rFonts w:ascii="Verdana" w:hAnsi="Verdana"/>
            <w:color w:val="00709B"/>
            <w:sz w:val="20"/>
            <w:szCs w:val="20"/>
          </w:rPr>
          <w:t xml:space="preserve"> ...</w:t>
        </w:r>
      </w:hyperlink>
    </w:p>
    <w:p w14:paraId="69EF2FAD" w14:textId="77777777" w:rsidR="00664426" w:rsidRDefault="00664426" w:rsidP="00664426">
      <w:pPr>
        <w:pStyle w:val="Heading4"/>
        <w:spacing w:before="0" w:beforeAutospacing="0" w:after="0" w:afterAutospacing="0"/>
        <w:rPr>
          <w:rFonts w:ascii="Helvetica" w:hAnsi="Helvetica"/>
          <w:color w:val="4D4D4D"/>
          <w:sz w:val="23"/>
          <w:szCs w:val="23"/>
        </w:rPr>
      </w:pPr>
      <w:r>
        <w:rPr>
          <w:rStyle w:val="context-help"/>
          <w:rFonts w:ascii="Helvetica" w:eastAsiaTheme="majorEastAsia" w:hAnsi="Helvetica"/>
          <w:color w:val="4D4D4D"/>
          <w:sz w:val="23"/>
          <w:szCs w:val="23"/>
        </w:rPr>
        <w:t xml:space="preserve">GO - Biological </w:t>
      </w:r>
      <w:proofErr w:type="spellStart"/>
      <w:r>
        <w:rPr>
          <w:rStyle w:val="context-help"/>
          <w:rFonts w:ascii="Helvetica" w:eastAsiaTheme="majorEastAsia" w:hAnsi="Helvetica"/>
          <w:color w:val="4D4D4D"/>
          <w:sz w:val="23"/>
          <w:szCs w:val="23"/>
        </w:rPr>
        <w:t>process</w:t>
      </w:r>
      <w:r>
        <w:rPr>
          <w:rStyle w:val="context-help"/>
          <w:rFonts w:ascii="Garamond" w:eastAsiaTheme="majorEastAsia" w:hAnsi="Garamond"/>
          <w:b w:val="0"/>
          <w:bCs w:val="0"/>
          <w:color w:val="4D4D4D"/>
          <w:sz w:val="18"/>
          <w:szCs w:val="18"/>
          <w:vertAlign w:val="superscript"/>
        </w:rPr>
        <w:t>i</w:t>
      </w:r>
      <w:proofErr w:type="spellEnd"/>
    </w:p>
    <w:p w14:paraId="1804FEA1"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29" w:history="1">
        <w:r w:rsidR="00664426">
          <w:rPr>
            <w:rStyle w:val="Hyperlink"/>
            <w:rFonts w:ascii="Verdana" w:hAnsi="Verdana"/>
            <w:color w:val="00709B"/>
            <w:sz w:val="20"/>
            <w:szCs w:val="20"/>
          </w:rPr>
          <w:t>adaptive immune response</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GO_Central</w:t>
      </w:r>
      <w:proofErr w:type="spellEnd"/>
    </w:p>
    <w:p w14:paraId="12A926DB"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30" w:history="1">
        <w:r w:rsidR="00664426">
          <w:rPr>
            <w:rStyle w:val="Hyperlink"/>
            <w:rFonts w:ascii="Verdana" w:hAnsi="Verdana"/>
            <w:color w:val="00709B"/>
            <w:sz w:val="20"/>
            <w:szCs w:val="20"/>
          </w:rPr>
          <w:t>apoptotic process</w:t>
        </w:r>
      </w:hyperlink>
      <w:r w:rsidR="00664426">
        <w:rPr>
          <w:rStyle w:val="attributionheader"/>
          <w:rFonts w:ascii="Verdana" w:hAnsi="Verdana"/>
          <w:color w:val="222222"/>
          <w:sz w:val="18"/>
          <w:szCs w:val="18"/>
          <w:bdr w:val="none" w:sz="0" w:space="0" w:color="auto" w:frame="1"/>
          <w:shd w:val="clear" w:color="auto" w:fill="FBEFB6"/>
        </w:rPr>
        <w:t> Source: MGI</w:t>
      </w:r>
    </w:p>
    <w:p w14:paraId="7E445428"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31" w:history="1">
        <w:r w:rsidR="00664426">
          <w:rPr>
            <w:rStyle w:val="Hyperlink"/>
            <w:rFonts w:ascii="Verdana" w:hAnsi="Verdana"/>
            <w:color w:val="00709B"/>
            <w:sz w:val="20"/>
            <w:szCs w:val="20"/>
          </w:rPr>
          <w:t>cell cycle arrest</w:t>
        </w:r>
      </w:hyperlink>
      <w:r w:rsidR="00664426">
        <w:rPr>
          <w:rStyle w:val="attributionheader"/>
          <w:rFonts w:ascii="Verdana" w:hAnsi="Verdana"/>
          <w:color w:val="222222"/>
          <w:sz w:val="18"/>
          <w:szCs w:val="18"/>
          <w:bdr w:val="none" w:sz="0" w:space="0" w:color="auto" w:frame="1"/>
          <w:shd w:val="clear" w:color="auto" w:fill="FBEFB6"/>
        </w:rPr>
        <w:t> Source: BHF-UCL</w:t>
      </w:r>
    </w:p>
    <w:p w14:paraId="1E5D7001"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32" w:history="1">
        <w:r w:rsidR="00664426">
          <w:rPr>
            <w:rStyle w:val="Hyperlink"/>
            <w:rFonts w:ascii="Verdana" w:hAnsi="Verdana"/>
            <w:color w:val="00709B"/>
            <w:sz w:val="20"/>
            <w:szCs w:val="20"/>
          </w:rPr>
          <w:t>cell surface receptor signaling pathway</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ProtInc</w:t>
      </w:r>
      <w:proofErr w:type="spellEnd"/>
    </w:p>
    <w:p w14:paraId="019E9861"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33" w:history="1">
        <w:r w:rsidR="00664426">
          <w:rPr>
            <w:rStyle w:val="Hyperlink"/>
            <w:rFonts w:ascii="Verdana" w:hAnsi="Verdana"/>
            <w:color w:val="00709B"/>
            <w:sz w:val="20"/>
            <w:szCs w:val="20"/>
          </w:rPr>
          <w:t>defense response to virus</w:t>
        </w:r>
      </w:hyperlink>
      <w:r w:rsidR="00664426">
        <w:rPr>
          <w:rStyle w:val="attributionheader"/>
          <w:rFonts w:ascii="Verdana" w:hAnsi="Verdana"/>
          <w:color w:val="222222"/>
          <w:sz w:val="18"/>
          <w:szCs w:val="18"/>
          <w:bdr w:val="none" w:sz="0" w:space="0" w:color="auto" w:frame="1"/>
          <w:shd w:val="clear" w:color="auto" w:fill="D3E8FE"/>
        </w:rPr>
        <w:t xml:space="preserve"> Source: </w:t>
      </w:r>
      <w:proofErr w:type="spellStart"/>
      <w:r w:rsidR="00664426">
        <w:rPr>
          <w:rStyle w:val="attributionheader"/>
          <w:rFonts w:ascii="Verdana" w:hAnsi="Verdana"/>
          <w:color w:val="222222"/>
          <w:sz w:val="18"/>
          <w:szCs w:val="18"/>
          <w:bdr w:val="none" w:sz="0" w:space="0" w:color="auto" w:frame="1"/>
          <w:shd w:val="clear" w:color="auto" w:fill="D3E8FE"/>
        </w:rPr>
        <w:t>UniProtKB</w:t>
      </w:r>
      <w:proofErr w:type="spellEnd"/>
      <w:r w:rsidR="00664426">
        <w:rPr>
          <w:rStyle w:val="attributionheader"/>
          <w:rFonts w:ascii="Verdana" w:hAnsi="Verdana"/>
          <w:color w:val="222222"/>
          <w:sz w:val="18"/>
          <w:szCs w:val="18"/>
          <w:bdr w:val="none" w:sz="0" w:space="0" w:color="auto" w:frame="1"/>
          <w:shd w:val="clear" w:color="auto" w:fill="D3E8FE"/>
        </w:rPr>
        <w:t>-KW</w:t>
      </w:r>
    </w:p>
    <w:p w14:paraId="3C4875B0"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34" w:history="1">
        <w:r w:rsidR="00664426">
          <w:rPr>
            <w:rStyle w:val="Hyperlink"/>
            <w:rFonts w:ascii="Verdana" w:hAnsi="Verdana"/>
            <w:color w:val="00709B"/>
            <w:sz w:val="20"/>
            <w:szCs w:val="20"/>
          </w:rPr>
          <w:t>extrinsic apoptotic signaling pathway</w:t>
        </w:r>
      </w:hyperlink>
      <w:r w:rsidR="00664426">
        <w:rPr>
          <w:rStyle w:val="attributionheader"/>
          <w:rFonts w:ascii="Verdana" w:hAnsi="Verdana"/>
          <w:color w:val="222222"/>
          <w:sz w:val="18"/>
          <w:szCs w:val="18"/>
          <w:bdr w:val="none" w:sz="0" w:space="0" w:color="auto" w:frame="1"/>
          <w:shd w:val="clear" w:color="auto" w:fill="FBEFB6"/>
        </w:rPr>
        <w:t> Source: BHF-UCL</w:t>
      </w:r>
    </w:p>
    <w:p w14:paraId="42D7C079"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35" w:history="1">
        <w:r w:rsidR="00664426">
          <w:rPr>
            <w:rStyle w:val="Hyperlink"/>
            <w:rFonts w:ascii="Verdana" w:hAnsi="Verdana"/>
            <w:color w:val="00709B"/>
            <w:sz w:val="20"/>
            <w:szCs w:val="20"/>
          </w:rPr>
          <w:t>humoral immune response</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GO_Central</w:t>
      </w:r>
      <w:proofErr w:type="spellEnd"/>
    </w:p>
    <w:p w14:paraId="69FFB799"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36" w:history="1">
        <w:r w:rsidR="00664426">
          <w:rPr>
            <w:rStyle w:val="Hyperlink"/>
            <w:rFonts w:ascii="Verdana" w:hAnsi="Verdana"/>
            <w:color w:val="00709B"/>
            <w:sz w:val="20"/>
            <w:szCs w:val="20"/>
          </w:rPr>
          <w:t>interferon-gamma-mediated signaling pathway</w:t>
        </w:r>
      </w:hyperlink>
      <w:r w:rsidR="00664426">
        <w:rPr>
          <w:rStyle w:val="attributionheader"/>
          <w:rFonts w:ascii="Verdana" w:hAnsi="Verdana"/>
          <w:color w:val="222222"/>
          <w:sz w:val="18"/>
          <w:szCs w:val="18"/>
          <w:bdr w:val="none" w:sz="0" w:space="0" w:color="auto" w:frame="1"/>
          <w:shd w:val="clear" w:color="auto" w:fill="FBEFB6"/>
        </w:rPr>
        <w:t> Source: CAFA</w:t>
      </w:r>
    </w:p>
    <w:p w14:paraId="12335A07"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37" w:history="1">
        <w:r w:rsidR="00664426">
          <w:rPr>
            <w:rStyle w:val="Hyperlink"/>
            <w:rFonts w:ascii="Verdana" w:hAnsi="Verdana"/>
            <w:color w:val="00709B"/>
            <w:sz w:val="20"/>
            <w:szCs w:val="20"/>
          </w:rPr>
          <w:t>interleukin-12-mediated signaling pathway</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Reactome</w:t>
      </w:r>
      <w:proofErr w:type="spellEnd"/>
    </w:p>
    <w:p w14:paraId="5711722B"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38" w:history="1">
        <w:r w:rsidR="00664426">
          <w:rPr>
            <w:rStyle w:val="Hyperlink"/>
            <w:rFonts w:ascii="Verdana" w:hAnsi="Verdana"/>
            <w:color w:val="00709B"/>
            <w:sz w:val="20"/>
            <w:szCs w:val="20"/>
          </w:rPr>
          <w:t>negative regulation of epithelial cell differentiation</w:t>
        </w:r>
      </w:hyperlink>
      <w:r w:rsidR="00664426">
        <w:rPr>
          <w:rStyle w:val="attributionheader"/>
          <w:rFonts w:ascii="Verdana" w:hAnsi="Verdana"/>
          <w:color w:val="222222"/>
          <w:sz w:val="18"/>
          <w:szCs w:val="18"/>
          <w:bdr w:val="none" w:sz="0" w:space="0" w:color="auto" w:frame="1"/>
          <w:shd w:val="clear" w:color="auto" w:fill="FBEFB6"/>
        </w:rPr>
        <w:t> Source: BHF-UCL</w:t>
      </w:r>
    </w:p>
    <w:p w14:paraId="5355BB3B"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39" w:history="1">
        <w:r w:rsidR="00664426">
          <w:rPr>
            <w:rStyle w:val="Hyperlink"/>
            <w:rFonts w:ascii="Verdana" w:hAnsi="Verdana"/>
            <w:color w:val="00709B"/>
            <w:sz w:val="20"/>
            <w:szCs w:val="20"/>
          </w:rPr>
          <w:t>negative regulation of gene expression</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UniProtKB</w:t>
      </w:r>
      <w:proofErr w:type="spellEnd"/>
    </w:p>
    <w:p w14:paraId="1AFC9795"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40" w:history="1">
        <w:r w:rsidR="00664426">
          <w:rPr>
            <w:rStyle w:val="Hyperlink"/>
            <w:rFonts w:ascii="Verdana" w:hAnsi="Verdana"/>
            <w:color w:val="00709B"/>
            <w:sz w:val="20"/>
            <w:szCs w:val="20"/>
          </w:rPr>
          <w:t>negative regulation of interleukin-17 production</w:t>
        </w:r>
      </w:hyperlink>
      <w:r w:rsidR="00664426">
        <w:rPr>
          <w:rStyle w:val="attributionheader"/>
          <w:rFonts w:ascii="Verdana" w:hAnsi="Verdana"/>
          <w:color w:val="222222"/>
          <w:sz w:val="18"/>
          <w:szCs w:val="18"/>
          <w:bdr w:val="none" w:sz="0" w:space="0" w:color="auto" w:frame="1"/>
          <w:shd w:val="clear" w:color="auto" w:fill="FBEFB6"/>
        </w:rPr>
        <w:t> Source: BHF-UCL</w:t>
      </w:r>
    </w:p>
    <w:p w14:paraId="674FFE1A"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41" w:history="1">
        <w:r w:rsidR="00664426">
          <w:rPr>
            <w:rStyle w:val="Hyperlink"/>
            <w:rFonts w:ascii="Verdana" w:hAnsi="Verdana"/>
            <w:color w:val="00709B"/>
            <w:sz w:val="20"/>
            <w:szCs w:val="20"/>
          </w:rPr>
          <w:t>negative regulation of smooth muscle cell proliferation</w:t>
        </w:r>
      </w:hyperlink>
      <w:r w:rsidR="00664426">
        <w:rPr>
          <w:rStyle w:val="attributionheader"/>
          <w:rFonts w:ascii="Verdana" w:hAnsi="Verdana"/>
          <w:color w:val="222222"/>
          <w:sz w:val="18"/>
          <w:szCs w:val="18"/>
          <w:bdr w:val="none" w:sz="0" w:space="0" w:color="auto" w:frame="1"/>
          <w:shd w:val="clear" w:color="auto" w:fill="FBEFB6"/>
        </w:rPr>
        <w:t> Source: BHF-UCL</w:t>
      </w:r>
    </w:p>
    <w:p w14:paraId="02D41686"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42" w:history="1">
        <w:r w:rsidR="00664426">
          <w:rPr>
            <w:rStyle w:val="Hyperlink"/>
            <w:rFonts w:ascii="Verdana" w:hAnsi="Verdana"/>
            <w:color w:val="00709B"/>
            <w:sz w:val="20"/>
            <w:szCs w:val="20"/>
          </w:rPr>
          <w:t>negative regulation of transcription, DNA-templated</w:t>
        </w:r>
      </w:hyperlink>
      <w:r w:rsidR="00664426">
        <w:rPr>
          <w:rStyle w:val="attributionheader"/>
          <w:rFonts w:ascii="Verdana" w:hAnsi="Verdana"/>
          <w:color w:val="222222"/>
          <w:sz w:val="18"/>
          <w:szCs w:val="18"/>
          <w:bdr w:val="none" w:sz="0" w:space="0" w:color="auto" w:frame="1"/>
          <w:shd w:val="clear" w:color="auto" w:fill="FBEFB6"/>
        </w:rPr>
        <w:t> Source: CAFA</w:t>
      </w:r>
    </w:p>
    <w:p w14:paraId="1D70B573"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43" w:history="1">
        <w:r w:rsidR="00664426">
          <w:rPr>
            <w:rStyle w:val="Hyperlink"/>
            <w:rFonts w:ascii="Verdana" w:hAnsi="Verdana"/>
            <w:color w:val="00709B"/>
            <w:sz w:val="20"/>
            <w:szCs w:val="20"/>
          </w:rPr>
          <w:t>negative regulation of transcription by RNA polymerase II</w:t>
        </w:r>
      </w:hyperlink>
      <w:r w:rsidR="00664426">
        <w:rPr>
          <w:rStyle w:val="attributionheader"/>
          <w:rFonts w:ascii="Verdana" w:hAnsi="Verdana"/>
          <w:color w:val="222222"/>
          <w:sz w:val="18"/>
          <w:szCs w:val="18"/>
          <w:bdr w:val="none" w:sz="0" w:space="0" w:color="auto" w:frame="1"/>
          <w:shd w:val="clear" w:color="auto" w:fill="FBEFB6"/>
        </w:rPr>
        <w:t> Source: BHF-UCL</w:t>
      </w:r>
    </w:p>
    <w:p w14:paraId="07EDBB0D"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44" w:history="1">
        <w:r w:rsidR="00664426">
          <w:rPr>
            <w:rStyle w:val="Hyperlink"/>
            <w:rFonts w:ascii="Verdana" w:hAnsi="Verdana"/>
            <w:color w:val="00709B"/>
            <w:sz w:val="20"/>
            <w:szCs w:val="20"/>
          </w:rPr>
          <w:t>positive regulation of autophagy</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UniProtKB</w:t>
      </w:r>
      <w:proofErr w:type="spellEnd"/>
    </w:p>
    <w:p w14:paraId="462D83AA"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45" w:history="1">
        <w:r w:rsidR="00664426">
          <w:rPr>
            <w:rStyle w:val="Hyperlink"/>
            <w:rFonts w:ascii="Verdana" w:hAnsi="Verdana"/>
            <w:color w:val="00709B"/>
            <w:sz w:val="20"/>
            <w:szCs w:val="20"/>
          </w:rPr>
          <w:t xml:space="preserve">positive regulation of </w:t>
        </w:r>
        <w:proofErr w:type="spellStart"/>
        <w:r w:rsidR="00664426">
          <w:rPr>
            <w:rStyle w:val="Hyperlink"/>
            <w:rFonts w:ascii="Verdana" w:hAnsi="Verdana"/>
            <w:color w:val="00709B"/>
            <w:sz w:val="20"/>
            <w:szCs w:val="20"/>
          </w:rPr>
          <w:t>calcidiol</w:t>
        </w:r>
        <w:proofErr w:type="spellEnd"/>
        <w:r w:rsidR="00664426">
          <w:rPr>
            <w:rStyle w:val="Hyperlink"/>
            <w:rFonts w:ascii="Verdana" w:hAnsi="Verdana"/>
            <w:color w:val="00709B"/>
            <w:sz w:val="20"/>
            <w:szCs w:val="20"/>
          </w:rPr>
          <w:t xml:space="preserve"> 1-monooxygenase activity</w:t>
        </w:r>
      </w:hyperlink>
      <w:r w:rsidR="00664426">
        <w:rPr>
          <w:rStyle w:val="attributionheader"/>
          <w:rFonts w:ascii="Verdana" w:hAnsi="Verdana"/>
          <w:color w:val="222222"/>
          <w:sz w:val="18"/>
          <w:szCs w:val="18"/>
          <w:bdr w:val="none" w:sz="0" w:space="0" w:color="auto" w:frame="1"/>
          <w:shd w:val="clear" w:color="auto" w:fill="FBEFB6"/>
        </w:rPr>
        <w:t> Source: BHF-UCL</w:t>
      </w:r>
    </w:p>
    <w:p w14:paraId="5B20F576"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46" w:history="1">
        <w:r w:rsidR="00664426">
          <w:rPr>
            <w:rStyle w:val="Hyperlink"/>
            <w:rFonts w:ascii="Verdana" w:hAnsi="Verdana"/>
            <w:color w:val="00709B"/>
            <w:sz w:val="20"/>
            <w:szCs w:val="20"/>
          </w:rPr>
          <w:t>positive regulation of CD4-positive, CD25-positive, alpha-beta regulatory T cell differentiation involved in immune response</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UniProtKB</w:t>
      </w:r>
      <w:proofErr w:type="spellEnd"/>
    </w:p>
    <w:p w14:paraId="1A758E81"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47" w:history="1">
        <w:r w:rsidR="00664426">
          <w:rPr>
            <w:rStyle w:val="Hyperlink"/>
            <w:rFonts w:ascii="Verdana" w:hAnsi="Verdana"/>
            <w:color w:val="00709B"/>
            <w:sz w:val="20"/>
            <w:szCs w:val="20"/>
          </w:rPr>
          <w:t>positive regulation of cell proliferation</w:t>
        </w:r>
      </w:hyperlink>
      <w:r w:rsidR="00664426">
        <w:rPr>
          <w:rStyle w:val="attributionheader"/>
          <w:rFonts w:ascii="Verdana" w:hAnsi="Verdana"/>
          <w:color w:val="222222"/>
          <w:sz w:val="18"/>
          <w:szCs w:val="18"/>
          <w:bdr w:val="none" w:sz="0" w:space="0" w:color="auto" w:frame="1"/>
          <w:shd w:val="clear" w:color="auto" w:fill="FBEFB6"/>
        </w:rPr>
        <w:t> Source: BHF-UCL</w:t>
      </w:r>
    </w:p>
    <w:p w14:paraId="2AE8AE27"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48" w:history="1">
        <w:r w:rsidR="00664426">
          <w:rPr>
            <w:rStyle w:val="Hyperlink"/>
            <w:rFonts w:ascii="Verdana" w:hAnsi="Verdana"/>
            <w:color w:val="00709B"/>
            <w:sz w:val="20"/>
            <w:szCs w:val="20"/>
          </w:rPr>
          <w:t>positive regulation of core promoter binding</w:t>
        </w:r>
      </w:hyperlink>
      <w:r w:rsidR="00664426">
        <w:rPr>
          <w:rStyle w:val="attributionheader"/>
          <w:rFonts w:ascii="Verdana" w:hAnsi="Verdana"/>
          <w:color w:val="222222"/>
          <w:sz w:val="18"/>
          <w:szCs w:val="18"/>
          <w:bdr w:val="none" w:sz="0" w:space="0" w:color="auto" w:frame="1"/>
          <w:shd w:val="clear" w:color="auto" w:fill="FBEFB6"/>
        </w:rPr>
        <w:t> Source: CAFA</w:t>
      </w:r>
    </w:p>
    <w:p w14:paraId="3B6DC5FD"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49" w:history="1">
        <w:r w:rsidR="00664426">
          <w:rPr>
            <w:rStyle w:val="Hyperlink"/>
            <w:rFonts w:ascii="Verdana" w:hAnsi="Verdana"/>
            <w:color w:val="00709B"/>
            <w:sz w:val="20"/>
            <w:szCs w:val="20"/>
          </w:rPr>
          <w:t>positive regulation of epithelial cell migration</w:t>
        </w:r>
      </w:hyperlink>
      <w:r w:rsidR="00664426">
        <w:rPr>
          <w:rStyle w:val="attributionheader"/>
          <w:rFonts w:ascii="Verdana" w:hAnsi="Verdana"/>
          <w:color w:val="222222"/>
          <w:sz w:val="18"/>
          <w:szCs w:val="18"/>
          <w:bdr w:val="none" w:sz="0" w:space="0" w:color="auto" w:frame="1"/>
          <w:shd w:val="clear" w:color="auto" w:fill="FBEFB6"/>
        </w:rPr>
        <w:t> Source: CACAO</w:t>
      </w:r>
    </w:p>
    <w:p w14:paraId="7D51611C"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50" w:history="1">
        <w:r w:rsidR="00664426">
          <w:rPr>
            <w:rStyle w:val="Hyperlink"/>
            <w:rFonts w:ascii="Verdana" w:hAnsi="Verdana"/>
            <w:color w:val="00709B"/>
            <w:sz w:val="20"/>
            <w:szCs w:val="20"/>
          </w:rPr>
          <w:t xml:space="preserve">positive regulation of </w:t>
        </w:r>
        <w:proofErr w:type="spellStart"/>
        <w:r w:rsidR="00664426">
          <w:rPr>
            <w:rStyle w:val="Hyperlink"/>
            <w:rFonts w:ascii="Verdana" w:hAnsi="Verdana"/>
            <w:color w:val="00709B"/>
            <w:sz w:val="20"/>
            <w:szCs w:val="20"/>
          </w:rPr>
          <w:t>exosomal</w:t>
        </w:r>
        <w:proofErr w:type="spellEnd"/>
        <w:r w:rsidR="00664426">
          <w:rPr>
            <w:rStyle w:val="Hyperlink"/>
            <w:rFonts w:ascii="Verdana" w:hAnsi="Verdana"/>
            <w:color w:val="00709B"/>
            <w:sz w:val="20"/>
            <w:szCs w:val="20"/>
          </w:rPr>
          <w:t xml:space="preserve"> secretion</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UniProtKB</w:t>
      </w:r>
      <w:proofErr w:type="spellEnd"/>
    </w:p>
    <w:p w14:paraId="36076616"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51" w:history="1">
        <w:r w:rsidR="00664426">
          <w:rPr>
            <w:rStyle w:val="Hyperlink"/>
            <w:rFonts w:ascii="Verdana" w:hAnsi="Verdana"/>
            <w:color w:val="00709B"/>
            <w:sz w:val="20"/>
            <w:szCs w:val="20"/>
          </w:rPr>
          <w:t>positive regulation of fructose 1,6-bisphosphate 1-phosphatase activity</w:t>
        </w:r>
      </w:hyperlink>
      <w:r w:rsidR="00664426">
        <w:rPr>
          <w:rStyle w:val="attributionheader"/>
          <w:rFonts w:ascii="Verdana" w:hAnsi="Verdana"/>
          <w:color w:val="222222"/>
          <w:sz w:val="18"/>
          <w:szCs w:val="18"/>
          <w:bdr w:val="none" w:sz="0" w:space="0" w:color="auto" w:frame="1"/>
          <w:shd w:val="clear" w:color="auto" w:fill="FBEFB6"/>
        </w:rPr>
        <w:t> Source: BHF-UCL</w:t>
      </w:r>
    </w:p>
    <w:p w14:paraId="54E417A8"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52" w:history="1">
        <w:r w:rsidR="00664426">
          <w:rPr>
            <w:rStyle w:val="Hyperlink"/>
            <w:rFonts w:ascii="Verdana" w:hAnsi="Verdana"/>
            <w:color w:val="00709B"/>
            <w:sz w:val="20"/>
            <w:szCs w:val="20"/>
          </w:rPr>
          <w:t>positive regulation of fructose 1,6-bisphosphate metabolic process</w:t>
        </w:r>
      </w:hyperlink>
      <w:r w:rsidR="00664426">
        <w:rPr>
          <w:rStyle w:val="attributionheader"/>
          <w:rFonts w:ascii="Verdana" w:hAnsi="Verdana"/>
          <w:color w:val="222222"/>
          <w:sz w:val="18"/>
          <w:szCs w:val="18"/>
          <w:bdr w:val="none" w:sz="0" w:space="0" w:color="auto" w:frame="1"/>
          <w:shd w:val="clear" w:color="auto" w:fill="FBEFB6"/>
        </w:rPr>
        <w:t> Source: BHF-UCL</w:t>
      </w:r>
    </w:p>
    <w:p w14:paraId="4D6C74AD"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53" w:history="1">
        <w:r w:rsidR="00664426">
          <w:rPr>
            <w:rStyle w:val="Hyperlink"/>
            <w:rFonts w:ascii="Verdana" w:hAnsi="Verdana"/>
            <w:color w:val="00709B"/>
            <w:sz w:val="20"/>
            <w:szCs w:val="20"/>
          </w:rPr>
          <w:t>positive regulation of gene expression</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UniProtKB</w:t>
      </w:r>
      <w:proofErr w:type="spellEnd"/>
    </w:p>
    <w:p w14:paraId="54C4F939"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54" w:history="1">
        <w:r w:rsidR="00664426">
          <w:rPr>
            <w:rStyle w:val="Hyperlink"/>
            <w:rFonts w:ascii="Verdana" w:hAnsi="Verdana"/>
            <w:color w:val="00709B"/>
            <w:sz w:val="20"/>
            <w:szCs w:val="20"/>
          </w:rPr>
          <w:t>positive regulation of interleukin-12 production</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UniProtKB</w:t>
      </w:r>
      <w:proofErr w:type="spellEnd"/>
    </w:p>
    <w:p w14:paraId="2399DA86"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55" w:history="1">
        <w:r w:rsidR="00664426">
          <w:rPr>
            <w:rStyle w:val="Hyperlink"/>
            <w:rFonts w:ascii="Verdana" w:hAnsi="Verdana"/>
            <w:color w:val="00709B"/>
            <w:sz w:val="20"/>
            <w:szCs w:val="20"/>
          </w:rPr>
          <w:t>positive regulation of interleukin-23 production</w:t>
        </w:r>
      </w:hyperlink>
      <w:r w:rsidR="00664426">
        <w:rPr>
          <w:rStyle w:val="attributionheader"/>
          <w:rFonts w:ascii="Verdana" w:hAnsi="Verdana"/>
          <w:color w:val="222222"/>
          <w:sz w:val="18"/>
          <w:szCs w:val="18"/>
          <w:bdr w:val="none" w:sz="0" w:space="0" w:color="auto" w:frame="1"/>
          <w:shd w:val="clear" w:color="auto" w:fill="FBEFB6"/>
        </w:rPr>
        <w:t> Source: BHF-UCL</w:t>
      </w:r>
    </w:p>
    <w:p w14:paraId="6060FFD9"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56" w:history="1">
        <w:r w:rsidR="00664426">
          <w:rPr>
            <w:rStyle w:val="Hyperlink"/>
            <w:rFonts w:ascii="Verdana" w:hAnsi="Verdana"/>
            <w:color w:val="00709B"/>
            <w:sz w:val="20"/>
            <w:szCs w:val="20"/>
          </w:rPr>
          <w:t xml:space="preserve">positive regulation of killing of cells of </w:t>
        </w:r>
        <w:proofErr w:type="gramStart"/>
        <w:r w:rsidR="00664426">
          <w:rPr>
            <w:rStyle w:val="Hyperlink"/>
            <w:rFonts w:ascii="Verdana" w:hAnsi="Verdana"/>
            <w:color w:val="00709B"/>
            <w:sz w:val="20"/>
            <w:szCs w:val="20"/>
          </w:rPr>
          <w:t>other</w:t>
        </w:r>
        <w:proofErr w:type="gramEnd"/>
        <w:r w:rsidR="00664426">
          <w:rPr>
            <w:rStyle w:val="Hyperlink"/>
            <w:rFonts w:ascii="Verdana" w:hAnsi="Verdana"/>
            <w:color w:val="00709B"/>
            <w:sz w:val="20"/>
            <w:szCs w:val="20"/>
          </w:rPr>
          <w:t xml:space="preserve"> organism</w:t>
        </w:r>
      </w:hyperlink>
      <w:r w:rsidR="00664426">
        <w:rPr>
          <w:rStyle w:val="attributionheader"/>
          <w:rFonts w:ascii="Verdana" w:hAnsi="Verdana"/>
          <w:color w:val="222222"/>
          <w:sz w:val="18"/>
          <w:szCs w:val="18"/>
          <w:bdr w:val="none" w:sz="0" w:space="0" w:color="auto" w:frame="1"/>
          <w:shd w:val="clear" w:color="auto" w:fill="FBEFB6"/>
        </w:rPr>
        <w:t> Source: BHF-UCL</w:t>
      </w:r>
    </w:p>
    <w:p w14:paraId="04441861"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57" w:history="1">
        <w:r w:rsidR="00664426">
          <w:rPr>
            <w:rStyle w:val="Hyperlink"/>
            <w:rFonts w:ascii="Verdana" w:hAnsi="Verdana"/>
            <w:color w:val="00709B"/>
            <w:sz w:val="20"/>
            <w:szCs w:val="20"/>
          </w:rPr>
          <w:t>positive regulation of membrane protein ectodomain proteolysis</w:t>
        </w:r>
      </w:hyperlink>
      <w:r w:rsidR="00664426">
        <w:rPr>
          <w:rStyle w:val="attributionheader"/>
          <w:rFonts w:ascii="Verdana" w:hAnsi="Verdana"/>
          <w:color w:val="222222"/>
          <w:sz w:val="18"/>
          <w:szCs w:val="18"/>
          <w:bdr w:val="none" w:sz="0" w:space="0" w:color="auto" w:frame="1"/>
          <w:shd w:val="clear" w:color="auto" w:fill="FBEFB6"/>
        </w:rPr>
        <w:t> Source: BHF-UCL</w:t>
      </w:r>
    </w:p>
    <w:p w14:paraId="4367EDF8"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58" w:history="1">
        <w:r w:rsidR="00664426">
          <w:rPr>
            <w:rStyle w:val="Hyperlink"/>
            <w:rFonts w:ascii="Verdana" w:hAnsi="Verdana"/>
            <w:color w:val="00709B"/>
            <w:sz w:val="20"/>
            <w:szCs w:val="20"/>
          </w:rPr>
          <w:t>positive regulation of nitric oxide biosynthetic process</w:t>
        </w:r>
      </w:hyperlink>
      <w:r w:rsidR="00664426">
        <w:rPr>
          <w:rStyle w:val="attributionheader"/>
          <w:rFonts w:ascii="Verdana" w:hAnsi="Verdana"/>
          <w:color w:val="222222"/>
          <w:sz w:val="18"/>
          <w:szCs w:val="18"/>
          <w:bdr w:val="none" w:sz="0" w:space="0" w:color="auto" w:frame="1"/>
          <w:shd w:val="clear" w:color="auto" w:fill="FBEFB6"/>
        </w:rPr>
        <w:t> Source: BHF-UCL</w:t>
      </w:r>
    </w:p>
    <w:p w14:paraId="05212DCC"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59" w:history="1">
        <w:r w:rsidR="00664426">
          <w:rPr>
            <w:rStyle w:val="Hyperlink"/>
            <w:rFonts w:ascii="Verdana" w:hAnsi="Verdana"/>
            <w:color w:val="00709B"/>
            <w:sz w:val="20"/>
            <w:szCs w:val="20"/>
          </w:rPr>
          <w:t>positive regulation of osteoclast differentiation</w:t>
        </w:r>
      </w:hyperlink>
      <w:r w:rsidR="00664426">
        <w:rPr>
          <w:rStyle w:val="attributionheader"/>
          <w:rFonts w:ascii="Verdana" w:hAnsi="Verdana"/>
          <w:color w:val="222222"/>
          <w:sz w:val="18"/>
          <w:szCs w:val="18"/>
          <w:bdr w:val="none" w:sz="0" w:space="0" w:color="auto" w:frame="1"/>
          <w:shd w:val="clear" w:color="auto" w:fill="FBEFB6"/>
        </w:rPr>
        <w:t> Source: BHF-UCL</w:t>
      </w:r>
    </w:p>
    <w:p w14:paraId="64E69165"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60" w:history="1">
        <w:r w:rsidR="00664426">
          <w:rPr>
            <w:rStyle w:val="Hyperlink"/>
            <w:rFonts w:ascii="Verdana" w:hAnsi="Verdana"/>
            <w:color w:val="00709B"/>
            <w:sz w:val="20"/>
            <w:szCs w:val="20"/>
          </w:rPr>
          <w:t>positive regulation of peptidyl-serine phosphorylation of STAT protein</w:t>
        </w:r>
      </w:hyperlink>
      <w:r w:rsidR="00664426">
        <w:rPr>
          <w:rStyle w:val="attributionheader"/>
          <w:rFonts w:ascii="Verdana" w:hAnsi="Verdana"/>
          <w:color w:val="222222"/>
          <w:sz w:val="18"/>
          <w:szCs w:val="18"/>
          <w:bdr w:val="none" w:sz="0" w:space="0" w:color="auto" w:frame="1"/>
          <w:shd w:val="clear" w:color="auto" w:fill="FBEFB6"/>
        </w:rPr>
        <w:t> Source: MGI</w:t>
      </w:r>
    </w:p>
    <w:p w14:paraId="7C64C8EC"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61" w:history="1">
        <w:r w:rsidR="00664426">
          <w:rPr>
            <w:rStyle w:val="Hyperlink"/>
            <w:rFonts w:ascii="Verdana" w:hAnsi="Verdana"/>
            <w:color w:val="00709B"/>
            <w:sz w:val="20"/>
            <w:szCs w:val="20"/>
          </w:rPr>
          <w:t>positive regulation of protein complex assembly</w:t>
        </w:r>
      </w:hyperlink>
      <w:r w:rsidR="00664426">
        <w:rPr>
          <w:rStyle w:val="attributionheader"/>
          <w:rFonts w:ascii="Verdana" w:hAnsi="Verdana"/>
          <w:color w:val="222222"/>
          <w:sz w:val="18"/>
          <w:szCs w:val="18"/>
          <w:bdr w:val="none" w:sz="0" w:space="0" w:color="auto" w:frame="1"/>
          <w:shd w:val="clear" w:color="auto" w:fill="FBEFB6"/>
        </w:rPr>
        <w:t> Source: CAFA</w:t>
      </w:r>
    </w:p>
    <w:p w14:paraId="417D01E4"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62" w:history="1">
        <w:r w:rsidR="00664426">
          <w:rPr>
            <w:rStyle w:val="Hyperlink"/>
            <w:rFonts w:ascii="Verdana" w:hAnsi="Verdana"/>
            <w:color w:val="00709B"/>
            <w:sz w:val="20"/>
            <w:szCs w:val="20"/>
          </w:rPr>
          <w:t>positive regulation of protein deacetylation</w:t>
        </w:r>
      </w:hyperlink>
      <w:r w:rsidR="00664426">
        <w:rPr>
          <w:rStyle w:val="attributionheader"/>
          <w:rFonts w:ascii="Verdana" w:hAnsi="Verdana"/>
          <w:color w:val="222222"/>
          <w:sz w:val="18"/>
          <w:szCs w:val="18"/>
          <w:bdr w:val="none" w:sz="0" w:space="0" w:color="auto" w:frame="1"/>
          <w:shd w:val="clear" w:color="auto" w:fill="FBEFB6"/>
        </w:rPr>
        <w:t> Source: CAFA</w:t>
      </w:r>
    </w:p>
    <w:p w14:paraId="73BE60EA"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63" w:history="1">
        <w:r w:rsidR="00664426">
          <w:rPr>
            <w:rStyle w:val="Hyperlink"/>
            <w:rFonts w:ascii="Verdana" w:hAnsi="Verdana"/>
            <w:color w:val="00709B"/>
            <w:sz w:val="20"/>
            <w:szCs w:val="20"/>
          </w:rPr>
          <w:t>positive regulation of protein import into nucleus, translocation</w:t>
        </w:r>
      </w:hyperlink>
      <w:r w:rsidR="00664426">
        <w:rPr>
          <w:rStyle w:val="attributionheader"/>
          <w:rFonts w:ascii="Verdana" w:hAnsi="Verdana"/>
          <w:color w:val="222222"/>
          <w:sz w:val="18"/>
          <w:szCs w:val="18"/>
          <w:bdr w:val="none" w:sz="0" w:space="0" w:color="auto" w:frame="1"/>
          <w:shd w:val="clear" w:color="auto" w:fill="FBEFB6"/>
        </w:rPr>
        <w:t> Source: CAFA</w:t>
      </w:r>
    </w:p>
    <w:p w14:paraId="6998F015"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64" w:history="1">
        <w:r w:rsidR="00664426">
          <w:rPr>
            <w:rStyle w:val="Hyperlink"/>
            <w:rFonts w:ascii="Verdana" w:hAnsi="Verdana"/>
            <w:color w:val="00709B"/>
            <w:sz w:val="20"/>
            <w:szCs w:val="20"/>
          </w:rPr>
          <w:t>positive regulation of protein localization to plasma membrane</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UniProtKB</w:t>
      </w:r>
      <w:proofErr w:type="spellEnd"/>
    </w:p>
    <w:p w14:paraId="2B3F583B"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65" w:history="1">
        <w:r w:rsidR="00664426">
          <w:rPr>
            <w:rStyle w:val="Hyperlink"/>
            <w:rFonts w:ascii="Verdana" w:hAnsi="Verdana"/>
            <w:color w:val="00709B"/>
            <w:sz w:val="20"/>
            <w:szCs w:val="20"/>
          </w:rPr>
          <w:t>positive regulation of protein phosphorylation</w:t>
        </w:r>
      </w:hyperlink>
      <w:r w:rsidR="00664426">
        <w:rPr>
          <w:rStyle w:val="attributionheader"/>
          <w:rFonts w:ascii="Verdana" w:hAnsi="Verdana"/>
          <w:color w:val="222222"/>
          <w:sz w:val="18"/>
          <w:szCs w:val="18"/>
          <w:bdr w:val="none" w:sz="0" w:space="0" w:color="auto" w:frame="1"/>
          <w:shd w:val="clear" w:color="auto" w:fill="FBEFB6"/>
        </w:rPr>
        <w:t> Source: CAFA</w:t>
      </w:r>
    </w:p>
    <w:p w14:paraId="382899EA"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66" w:history="1">
        <w:r w:rsidR="00664426">
          <w:rPr>
            <w:rStyle w:val="Hyperlink"/>
            <w:rFonts w:ascii="Verdana" w:hAnsi="Verdana"/>
            <w:color w:val="00709B"/>
            <w:sz w:val="20"/>
            <w:szCs w:val="20"/>
          </w:rPr>
          <w:t>positive regulation of protein serine/threonine kinase activity</w:t>
        </w:r>
      </w:hyperlink>
      <w:r w:rsidR="00664426">
        <w:rPr>
          <w:rStyle w:val="attributionheader"/>
          <w:rFonts w:ascii="Verdana" w:hAnsi="Verdana"/>
          <w:color w:val="222222"/>
          <w:sz w:val="18"/>
          <w:szCs w:val="18"/>
          <w:bdr w:val="none" w:sz="0" w:space="0" w:color="auto" w:frame="1"/>
          <w:shd w:val="clear" w:color="auto" w:fill="FBEFB6"/>
        </w:rPr>
        <w:t> Source: CAFA</w:t>
      </w:r>
    </w:p>
    <w:p w14:paraId="08A56E9E"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67" w:history="1">
        <w:r w:rsidR="00664426">
          <w:rPr>
            <w:rStyle w:val="Hyperlink"/>
            <w:rFonts w:ascii="Verdana" w:hAnsi="Verdana"/>
            <w:color w:val="00709B"/>
            <w:sz w:val="20"/>
            <w:szCs w:val="20"/>
          </w:rPr>
          <w:t>positive regulation of smooth muscle cell apoptotic process</w:t>
        </w:r>
      </w:hyperlink>
      <w:r w:rsidR="00664426">
        <w:rPr>
          <w:rStyle w:val="attributionheader"/>
          <w:rFonts w:ascii="Verdana" w:hAnsi="Verdana"/>
          <w:color w:val="222222"/>
          <w:sz w:val="18"/>
          <w:szCs w:val="18"/>
          <w:bdr w:val="none" w:sz="0" w:space="0" w:color="auto" w:frame="1"/>
          <w:shd w:val="clear" w:color="auto" w:fill="FBEFB6"/>
        </w:rPr>
        <w:t> Source: BHF-UCL</w:t>
      </w:r>
    </w:p>
    <w:p w14:paraId="4D915740"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68" w:history="1">
        <w:r w:rsidR="00664426">
          <w:rPr>
            <w:rStyle w:val="Hyperlink"/>
            <w:rFonts w:ascii="Verdana" w:hAnsi="Verdana"/>
            <w:color w:val="00709B"/>
            <w:sz w:val="20"/>
            <w:szCs w:val="20"/>
          </w:rPr>
          <w:t>positive regulation of tumor necrosis factor (ligand) superfamily member 11 production</w:t>
        </w:r>
      </w:hyperlink>
      <w:r w:rsidR="00664426">
        <w:rPr>
          <w:rStyle w:val="attributionheader"/>
          <w:rFonts w:ascii="Verdana" w:hAnsi="Verdana"/>
          <w:color w:val="222222"/>
          <w:sz w:val="18"/>
          <w:szCs w:val="18"/>
          <w:bdr w:val="none" w:sz="0" w:space="0" w:color="auto" w:frame="1"/>
          <w:shd w:val="clear" w:color="auto" w:fill="FBEFB6"/>
        </w:rPr>
        <w:t> Source: BHF-UCL</w:t>
      </w:r>
    </w:p>
    <w:p w14:paraId="5BCD0066"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69" w:history="1">
        <w:r w:rsidR="00664426">
          <w:rPr>
            <w:rStyle w:val="Hyperlink"/>
            <w:rFonts w:ascii="Verdana" w:hAnsi="Verdana"/>
            <w:color w:val="00709B"/>
            <w:sz w:val="20"/>
            <w:szCs w:val="20"/>
          </w:rPr>
          <w:t>positive regulation of tyrosine phosphorylation of STAT protein</w:t>
        </w:r>
      </w:hyperlink>
      <w:r w:rsidR="00664426">
        <w:rPr>
          <w:rStyle w:val="attributionheader"/>
          <w:rFonts w:ascii="Verdana" w:hAnsi="Verdana"/>
          <w:color w:val="222222"/>
          <w:sz w:val="18"/>
          <w:szCs w:val="18"/>
          <w:bdr w:val="none" w:sz="0" w:space="0" w:color="auto" w:frame="1"/>
          <w:shd w:val="clear" w:color="auto" w:fill="FBEFB6"/>
        </w:rPr>
        <w:t> Source: BHF-UCL</w:t>
      </w:r>
    </w:p>
    <w:p w14:paraId="62953433"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70" w:history="1">
        <w:r w:rsidR="00664426">
          <w:rPr>
            <w:rStyle w:val="Hyperlink"/>
            <w:rFonts w:ascii="Verdana" w:hAnsi="Verdana"/>
            <w:color w:val="00709B"/>
            <w:sz w:val="20"/>
            <w:szCs w:val="20"/>
          </w:rPr>
          <w:t>positive regulation of vitamin D biosynthetic process</w:t>
        </w:r>
      </w:hyperlink>
      <w:r w:rsidR="00664426">
        <w:rPr>
          <w:rStyle w:val="attributionheader"/>
          <w:rFonts w:ascii="Verdana" w:hAnsi="Verdana"/>
          <w:color w:val="222222"/>
          <w:sz w:val="18"/>
          <w:szCs w:val="18"/>
          <w:bdr w:val="none" w:sz="0" w:space="0" w:color="auto" w:frame="1"/>
          <w:shd w:val="clear" w:color="auto" w:fill="FBEFB6"/>
        </w:rPr>
        <w:t> Source: BHF-UCL</w:t>
      </w:r>
    </w:p>
    <w:p w14:paraId="11007EFE"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71" w:history="1">
        <w:r w:rsidR="00664426">
          <w:rPr>
            <w:rStyle w:val="Hyperlink"/>
            <w:rFonts w:ascii="Verdana" w:hAnsi="Verdana"/>
            <w:color w:val="00709B"/>
            <w:sz w:val="20"/>
            <w:szCs w:val="20"/>
          </w:rPr>
          <w:t>protein import into nucleus, translocation</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UniProtKB</w:t>
      </w:r>
      <w:proofErr w:type="spellEnd"/>
    </w:p>
    <w:p w14:paraId="5B14906B"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72" w:history="1">
        <w:r w:rsidR="00664426">
          <w:rPr>
            <w:rStyle w:val="Hyperlink"/>
            <w:rFonts w:ascii="Verdana" w:hAnsi="Verdana"/>
            <w:color w:val="00709B"/>
            <w:sz w:val="20"/>
            <w:szCs w:val="20"/>
          </w:rPr>
          <w:t>regulation of growth</w:t>
        </w:r>
      </w:hyperlink>
      <w:r w:rsidR="00664426">
        <w:rPr>
          <w:rStyle w:val="attributionheader"/>
          <w:rFonts w:ascii="Verdana" w:hAnsi="Verdana"/>
          <w:color w:val="222222"/>
          <w:sz w:val="18"/>
          <w:szCs w:val="18"/>
          <w:bdr w:val="none" w:sz="0" w:space="0" w:color="auto" w:frame="1"/>
          <w:shd w:val="clear" w:color="auto" w:fill="D3E8FE"/>
        </w:rPr>
        <w:t xml:space="preserve"> Source: </w:t>
      </w:r>
      <w:proofErr w:type="spellStart"/>
      <w:r w:rsidR="00664426">
        <w:rPr>
          <w:rStyle w:val="attributionheader"/>
          <w:rFonts w:ascii="Verdana" w:hAnsi="Verdana"/>
          <w:color w:val="222222"/>
          <w:sz w:val="18"/>
          <w:szCs w:val="18"/>
          <w:bdr w:val="none" w:sz="0" w:space="0" w:color="auto" w:frame="1"/>
          <w:shd w:val="clear" w:color="auto" w:fill="D3E8FE"/>
        </w:rPr>
        <w:t>UniProtKB</w:t>
      </w:r>
      <w:proofErr w:type="spellEnd"/>
      <w:r w:rsidR="00664426">
        <w:rPr>
          <w:rStyle w:val="attributionheader"/>
          <w:rFonts w:ascii="Verdana" w:hAnsi="Verdana"/>
          <w:color w:val="222222"/>
          <w:sz w:val="18"/>
          <w:szCs w:val="18"/>
          <w:bdr w:val="none" w:sz="0" w:space="0" w:color="auto" w:frame="1"/>
          <w:shd w:val="clear" w:color="auto" w:fill="D3E8FE"/>
        </w:rPr>
        <w:t>-KW</w:t>
      </w:r>
    </w:p>
    <w:p w14:paraId="3EF530EA"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73" w:history="1">
        <w:r w:rsidR="00664426">
          <w:rPr>
            <w:rStyle w:val="Hyperlink"/>
            <w:rFonts w:ascii="Verdana" w:hAnsi="Verdana"/>
            <w:color w:val="00709B"/>
            <w:sz w:val="20"/>
            <w:szCs w:val="20"/>
          </w:rPr>
          <w:t>regulation of insulin secretion</w:t>
        </w:r>
      </w:hyperlink>
      <w:r w:rsidR="00664426">
        <w:rPr>
          <w:rStyle w:val="attributionheader"/>
          <w:rFonts w:ascii="Verdana" w:hAnsi="Verdana"/>
          <w:color w:val="222222"/>
          <w:sz w:val="18"/>
          <w:szCs w:val="18"/>
          <w:bdr w:val="none" w:sz="0" w:space="0" w:color="auto" w:frame="1"/>
          <w:shd w:val="clear" w:color="auto" w:fill="FBEFB6"/>
        </w:rPr>
        <w:t> Source: BHF-UCL</w:t>
      </w:r>
    </w:p>
    <w:p w14:paraId="5F6244E4"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74" w:history="1">
        <w:r w:rsidR="00664426">
          <w:rPr>
            <w:rStyle w:val="Hyperlink"/>
            <w:rFonts w:ascii="Verdana" w:hAnsi="Verdana"/>
            <w:color w:val="00709B"/>
            <w:sz w:val="20"/>
            <w:szCs w:val="20"/>
          </w:rPr>
          <w:t>regulation of interferon-gamma-mediated signaling pathway</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Reactome</w:t>
      </w:r>
      <w:proofErr w:type="spellEnd"/>
    </w:p>
    <w:p w14:paraId="57F9CE65"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75" w:history="1">
        <w:r w:rsidR="00664426">
          <w:rPr>
            <w:rStyle w:val="Hyperlink"/>
            <w:rFonts w:ascii="Verdana" w:hAnsi="Verdana"/>
            <w:color w:val="00709B"/>
            <w:sz w:val="20"/>
            <w:szCs w:val="20"/>
          </w:rPr>
          <w:t>regulation of protein ADP-ribosylation</w:t>
        </w:r>
      </w:hyperlink>
      <w:r w:rsidR="00664426">
        <w:rPr>
          <w:rStyle w:val="attributionheader"/>
          <w:rFonts w:ascii="Verdana" w:hAnsi="Verdana"/>
          <w:color w:val="222222"/>
          <w:sz w:val="18"/>
          <w:szCs w:val="18"/>
          <w:bdr w:val="none" w:sz="0" w:space="0" w:color="auto" w:frame="1"/>
          <w:shd w:val="clear" w:color="auto" w:fill="FBEFB6"/>
        </w:rPr>
        <w:t> Source: CAFA</w:t>
      </w:r>
    </w:p>
    <w:p w14:paraId="256FE44A"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76" w:history="1">
        <w:r w:rsidR="00664426">
          <w:rPr>
            <w:rStyle w:val="Hyperlink"/>
            <w:rFonts w:ascii="Verdana" w:hAnsi="Verdana"/>
            <w:color w:val="00709B"/>
            <w:sz w:val="20"/>
            <w:szCs w:val="20"/>
          </w:rPr>
          <w:t>regulation of regulatory T cell differentiation</w:t>
        </w:r>
      </w:hyperlink>
      <w:r w:rsidR="00664426">
        <w:rPr>
          <w:rStyle w:val="attributionheader"/>
          <w:rFonts w:ascii="Verdana" w:hAnsi="Verdana"/>
          <w:color w:val="222222"/>
          <w:sz w:val="18"/>
          <w:szCs w:val="18"/>
          <w:bdr w:val="none" w:sz="0" w:space="0" w:color="auto" w:frame="1"/>
          <w:shd w:val="clear" w:color="auto" w:fill="FBEFB6"/>
        </w:rPr>
        <w:t xml:space="preserve"> Source: </w:t>
      </w:r>
      <w:proofErr w:type="spellStart"/>
      <w:r w:rsidR="00664426">
        <w:rPr>
          <w:rStyle w:val="attributionheader"/>
          <w:rFonts w:ascii="Verdana" w:hAnsi="Verdana"/>
          <w:color w:val="222222"/>
          <w:sz w:val="18"/>
          <w:szCs w:val="18"/>
          <w:bdr w:val="none" w:sz="0" w:space="0" w:color="auto" w:frame="1"/>
          <w:shd w:val="clear" w:color="auto" w:fill="FBEFB6"/>
        </w:rPr>
        <w:t>Reactome</w:t>
      </w:r>
      <w:proofErr w:type="spellEnd"/>
    </w:p>
    <w:p w14:paraId="5095BE6D" w14:textId="77777777" w:rsidR="00664426" w:rsidRDefault="004A7D1A" w:rsidP="00664426">
      <w:pPr>
        <w:numPr>
          <w:ilvl w:val="0"/>
          <w:numId w:val="2"/>
        </w:numPr>
        <w:spacing w:before="100" w:beforeAutospacing="1" w:afterAutospacing="1"/>
        <w:ind w:left="480" w:firstLine="0"/>
        <w:rPr>
          <w:rFonts w:ascii="Verdana" w:hAnsi="Verdana"/>
          <w:color w:val="222222"/>
          <w:sz w:val="20"/>
          <w:szCs w:val="20"/>
        </w:rPr>
      </w:pPr>
      <w:hyperlink r:id="rId77" w:history="1">
        <w:r w:rsidR="00664426">
          <w:rPr>
            <w:rStyle w:val="Hyperlink"/>
            <w:rFonts w:ascii="Verdana" w:hAnsi="Verdana"/>
            <w:color w:val="00709B"/>
            <w:sz w:val="20"/>
            <w:szCs w:val="20"/>
          </w:rPr>
          <w:t>response to virus</w:t>
        </w:r>
      </w:hyperlink>
      <w:r w:rsidR="00664426">
        <w:rPr>
          <w:rStyle w:val="attributionheader"/>
          <w:rFonts w:ascii="Verdana" w:hAnsi="Verdana"/>
          <w:color w:val="222222"/>
          <w:sz w:val="18"/>
          <w:szCs w:val="18"/>
          <w:bdr w:val="none" w:sz="0" w:space="0" w:color="auto" w:frame="1"/>
          <w:shd w:val="clear" w:color="auto" w:fill="FBEFB6"/>
        </w:rPr>
        <w:t> Source: MGI</w:t>
      </w:r>
    </w:p>
    <w:p w14:paraId="1BB749BF" w14:textId="77777777" w:rsidR="00664426" w:rsidRDefault="004A7D1A" w:rsidP="00664426">
      <w:pPr>
        <w:rPr>
          <w:rFonts w:ascii="Verdana" w:hAnsi="Verdana"/>
          <w:color w:val="222222"/>
          <w:sz w:val="20"/>
          <w:szCs w:val="20"/>
        </w:rPr>
      </w:pPr>
      <w:hyperlink r:id="rId78" w:history="1">
        <w:r w:rsidR="00664426">
          <w:rPr>
            <w:rStyle w:val="Hyperlink"/>
            <w:rFonts w:ascii="Verdana" w:hAnsi="Verdana"/>
            <w:color w:val="00709B"/>
            <w:sz w:val="20"/>
            <w:szCs w:val="20"/>
          </w:rPr>
          <w:t xml:space="preserve">View the complete GO annotation on </w:t>
        </w:r>
        <w:proofErr w:type="spellStart"/>
        <w:r w:rsidR="00664426">
          <w:rPr>
            <w:rStyle w:val="Hyperlink"/>
            <w:rFonts w:ascii="Verdana" w:hAnsi="Verdana"/>
            <w:color w:val="00709B"/>
            <w:sz w:val="20"/>
            <w:szCs w:val="20"/>
          </w:rPr>
          <w:t>QuickGO</w:t>
        </w:r>
        <w:proofErr w:type="spellEnd"/>
        <w:r w:rsidR="00664426">
          <w:rPr>
            <w:rStyle w:val="Hyperlink"/>
            <w:rFonts w:ascii="Verdana" w:hAnsi="Verdana"/>
            <w:color w:val="00709B"/>
            <w:sz w:val="20"/>
            <w:szCs w:val="20"/>
          </w:rPr>
          <w:t xml:space="preserve"> ...</w:t>
        </w:r>
      </w:hyperlink>
    </w:p>
    <w:p w14:paraId="6194D84F" w14:textId="77777777" w:rsidR="00664426" w:rsidRDefault="00664426" w:rsidP="00664426">
      <w:pPr>
        <w:pStyle w:val="Heading4"/>
        <w:spacing w:before="0" w:beforeAutospacing="0" w:after="0" w:afterAutospacing="0"/>
        <w:rPr>
          <w:rFonts w:ascii="Helvetica" w:hAnsi="Helvetica"/>
          <w:color w:val="4D4D4D"/>
          <w:sz w:val="23"/>
          <w:szCs w:val="23"/>
        </w:rPr>
      </w:pPr>
      <w:proofErr w:type="spellStart"/>
      <w:r>
        <w:rPr>
          <w:rStyle w:val="context-help"/>
          <w:rFonts w:ascii="Helvetica" w:eastAsiaTheme="majorEastAsia" w:hAnsi="Helvetica"/>
          <w:color w:val="4D4D4D"/>
          <w:sz w:val="23"/>
          <w:szCs w:val="23"/>
        </w:rPr>
        <w:t>Keywords</w:t>
      </w:r>
      <w:r>
        <w:rPr>
          <w:rStyle w:val="context-help"/>
          <w:rFonts w:ascii="Garamond" w:eastAsiaTheme="majorEastAsia" w:hAnsi="Garamond"/>
          <w:b w:val="0"/>
          <w:bCs w:val="0"/>
          <w:color w:val="4D4D4D"/>
          <w:sz w:val="18"/>
          <w:szCs w:val="18"/>
          <w:vertAlign w:val="superscript"/>
        </w:rPr>
        <w:t>i</w:t>
      </w:r>
      <w:proofErr w:type="spellEnd"/>
    </w:p>
    <w:tbl>
      <w:tblPr>
        <w:tblW w:w="1066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8505"/>
      </w:tblGrid>
      <w:tr w:rsidR="00664426" w14:paraId="61AAFC22" w14:textId="77777777" w:rsidTr="00664426">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263B4A2F" w14:textId="77777777" w:rsidR="00664426" w:rsidRDefault="00664426">
            <w:pPr>
              <w:spacing w:before="24"/>
              <w:jc w:val="right"/>
              <w:rPr>
                <w:rFonts w:ascii="Verdana" w:hAnsi="Verdana"/>
                <w:color w:val="222222"/>
                <w:sz w:val="20"/>
                <w:szCs w:val="20"/>
              </w:rPr>
            </w:pPr>
            <w:r>
              <w:rPr>
                <w:rFonts w:ascii="Verdana" w:hAnsi="Verdana"/>
                <w:color w:val="222222"/>
                <w:sz w:val="20"/>
                <w:szCs w:val="20"/>
              </w:rPr>
              <w:t>Molecular function</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4B99ADBD" w14:textId="77777777" w:rsidR="00664426" w:rsidRDefault="004A7D1A">
            <w:pPr>
              <w:spacing w:before="24"/>
              <w:rPr>
                <w:rFonts w:ascii="Verdana" w:hAnsi="Verdana"/>
                <w:color w:val="222222"/>
                <w:sz w:val="20"/>
                <w:szCs w:val="20"/>
              </w:rPr>
            </w:pPr>
            <w:hyperlink r:id="rId79" w:history="1">
              <w:r w:rsidR="00664426">
                <w:rPr>
                  <w:rStyle w:val="Hyperlink"/>
                  <w:rFonts w:ascii="Verdana" w:hAnsi="Verdana"/>
                  <w:color w:val="00709B"/>
                  <w:sz w:val="20"/>
                  <w:szCs w:val="20"/>
                </w:rPr>
                <w:t>Cytokine</w:t>
              </w:r>
            </w:hyperlink>
          </w:p>
        </w:tc>
      </w:tr>
      <w:tr w:rsidR="00664426" w14:paraId="470D2DC1" w14:textId="77777777" w:rsidTr="00664426">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77978156" w14:textId="77777777" w:rsidR="00664426" w:rsidRDefault="00664426">
            <w:pPr>
              <w:spacing w:before="24"/>
              <w:jc w:val="right"/>
              <w:rPr>
                <w:rFonts w:ascii="Verdana" w:hAnsi="Verdana"/>
                <w:color w:val="222222"/>
                <w:sz w:val="20"/>
                <w:szCs w:val="20"/>
              </w:rPr>
            </w:pPr>
            <w:r>
              <w:rPr>
                <w:rFonts w:ascii="Verdana" w:hAnsi="Verdana"/>
                <w:color w:val="222222"/>
                <w:sz w:val="20"/>
                <w:szCs w:val="20"/>
              </w:rPr>
              <w:t>Biological process</w:t>
            </w: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0A49AA0B" w14:textId="77777777" w:rsidR="00664426" w:rsidRDefault="004A7D1A">
            <w:pPr>
              <w:spacing w:before="24"/>
              <w:rPr>
                <w:rFonts w:ascii="Verdana" w:hAnsi="Verdana"/>
                <w:color w:val="222222"/>
                <w:sz w:val="20"/>
                <w:szCs w:val="20"/>
              </w:rPr>
            </w:pPr>
            <w:hyperlink r:id="rId80" w:history="1">
              <w:r w:rsidR="00664426">
                <w:rPr>
                  <w:rStyle w:val="Hyperlink"/>
                  <w:rFonts w:ascii="Verdana" w:hAnsi="Verdana"/>
                  <w:color w:val="00709B"/>
                  <w:sz w:val="20"/>
                  <w:szCs w:val="20"/>
                </w:rPr>
                <w:t>Antiviral defense</w:t>
              </w:r>
            </w:hyperlink>
            <w:r w:rsidR="00664426">
              <w:rPr>
                <w:rFonts w:ascii="Verdana" w:hAnsi="Verdana"/>
                <w:color w:val="222222"/>
                <w:sz w:val="20"/>
                <w:szCs w:val="20"/>
              </w:rPr>
              <w:t>, </w:t>
            </w:r>
            <w:hyperlink r:id="rId81" w:history="1">
              <w:r w:rsidR="00664426">
                <w:rPr>
                  <w:rStyle w:val="Hyperlink"/>
                  <w:rFonts w:ascii="Verdana" w:hAnsi="Verdana"/>
                  <w:color w:val="00709B"/>
                  <w:sz w:val="20"/>
                  <w:szCs w:val="20"/>
                </w:rPr>
                <w:t>Growth regulation</w:t>
              </w:r>
            </w:hyperlink>
          </w:p>
        </w:tc>
      </w:tr>
    </w:tbl>
    <w:p w14:paraId="5FA12312" w14:textId="77777777" w:rsidR="00664426" w:rsidRDefault="00664426" w:rsidP="00664426">
      <w:pPr>
        <w:pStyle w:val="Heading4"/>
        <w:spacing w:before="0" w:beforeAutospacing="0" w:after="24" w:afterAutospacing="0"/>
        <w:rPr>
          <w:rFonts w:ascii="Helvetica" w:hAnsi="Helvetica"/>
          <w:color w:val="4D4D4D"/>
          <w:sz w:val="23"/>
          <w:szCs w:val="23"/>
        </w:rPr>
      </w:pPr>
      <w:r>
        <w:rPr>
          <w:rFonts w:ascii="Helvetica" w:hAnsi="Helvetica"/>
          <w:color w:val="4D4D4D"/>
          <w:sz w:val="23"/>
          <w:szCs w:val="23"/>
        </w:rPr>
        <w:t>Enzyme and pathway databases</w:t>
      </w:r>
    </w:p>
    <w:tbl>
      <w:tblPr>
        <w:tblW w:w="1066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8505"/>
      </w:tblGrid>
      <w:tr w:rsidR="00664426" w14:paraId="3D02B185" w14:textId="77777777" w:rsidTr="00664426">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43CB6133" w14:textId="77777777" w:rsidR="00664426" w:rsidRDefault="00664426">
            <w:pPr>
              <w:spacing w:before="24"/>
              <w:jc w:val="right"/>
              <w:rPr>
                <w:rFonts w:ascii="Verdana" w:hAnsi="Verdana"/>
                <w:color w:val="222222"/>
                <w:sz w:val="20"/>
                <w:szCs w:val="20"/>
              </w:rPr>
            </w:pPr>
            <w:proofErr w:type="spellStart"/>
            <w:r>
              <w:rPr>
                <w:rStyle w:val="context-help"/>
                <w:rFonts w:ascii="Helvetica" w:eastAsiaTheme="majorEastAsia" w:hAnsi="Helvetica"/>
                <w:color w:val="222222"/>
                <w:sz w:val="20"/>
                <w:szCs w:val="20"/>
              </w:rPr>
              <w:t>Reactome</w:t>
            </w:r>
            <w:r>
              <w:rPr>
                <w:rStyle w:val="context-help"/>
                <w:rFonts w:ascii="Garamond" w:eastAsiaTheme="majorEastAsia" w:hAnsi="Garamond"/>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6C5CBE70" w14:textId="77777777" w:rsidR="00664426" w:rsidRDefault="004A7D1A">
            <w:pPr>
              <w:spacing w:before="24"/>
              <w:rPr>
                <w:rFonts w:ascii="Verdana" w:hAnsi="Verdana"/>
                <w:color w:val="222222"/>
                <w:sz w:val="20"/>
                <w:szCs w:val="20"/>
              </w:rPr>
            </w:pPr>
            <w:hyperlink r:id="rId82" w:anchor="R-HSA-877300&amp;FLG=P01579" w:history="1">
              <w:r w:rsidR="00664426">
                <w:rPr>
                  <w:rStyle w:val="Hyperlink"/>
                  <w:rFonts w:ascii="Verdana" w:hAnsi="Verdana"/>
                  <w:color w:val="00709B"/>
                  <w:sz w:val="20"/>
                  <w:szCs w:val="20"/>
                </w:rPr>
                <w:t>R-HSA-877300</w:t>
              </w:r>
            </w:hyperlink>
            <w:r w:rsidR="00664426">
              <w:rPr>
                <w:rFonts w:ascii="Verdana" w:hAnsi="Verdana"/>
                <w:color w:val="222222"/>
                <w:sz w:val="20"/>
                <w:szCs w:val="20"/>
              </w:rPr>
              <w:t> Interferon gamma signaling</w:t>
            </w:r>
            <w:r w:rsidR="00664426">
              <w:rPr>
                <w:rFonts w:ascii="Verdana" w:hAnsi="Verdana"/>
                <w:color w:val="222222"/>
                <w:sz w:val="20"/>
                <w:szCs w:val="20"/>
              </w:rPr>
              <w:br/>
            </w:r>
            <w:hyperlink r:id="rId83" w:anchor="R-HSA-877312&amp;FLG=P01579" w:history="1">
              <w:r w:rsidR="00664426">
                <w:rPr>
                  <w:rStyle w:val="Hyperlink"/>
                  <w:rFonts w:ascii="Verdana" w:hAnsi="Verdana"/>
                  <w:color w:val="00709B"/>
                  <w:sz w:val="20"/>
                  <w:szCs w:val="20"/>
                </w:rPr>
                <w:t>R-HSA-877312</w:t>
              </w:r>
            </w:hyperlink>
            <w:r w:rsidR="00664426">
              <w:rPr>
                <w:rFonts w:ascii="Verdana" w:hAnsi="Verdana"/>
                <w:color w:val="222222"/>
                <w:sz w:val="20"/>
                <w:szCs w:val="20"/>
              </w:rPr>
              <w:t> Regulation of IFNG signaling</w:t>
            </w:r>
            <w:r w:rsidR="00664426">
              <w:rPr>
                <w:rFonts w:ascii="Verdana" w:hAnsi="Verdana"/>
                <w:color w:val="222222"/>
                <w:sz w:val="20"/>
                <w:szCs w:val="20"/>
              </w:rPr>
              <w:br/>
            </w:r>
            <w:hyperlink r:id="rId84" w:anchor="R-HSA-8877330&amp;FLG=P01579" w:history="1">
              <w:r w:rsidR="00664426">
                <w:rPr>
                  <w:rStyle w:val="Hyperlink"/>
                  <w:rFonts w:ascii="Verdana" w:hAnsi="Verdana"/>
                  <w:color w:val="00709B"/>
                  <w:sz w:val="20"/>
                  <w:szCs w:val="20"/>
                </w:rPr>
                <w:t>R-HSA-8877330</w:t>
              </w:r>
            </w:hyperlink>
            <w:r w:rsidR="00664426">
              <w:rPr>
                <w:rFonts w:ascii="Verdana" w:hAnsi="Verdana"/>
                <w:color w:val="222222"/>
                <w:sz w:val="20"/>
                <w:szCs w:val="20"/>
              </w:rPr>
              <w:t> RUNX1 and FOXP3 control the development of regulatory T lymphocytes (</w:t>
            </w:r>
            <w:proofErr w:type="spellStart"/>
            <w:r w:rsidR="00664426">
              <w:rPr>
                <w:rFonts w:ascii="Verdana" w:hAnsi="Verdana"/>
                <w:color w:val="222222"/>
                <w:sz w:val="20"/>
                <w:szCs w:val="20"/>
              </w:rPr>
              <w:t>Tregs</w:t>
            </w:r>
            <w:proofErr w:type="spellEnd"/>
            <w:r w:rsidR="00664426">
              <w:rPr>
                <w:rFonts w:ascii="Verdana" w:hAnsi="Verdana"/>
                <w:color w:val="222222"/>
                <w:sz w:val="20"/>
                <w:szCs w:val="20"/>
              </w:rPr>
              <w:t>)</w:t>
            </w:r>
            <w:r w:rsidR="00664426">
              <w:rPr>
                <w:rFonts w:ascii="Verdana" w:hAnsi="Verdana"/>
                <w:color w:val="222222"/>
                <w:sz w:val="20"/>
                <w:szCs w:val="20"/>
              </w:rPr>
              <w:br/>
            </w:r>
            <w:hyperlink r:id="rId85" w:anchor="R-HSA-8950505&amp;FLG=P01579" w:history="1">
              <w:r w:rsidR="00664426">
                <w:rPr>
                  <w:rStyle w:val="Hyperlink"/>
                  <w:rFonts w:ascii="Verdana" w:hAnsi="Verdana"/>
                  <w:color w:val="00709B"/>
                  <w:sz w:val="20"/>
                  <w:szCs w:val="20"/>
                </w:rPr>
                <w:t>R-HSA-8950505</w:t>
              </w:r>
            </w:hyperlink>
            <w:r w:rsidR="00664426">
              <w:rPr>
                <w:rFonts w:ascii="Verdana" w:hAnsi="Verdana"/>
                <w:color w:val="222222"/>
                <w:sz w:val="20"/>
                <w:szCs w:val="20"/>
              </w:rPr>
              <w:t> Gene and protein expression by JAK-STAT signaling after Interleukin-12 stimulation</w:t>
            </w:r>
          </w:p>
        </w:tc>
      </w:tr>
      <w:tr w:rsidR="00664426" w14:paraId="50350075" w14:textId="77777777" w:rsidTr="00664426">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2B610546" w14:textId="77777777" w:rsidR="00664426" w:rsidRDefault="00664426">
            <w:pPr>
              <w:spacing w:before="24"/>
              <w:jc w:val="right"/>
              <w:rPr>
                <w:rFonts w:ascii="Verdana" w:hAnsi="Verdana"/>
                <w:color w:val="222222"/>
                <w:sz w:val="20"/>
                <w:szCs w:val="20"/>
              </w:rPr>
            </w:pPr>
            <w:proofErr w:type="spellStart"/>
            <w:r>
              <w:rPr>
                <w:rStyle w:val="context-help"/>
                <w:rFonts w:ascii="Helvetica" w:eastAsiaTheme="majorEastAsia" w:hAnsi="Helvetica"/>
                <w:color w:val="222222"/>
                <w:sz w:val="20"/>
                <w:szCs w:val="20"/>
              </w:rPr>
              <w:t>SignaLink</w:t>
            </w:r>
            <w:r>
              <w:rPr>
                <w:rStyle w:val="context-help"/>
                <w:rFonts w:ascii="Garamond" w:eastAsiaTheme="majorEastAsia" w:hAnsi="Garamond"/>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44140C9F" w14:textId="77777777" w:rsidR="00664426" w:rsidRDefault="004A7D1A">
            <w:pPr>
              <w:spacing w:before="24"/>
              <w:rPr>
                <w:rFonts w:ascii="Verdana" w:hAnsi="Verdana"/>
                <w:color w:val="222222"/>
                <w:sz w:val="20"/>
                <w:szCs w:val="20"/>
              </w:rPr>
            </w:pPr>
            <w:hyperlink r:id="rId86" w:history="1">
              <w:r w:rsidR="00664426">
                <w:rPr>
                  <w:rStyle w:val="Hyperlink"/>
                  <w:rFonts w:ascii="Verdana" w:hAnsi="Verdana"/>
                  <w:color w:val="00709B"/>
                  <w:sz w:val="20"/>
                  <w:szCs w:val="20"/>
                </w:rPr>
                <w:t>P01579</w:t>
              </w:r>
            </w:hyperlink>
          </w:p>
        </w:tc>
      </w:tr>
      <w:tr w:rsidR="00664426" w14:paraId="664682DE" w14:textId="77777777" w:rsidTr="00664426">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1C5F7A66" w14:textId="77777777" w:rsidR="00664426" w:rsidRDefault="00664426">
            <w:pPr>
              <w:spacing w:before="24"/>
              <w:jc w:val="right"/>
              <w:rPr>
                <w:rFonts w:ascii="Verdana" w:hAnsi="Verdana"/>
                <w:color w:val="222222"/>
                <w:sz w:val="20"/>
                <w:szCs w:val="20"/>
              </w:rPr>
            </w:pPr>
            <w:proofErr w:type="spellStart"/>
            <w:r>
              <w:rPr>
                <w:rStyle w:val="context-help"/>
                <w:rFonts w:ascii="Helvetica" w:eastAsiaTheme="majorEastAsia" w:hAnsi="Helvetica"/>
                <w:color w:val="222222"/>
                <w:sz w:val="20"/>
                <w:szCs w:val="20"/>
              </w:rPr>
              <w:t>SIGNOR</w:t>
            </w:r>
            <w:r>
              <w:rPr>
                <w:rStyle w:val="context-help"/>
                <w:rFonts w:ascii="Garamond" w:eastAsiaTheme="majorEastAsia" w:hAnsi="Garamond"/>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15E75221" w14:textId="77777777" w:rsidR="00664426" w:rsidRDefault="004A7D1A">
            <w:pPr>
              <w:spacing w:before="24"/>
              <w:rPr>
                <w:rFonts w:ascii="Verdana" w:hAnsi="Verdana"/>
                <w:color w:val="222222"/>
                <w:sz w:val="20"/>
                <w:szCs w:val="20"/>
              </w:rPr>
            </w:pPr>
            <w:hyperlink r:id="rId87" w:history="1">
              <w:r w:rsidR="00664426">
                <w:rPr>
                  <w:rStyle w:val="Hyperlink"/>
                  <w:rFonts w:ascii="Verdana" w:hAnsi="Verdana"/>
                  <w:color w:val="00709B"/>
                  <w:sz w:val="20"/>
                  <w:szCs w:val="20"/>
                </w:rPr>
                <w:t>P01579</w:t>
              </w:r>
            </w:hyperlink>
          </w:p>
        </w:tc>
      </w:tr>
    </w:tbl>
    <w:p w14:paraId="6E1C92A8" w14:textId="48E953DE" w:rsidR="00664426" w:rsidRDefault="00664426"/>
    <w:p w14:paraId="5578717C" w14:textId="6F07527A" w:rsidR="00664426" w:rsidRDefault="004A7D1A" w:rsidP="00664426">
      <w:pPr>
        <w:pStyle w:val="Heading6"/>
        <w:spacing w:before="120"/>
        <w:rPr>
          <w:rFonts w:ascii="Helvetica" w:hAnsi="Helvetica"/>
          <w:color w:val="00709B"/>
        </w:rPr>
      </w:pPr>
      <w:hyperlink r:id="rId88" w:history="1">
        <w:r w:rsidR="00664426">
          <w:rPr>
            <w:rStyle w:val="Hyperlink"/>
            <w:rFonts w:ascii="Helvetica" w:hAnsi="Helvetica"/>
            <w:b/>
            <w:bCs/>
            <w:color w:val="00709B"/>
          </w:rPr>
          <w:t>Aplastic anemia (AA)</w:t>
        </w:r>
      </w:hyperlink>
      <w:r w:rsidR="00664426">
        <w:rPr>
          <w:rStyle w:val="attributionheader"/>
          <w:rFonts w:ascii="Helvetica" w:hAnsi="Helvetica"/>
          <w:b/>
          <w:bCs/>
          <w:color w:val="00709B"/>
          <w:sz w:val="18"/>
          <w:szCs w:val="18"/>
          <w:bdr w:val="none" w:sz="0" w:space="0" w:color="auto" w:frame="1"/>
          <w:shd w:val="clear" w:color="auto" w:fill="FBEFB6"/>
        </w:rPr>
        <w:t xml:space="preserve">1 Publication </w:t>
      </w:r>
      <w:r w:rsidR="00664426" w:rsidRPr="00664426">
        <w:rPr>
          <w:rStyle w:val="attributionheader"/>
          <w:rFonts w:ascii="Helvetica" w:hAnsi="Helvetica"/>
          <w:b/>
          <w:bCs/>
          <w:color w:val="00709B"/>
          <w:sz w:val="18"/>
          <w:szCs w:val="18"/>
          <w:bdr w:val="none" w:sz="0" w:space="0" w:color="auto" w:frame="1"/>
          <w:shd w:val="clear" w:color="auto" w:fill="FBEFB6"/>
        </w:rPr>
        <w:t>http://www.uniprot.org/citations/15327519</w:t>
      </w:r>
    </w:p>
    <w:p w14:paraId="08A6748C" w14:textId="77777777" w:rsidR="00664426" w:rsidRDefault="00664426" w:rsidP="00664426">
      <w:pPr>
        <w:rPr>
          <w:rFonts w:ascii="Verdana" w:hAnsi="Verdana"/>
          <w:color w:val="222222"/>
          <w:sz w:val="20"/>
          <w:szCs w:val="20"/>
        </w:rPr>
      </w:pPr>
      <w:r>
        <w:rPr>
          <w:rFonts w:ascii="Verdana" w:hAnsi="Verdana"/>
          <w:color w:val="222222"/>
          <w:sz w:val="20"/>
          <w:szCs w:val="20"/>
        </w:rPr>
        <w:t>Disease susceptibility may be associated with variations affecting the gene represented in this entry.</w:t>
      </w:r>
    </w:p>
    <w:p w14:paraId="74D1D1CF" w14:textId="06F408F0" w:rsidR="00664426" w:rsidRDefault="00664426" w:rsidP="00664426">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w:t>
      </w:r>
      <w:proofErr w:type="spellEnd"/>
      <w:r>
        <w:rPr>
          <w:rFonts w:ascii="Verdana" w:hAnsi="Verdana"/>
          <w:color w:val="222222"/>
          <w:sz w:val="20"/>
          <w:szCs w:val="20"/>
        </w:rPr>
        <w:t xml:space="preserve"> form of anemia in which the bone marrow fails to produce adequate numbers of peripheral blood elements. It </w:t>
      </w:r>
      <w:proofErr w:type="gramStart"/>
      <w:r>
        <w:rPr>
          <w:rFonts w:ascii="Verdana" w:hAnsi="Verdana"/>
          <w:color w:val="222222"/>
          <w:sz w:val="20"/>
          <w:szCs w:val="20"/>
        </w:rPr>
        <w:t>is characterized</w:t>
      </w:r>
      <w:proofErr w:type="gramEnd"/>
      <w:r>
        <w:rPr>
          <w:rFonts w:ascii="Verdana" w:hAnsi="Verdana"/>
          <w:color w:val="222222"/>
          <w:sz w:val="20"/>
          <w:szCs w:val="20"/>
        </w:rPr>
        <w:t xml:space="preserve"> by peripheral pancytopenia and marrow hypoplasia.</w:t>
      </w:r>
    </w:p>
    <w:p w14:paraId="5B0780FB" w14:textId="77777777" w:rsidR="00664426" w:rsidRDefault="00664426" w:rsidP="00664426">
      <w:pPr>
        <w:rPr>
          <w:rFonts w:ascii="Verdana" w:hAnsi="Verdana"/>
          <w:color w:val="222222"/>
          <w:sz w:val="20"/>
          <w:szCs w:val="20"/>
        </w:rPr>
      </w:pPr>
    </w:p>
    <w:p w14:paraId="3A435287" w14:textId="49EBF3F3" w:rsidR="00664426" w:rsidRDefault="004A7D1A" w:rsidP="00664426">
      <w:hyperlink r:id="rId89" w:history="1">
        <w:r w:rsidR="00664426">
          <w:rPr>
            <w:rStyle w:val="Hyperlink"/>
            <w:rFonts w:ascii="Verdana" w:hAnsi="Verdana"/>
            <w:color w:val="00709B"/>
            <w:sz w:val="20"/>
            <w:szCs w:val="20"/>
          </w:rPr>
          <w:t>See also OMIM:609135</w:t>
        </w:r>
      </w:hyperlink>
    </w:p>
    <w:p w14:paraId="7BFA9827" w14:textId="57ABF911" w:rsidR="00664426" w:rsidRDefault="00664426" w:rsidP="00664426"/>
    <w:tbl>
      <w:tblPr>
        <w:tblW w:w="1063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8475"/>
      </w:tblGrid>
      <w:tr w:rsidR="00664426" w14:paraId="49F9A34F" w14:textId="77777777" w:rsidTr="00664426">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4B269002" w14:textId="77777777" w:rsidR="00664426" w:rsidRDefault="00664426">
            <w:pPr>
              <w:spacing w:before="24"/>
              <w:jc w:val="right"/>
              <w:rPr>
                <w:rFonts w:ascii="Verdana" w:hAnsi="Verdana"/>
                <w:color w:val="222222"/>
                <w:sz w:val="20"/>
                <w:szCs w:val="20"/>
              </w:rPr>
            </w:pPr>
            <w:proofErr w:type="spellStart"/>
            <w:r>
              <w:rPr>
                <w:rStyle w:val="context-help"/>
                <w:rFonts w:ascii="Helvetica" w:hAnsi="Helvetica"/>
                <w:color w:val="222222"/>
                <w:sz w:val="20"/>
                <w:szCs w:val="20"/>
              </w:rPr>
              <w:t>DrugBank</w:t>
            </w:r>
            <w:r>
              <w:rPr>
                <w:rStyle w:val="context-help"/>
                <w:rFonts w:ascii="Garamond" w:hAnsi="Garamond"/>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216F681B" w14:textId="77777777" w:rsidR="00664426" w:rsidRDefault="004A7D1A">
            <w:pPr>
              <w:spacing w:before="24"/>
              <w:rPr>
                <w:rFonts w:ascii="Verdana" w:hAnsi="Verdana"/>
                <w:color w:val="222222"/>
                <w:sz w:val="20"/>
                <w:szCs w:val="20"/>
              </w:rPr>
            </w:pPr>
            <w:hyperlink r:id="rId90" w:history="1">
              <w:r w:rsidR="00664426">
                <w:rPr>
                  <w:rStyle w:val="Hyperlink"/>
                  <w:rFonts w:ascii="Verdana" w:hAnsi="Verdana"/>
                  <w:color w:val="00709B"/>
                  <w:sz w:val="20"/>
                  <w:szCs w:val="20"/>
                </w:rPr>
                <w:t>DB05676</w:t>
              </w:r>
            </w:hyperlink>
            <w:r w:rsidR="00664426">
              <w:rPr>
                <w:rFonts w:ascii="Verdana" w:hAnsi="Verdana"/>
                <w:color w:val="222222"/>
                <w:sz w:val="20"/>
                <w:szCs w:val="20"/>
              </w:rPr>
              <w:t> </w:t>
            </w:r>
            <w:proofErr w:type="spellStart"/>
            <w:r w:rsidR="00664426">
              <w:rPr>
                <w:rFonts w:ascii="Verdana" w:hAnsi="Verdana"/>
                <w:color w:val="222222"/>
                <w:sz w:val="20"/>
                <w:szCs w:val="20"/>
              </w:rPr>
              <w:t>Apremilast</w:t>
            </w:r>
            <w:proofErr w:type="spellEnd"/>
            <w:r w:rsidR="00664426">
              <w:rPr>
                <w:rFonts w:ascii="Verdana" w:hAnsi="Verdana"/>
                <w:color w:val="222222"/>
                <w:sz w:val="20"/>
                <w:szCs w:val="20"/>
              </w:rPr>
              <w:br/>
            </w:r>
            <w:hyperlink r:id="rId91" w:history="1">
              <w:r w:rsidR="00664426">
                <w:rPr>
                  <w:rStyle w:val="Hyperlink"/>
                  <w:rFonts w:ascii="Verdana" w:hAnsi="Verdana"/>
                  <w:color w:val="00709B"/>
                  <w:sz w:val="20"/>
                  <w:szCs w:val="20"/>
                </w:rPr>
                <w:t>DB05111</w:t>
              </w:r>
            </w:hyperlink>
            <w:r w:rsidR="00664426">
              <w:rPr>
                <w:rFonts w:ascii="Verdana" w:hAnsi="Verdana"/>
                <w:color w:val="222222"/>
                <w:sz w:val="20"/>
                <w:szCs w:val="20"/>
              </w:rPr>
              <w:t> Fontolizumab</w:t>
            </w:r>
            <w:r w:rsidR="00664426">
              <w:rPr>
                <w:rFonts w:ascii="Verdana" w:hAnsi="Verdana"/>
                <w:color w:val="222222"/>
                <w:sz w:val="20"/>
                <w:szCs w:val="20"/>
              </w:rPr>
              <w:br/>
            </w:r>
            <w:hyperlink r:id="rId92" w:history="1">
              <w:r w:rsidR="00664426">
                <w:rPr>
                  <w:rStyle w:val="Hyperlink"/>
                  <w:rFonts w:ascii="Verdana" w:hAnsi="Verdana"/>
                  <w:color w:val="00709B"/>
                  <w:sz w:val="20"/>
                  <w:szCs w:val="20"/>
                </w:rPr>
                <w:t>DB01296</w:t>
              </w:r>
            </w:hyperlink>
            <w:r w:rsidR="00664426">
              <w:rPr>
                <w:rFonts w:ascii="Verdana" w:hAnsi="Verdana"/>
                <w:color w:val="222222"/>
                <w:sz w:val="20"/>
                <w:szCs w:val="20"/>
              </w:rPr>
              <w:t> Glucosamine</w:t>
            </w:r>
            <w:r w:rsidR="00664426">
              <w:rPr>
                <w:rFonts w:ascii="Verdana" w:hAnsi="Verdana"/>
                <w:color w:val="222222"/>
                <w:sz w:val="20"/>
                <w:szCs w:val="20"/>
              </w:rPr>
              <w:br/>
            </w:r>
            <w:hyperlink r:id="rId93" w:history="1">
              <w:r w:rsidR="00664426">
                <w:rPr>
                  <w:rStyle w:val="Hyperlink"/>
                  <w:rFonts w:ascii="Verdana" w:hAnsi="Verdana"/>
                  <w:color w:val="00709B"/>
                  <w:sz w:val="20"/>
                  <w:szCs w:val="20"/>
                </w:rPr>
                <w:t>DB01250</w:t>
              </w:r>
            </w:hyperlink>
            <w:r w:rsidR="00664426">
              <w:rPr>
                <w:rFonts w:ascii="Verdana" w:hAnsi="Verdana"/>
                <w:color w:val="222222"/>
                <w:sz w:val="20"/>
                <w:szCs w:val="20"/>
              </w:rPr>
              <w:t> </w:t>
            </w:r>
            <w:proofErr w:type="spellStart"/>
            <w:r w:rsidR="00664426">
              <w:rPr>
                <w:rFonts w:ascii="Verdana" w:hAnsi="Verdana"/>
                <w:color w:val="222222"/>
                <w:sz w:val="20"/>
                <w:szCs w:val="20"/>
              </w:rPr>
              <w:t>Olsalazine</w:t>
            </w:r>
            <w:proofErr w:type="spellEnd"/>
            <w:r w:rsidR="00664426">
              <w:rPr>
                <w:rFonts w:ascii="Verdana" w:hAnsi="Verdana"/>
                <w:color w:val="222222"/>
                <w:sz w:val="20"/>
                <w:szCs w:val="20"/>
              </w:rPr>
              <w:br/>
            </w:r>
            <w:hyperlink r:id="rId94" w:history="1">
              <w:r w:rsidR="00664426">
                <w:rPr>
                  <w:rStyle w:val="Hyperlink"/>
                  <w:rFonts w:ascii="Verdana" w:hAnsi="Verdana"/>
                  <w:color w:val="00709B"/>
                  <w:sz w:val="20"/>
                  <w:szCs w:val="20"/>
                </w:rPr>
                <w:t>DB05110</w:t>
              </w:r>
            </w:hyperlink>
            <w:r w:rsidR="00664426">
              <w:rPr>
                <w:rFonts w:ascii="Verdana" w:hAnsi="Verdana"/>
                <w:color w:val="222222"/>
                <w:sz w:val="20"/>
                <w:szCs w:val="20"/>
              </w:rPr>
              <w:t> VIR201</w:t>
            </w:r>
          </w:p>
        </w:tc>
      </w:tr>
    </w:tbl>
    <w:p w14:paraId="7B7EE667" w14:textId="08FADCD4" w:rsidR="00664426" w:rsidRDefault="00664426" w:rsidP="00664426"/>
    <w:p w14:paraId="25B7B6AB" w14:textId="482981DE" w:rsidR="00046100" w:rsidRDefault="004A7D1A" w:rsidP="00664426">
      <w:pPr>
        <w:rPr>
          <w:rFonts w:ascii="Arial" w:hAnsi="Arial" w:cs="Arial"/>
          <w:color w:val="000000"/>
          <w:sz w:val="20"/>
          <w:szCs w:val="20"/>
          <w:shd w:val="clear" w:color="auto" w:fill="FFFFFF"/>
        </w:rPr>
      </w:pPr>
      <w:hyperlink r:id="rId95" w:history="1">
        <w:r w:rsidR="00046100" w:rsidRPr="00B04702">
          <w:rPr>
            <w:rStyle w:val="Hyperlink"/>
            <w:rFonts w:ascii="Arial" w:hAnsi="Arial" w:cs="Arial"/>
            <w:sz w:val="20"/>
            <w:szCs w:val="20"/>
            <w:shd w:val="clear" w:color="auto" w:fill="FFFFFF"/>
          </w:rPr>
          <w:t>https://www.ncbi.nlm.nih.gov/gene/3458</w:t>
        </w:r>
      </w:hyperlink>
    </w:p>
    <w:p w14:paraId="2626B40A" w14:textId="77777777" w:rsidR="00046100" w:rsidRDefault="00046100" w:rsidP="00664426">
      <w:pPr>
        <w:rPr>
          <w:rFonts w:ascii="Arial" w:hAnsi="Arial" w:cs="Arial"/>
          <w:color w:val="000000"/>
          <w:sz w:val="20"/>
          <w:szCs w:val="20"/>
          <w:shd w:val="clear" w:color="auto" w:fill="FFFFFF"/>
        </w:rPr>
      </w:pPr>
    </w:p>
    <w:p w14:paraId="1AF65D4D" w14:textId="536D5DE3" w:rsidR="00664426" w:rsidRDefault="00046100" w:rsidP="0066442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This gene encodes a soluble cytokine that is a member of the type II interferon class. The encoded protein </w:t>
      </w:r>
      <w:proofErr w:type="gramStart"/>
      <w:r>
        <w:rPr>
          <w:rFonts w:ascii="Arial" w:hAnsi="Arial" w:cs="Arial"/>
          <w:color w:val="000000"/>
          <w:sz w:val="20"/>
          <w:szCs w:val="20"/>
          <w:shd w:val="clear" w:color="auto" w:fill="FFFFFF"/>
        </w:rPr>
        <w:t>is secreted</w:t>
      </w:r>
      <w:proofErr w:type="gramEnd"/>
      <w:r>
        <w:rPr>
          <w:rFonts w:ascii="Arial" w:hAnsi="Arial" w:cs="Arial"/>
          <w:color w:val="000000"/>
          <w:sz w:val="20"/>
          <w:szCs w:val="20"/>
          <w:shd w:val="clear" w:color="auto" w:fill="FFFFFF"/>
        </w:rPr>
        <w:t xml:space="preserve"> by cells of both the innate and adaptive immune systems. The active protein is a homodimer that binds to the interferon gamma receptor which triggers a cellular response to viral and microbial infections. Mutations in this gene are associated with an increased susceptibility to viral, </w:t>
      </w:r>
      <w:proofErr w:type="gramStart"/>
      <w:r>
        <w:rPr>
          <w:rFonts w:ascii="Arial" w:hAnsi="Arial" w:cs="Arial"/>
          <w:color w:val="000000"/>
          <w:sz w:val="20"/>
          <w:szCs w:val="20"/>
          <w:shd w:val="clear" w:color="auto" w:fill="FFFFFF"/>
        </w:rPr>
        <w:t>bacterial</w:t>
      </w:r>
      <w:proofErr w:type="gramEnd"/>
      <w:r>
        <w:rPr>
          <w:rFonts w:ascii="Arial" w:hAnsi="Arial" w:cs="Arial"/>
          <w:color w:val="000000"/>
          <w:sz w:val="20"/>
          <w:szCs w:val="20"/>
          <w:shd w:val="clear" w:color="auto" w:fill="FFFFFF"/>
        </w:rPr>
        <w:t xml:space="preserve"> and parasitic infections and to several autoimmune diseases.</w:t>
      </w:r>
    </w:p>
    <w:p w14:paraId="5A5A409B" w14:textId="7B67ED3F" w:rsidR="00046100" w:rsidRDefault="00046100" w:rsidP="00664426"/>
    <w:p w14:paraId="5C36AC55" w14:textId="77777777" w:rsidR="00046100" w:rsidRDefault="00046100" w:rsidP="0004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Cytokines</w:t>
      </w:r>
      <w:r>
        <w:rPr>
          <w:rFonts w:ascii="Arial" w:hAnsi="Arial" w:cs="Arial"/>
          <w:color w:val="222222"/>
          <w:sz w:val="21"/>
          <w:szCs w:val="21"/>
        </w:rPr>
        <w:t> are a broad and loose category of small proteins (~5–20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"https://en.wikipedia.org/wiki/KDa" \o "KDa" </w:instrText>
      </w:r>
      <w:r>
        <w:rPr>
          <w:rFonts w:ascii="Arial" w:hAnsi="Arial" w:cs="Arial"/>
          <w:color w:val="222222"/>
          <w:sz w:val="21"/>
          <w:szCs w:val="21"/>
        </w:rPr>
        <w:fldChar w:fldCharType="separate"/>
      </w:r>
      <w:r>
        <w:rPr>
          <w:rStyle w:val="Hyperlink"/>
          <w:rFonts w:ascii="Arial" w:hAnsi="Arial" w:cs="Arial"/>
          <w:color w:val="0B0080"/>
          <w:sz w:val="21"/>
          <w:szCs w:val="21"/>
        </w:rPr>
        <w:t>kDa</w:t>
      </w:r>
      <w:proofErr w:type="spellEnd"/>
      <w:r>
        <w:rPr>
          <w:rFonts w:ascii="Arial" w:hAnsi="Arial" w:cs="Arial"/>
          <w:color w:val="222222"/>
          <w:sz w:val="21"/>
          <w:szCs w:val="21"/>
        </w:rPr>
        <w:fldChar w:fldCharType="end"/>
      </w:r>
      <w:r>
        <w:rPr>
          <w:rFonts w:ascii="Arial" w:hAnsi="Arial" w:cs="Arial"/>
          <w:color w:val="222222"/>
          <w:sz w:val="21"/>
          <w:szCs w:val="21"/>
        </w:rPr>
        <w:t>) that are important in </w:t>
      </w:r>
      <w:hyperlink r:id="rId96" w:tooltip="Cell signaling" w:history="1">
        <w:r>
          <w:rPr>
            <w:rStyle w:val="Hyperlink"/>
            <w:rFonts w:ascii="Arial" w:hAnsi="Arial" w:cs="Arial"/>
            <w:color w:val="0B0080"/>
            <w:sz w:val="21"/>
            <w:szCs w:val="21"/>
          </w:rPr>
          <w:t>cell signaling</w:t>
        </w:r>
      </w:hyperlink>
      <w:r>
        <w:rPr>
          <w:rFonts w:ascii="Arial" w:hAnsi="Arial" w:cs="Arial"/>
          <w:color w:val="222222"/>
          <w:sz w:val="21"/>
          <w:szCs w:val="21"/>
        </w:rPr>
        <w:t xml:space="preserve">. Their release </w:t>
      </w:r>
      <w:proofErr w:type="gramStart"/>
      <w:r>
        <w:rPr>
          <w:rFonts w:ascii="Arial" w:hAnsi="Arial" w:cs="Arial"/>
          <w:color w:val="222222"/>
          <w:sz w:val="21"/>
          <w:szCs w:val="21"/>
        </w:rPr>
        <w:t>has an effect on</w:t>
      </w:r>
      <w:proofErr w:type="gramEnd"/>
      <w:r>
        <w:rPr>
          <w:rFonts w:ascii="Arial" w:hAnsi="Arial" w:cs="Arial"/>
          <w:color w:val="222222"/>
          <w:sz w:val="21"/>
          <w:szCs w:val="21"/>
        </w:rPr>
        <w:t xml:space="preserve"> the behavior of cells around them. It can be said that cytokines are involved in </w:t>
      </w:r>
      <w:hyperlink r:id="rId97" w:tooltip="Autocrine signaling" w:history="1">
        <w:r>
          <w:rPr>
            <w:rStyle w:val="Hyperlink"/>
            <w:rFonts w:ascii="Arial" w:hAnsi="Arial" w:cs="Arial"/>
            <w:color w:val="0B0080"/>
            <w:sz w:val="21"/>
            <w:szCs w:val="21"/>
          </w:rPr>
          <w:t>autocrine signaling</w:t>
        </w:r>
      </w:hyperlink>
      <w:r>
        <w:rPr>
          <w:rFonts w:ascii="Arial" w:hAnsi="Arial" w:cs="Arial"/>
          <w:color w:val="222222"/>
          <w:sz w:val="21"/>
          <w:szCs w:val="21"/>
        </w:rPr>
        <w:t>, </w:t>
      </w:r>
      <w:hyperlink r:id="rId98" w:tooltip="Paracrine signaling" w:history="1">
        <w:r>
          <w:rPr>
            <w:rStyle w:val="Hyperlink"/>
            <w:rFonts w:ascii="Arial" w:hAnsi="Arial" w:cs="Arial"/>
            <w:color w:val="0B0080"/>
            <w:sz w:val="21"/>
            <w:szCs w:val="21"/>
          </w:rPr>
          <w:t>paracrine signaling</w:t>
        </w:r>
      </w:hyperlink>
      <w:r>
        <w:rPr>
          <w:rFonts w:ascii="Arial" w:hAnsi="Arial" w:cs="Arial"/>
          <w:color w:val="222222"/>
          <w:sz w:val="21"/>
          <w:szCs w:val="21"/>
        </w:rPr>
        <w:t> and </w:t>
      </w:r>
      <w:hyperlink r:id="rId99" w:tooltip="Endocrine signaling" w:history="1">
        <w:r>
          <w:rPr>
            <w:rStyle w:val="Hyperlink"/>
            <w:rFonts w:ascii="Arial" w:hAnsi="Arial" w:cs="Arial"/>
            <w:color w:val="0B0080"/>
            <w:sz w:val="21"/>
            <w:szCs w:val="21"/>
          </w:rPr>
          <w:t>endocrine signaling</w:t>
        </w:r>
      </w:hyperlink>
      <w:r>
        <w:rPr>
          <w:rFonts w:ascii="Arial" w:hAnsi="Arial" w:cs="Arial"/>
          <w:color w:val="222222"/>
          <w:sz w:val="21"/>
          <w:szCs w:val="21"/>
        </w:rPr>
        <w:t> as immunomodulating agents. Their definite distinction from hormones is still part of ongoing research. Cytokines may include </w:t>
      </w:r>
      <w:hyperlink r:id="rId100" w:tooltip="Chemokine" w:history="1">
        <w:r>
          <w:rPr>
            <w:rStyle w:val="Hyperlink"/>
            <w:rFonts w:ascii="Arial" w:hAnsi="Arial" w:cs="Arial"/>
            <w:color w:val="0B0080"/>
            <w:sz w:val="21"/>
            <w:szCs w:val="21"/>
          </w:rPr>
          <w:t>chemokines</w:t>
        </w:r>
      </w:hyperlink>
      <w:r>
        <w:rPr>
          <w:rFonts w:ascii="Arial" w:hAnsi="Arial" w:cs="Arial"/>
          <w:color w:val="222222"/>
          <w:sz w:val="21"/>
          <w:szCs w:val="21"/>
        </w:rPr>
        <w:t>, </w:t>
      </w:r>
      <w:hyperlink r:id="rId101" w:tooltip="Interferon" w:history="1">
        <w:r>
          <w:rPr>
            <w:rStyle w:val="Hyperlink"/>
            <w:rFonts w:ascii="Arial" w:hAnsi="Arial" w:cs="Arial"/>
            <w:color w:val="0B0080"/>
            <w:sz w:val="21"/>
            <w:szCs w:val="21"/>
          </w:rPr>
          <w:t>interferons</w:t>
        </w:r>
      </w:hyperlink>
      <w:r>
        <w:rPr>
          <w:rFonts w:ascii="Arial" w:hAnsi="Arial" w:cs="Arial"/>
          <w:color w:val="222222"/>
          <w:sz w:val="21"/>
          <w:szCs w:val="21"/>
        </w:rPr>
        <w:t>, </w:t>
      </w:r>
      <w:hyperlink r:id="rId102" w:tooltip="Interleukin" w:history="1">
        <w:r>
          <w:rPr>
            <w:rStyle w:val="Hyperlink"/>
            <w:rFonts w:ascii="Arial" w:hAnsi="Arial" w:cs="Arial"/>
            <w:color w:val="0B0080"/>
            <w:sz w:val="21"/>
            <w:szCs w:val="21"/>
          </w:rPr>
          <w:t>interleukins</w:t>
        </w:r>
      </w:hyperlink>
      <w:r>
        <w:rPr>
          <w:rFonts w:ascii="Arial" w:hAnsi="Arial" w:cs="Arial"/>
          <w:color w:val="222222"/>
          <w:sz w:val="21"/>
          <w:szCs w:val="21"/>
        </w:rPr>
        <w:t>, </w:t>
      </w:r>
      <w:hyperlink r:id="rId103" w:tooltip="Lymphokine" w:history="1">
        <w:r>
          <w:rPr>
            <w:rStyle w:val="Hyperlink"/>
            <w:rFonts w:ascii="Arial" w:hAnsi="Arial" w:cs="Arial"/>
            <w:color w:val="0B0080"/>
            <w:sz w:val="21"/>
            <w:szCs w:val="21"/>
          </w:rPr>
          <w:t>lymphokines</w:t>
        </w:r>
      </w:hyperlink>
      <w:r>
        <w:rPr>
          <w:rFonts w:ascii="Arial" w:hAnsi="Arial" w:cs="Arial"/>
          <w:color w:val="222222"/>
          <w:sz w:val="21"/>
          <w:szCs w:val="21"/>
        </w:rPr>
        <w:t>,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"https://en.wikipedia.org/wiki/Tumour_necrosis_factor" \o "Tumour necrosis factor" </w:instrText>
      </w:r>
      <w:r>
        <w:rPr>
          <w:rFonts w:ascii="Arial" w:hAnsi="Arial" w:cs="Arial"/>
          <w:color w:val="222222"/>
          <w:sz w:val="21"/>
          <w:szCs w:val="21"/>
        </w:rPr>
        <w:fldChar w:fldCharType="separate"/>
      </w:r>
      <w:r>
        <w:rPr>
          <w:rStyle w:val="Hyperlink"/>
          <w:rFonts w:ascii="Arial" w:hAnsi="Arial" w:cs="Arial"/>
          <w:color w:val="0B0080"/>
          <w:sz w:val="21"/>
          <w:szCs w:val="21"/>
        </w:rPr>
        <w:t>tumour</w:t>
      </w:r>
      <w:proofErr w:type="spellEnd"/>
      <w:r>
        <w:rPr>
          <w:rStyle w:val="Hyperlink"/>
          <w:rFonts w:ascii="Arial" w:hAnsi="Arial" w:cs="Arial"/>
          <w:color w:val="0B0080"/>
          <w:sz w:val="21"/>
          <w:szCs w:val="21"/>
        </w:rPr>
        <w:t xml:space="preserve"> necrosis factors</w:t>
      </w:r>
      <w:r>
        <w:rPr>
          <w:rFonts w:ascii="Arial" w:hAnsi="Arial" w:cs="Arial"/>
          <w:color w:val="222222"/>
          <w:sz w:val="21"/>
          <w:szCs w:val="21"/>
        </w:rPr>
        <w:fldChar w:fldCharType="end"/>
      </w:r>
      <w:r>
        <w:rPr>
          <w:rFonts w:ascii="Arial" w:hAnsi="Arial" w:cs="Arial"/>
          <w:color w:val="222222"/>
          <w:sz w:val="21"/>
          <w:szCs w:val="21"/>
        </w:rPr>
        <w:t> but generally not </w:t>
      </w:r>
      <w:hyperlink r:id="rId104" w:tooltip="Hormone" w:history="1">
        <w:r>
          <w:rPr>
            <w:rStyle w:val="Hyperlink"/>
            <w:rFonts w:ascii="Arial" w:hAnsi="Arial" w:cs="Arial"/>
            <w:color w:val="0B0080"/>
            <w:sz w:val="21"/>
            <w:szCs w:val="21"/>
          </w:rPr>
          <w:t>hormones</w:t>
        </w:r>
      </w:hyperlink>
      <w:r>
        <w:rPr>
          <w:rFonts w:ascii="Arial" w:hAnsi="Arial" w:cs="Arial"/>
          <w:color w:val="222222"/>
          <w:sz w:val="21"/>
          <w:szCs w:val="21"/>
        </w:rPr>
        <w:t> or </w:t>
      </w:r>
      <w:hyperlink r:id="rId105" w:tooltip="Growth factor" w:history="1">
        <w:r>
          <w:rPr>
            <w:rStyle w:val="Hyperlink"/>
            <w:rFonts w:ascii="Arial" w:hAnsi="Arial" w:cs="Arial"/>
            <w:color w:val="0B0080"/>
            <w:sz w:val="21"/>
            <w:szCs w:val="21"/>
          </w:rPr>
          <w:t>growth factors</w:t>
        </w:r>
      </w:hyperlink>
      <w:r>
        <w:rPr>
          <w:rFonts w:ascii="Arial" w:hAnsi="Arial" w:cs="Arial"/>
          <w:color w:val="222222"/>
          <w:sz w:val="21"/>
          <w:szCs w:val="21"/>
        </w:rPr>
        <w:t> (despite some </w:t>
      </w:r>
      <w:hyperlink r:id="rId106" w:anchor="Growth_factors_versus_cytokines" w:tooltip="Growth factor" w:history="1">
        <w:r>
          <w:rPr>
            <w:rStyle w:val="Hyperlink"/>
            <w:rFonts w:ascii="Arial" w:hAnsi="Arial" w:cs="Arial"/>
            <w:color w:val="0B0080"/>
            <w:sz w:val="21"/>
            <w:szCs w:val="21"/>
          </w:rPr>
          <w:t>overlap in the terminology</w:t>
        </w:r>
      </w:hyperlink>
      <w:r>
        <w:rPr>
          <w:rFonts w:ascii="Arial" w:hAnsi="Arial" w:cs="Arial"/>
          <w:color w:val="222222"/>
          <w:sz w:val="21"/>
          <w:szCs w:val="21"/>
        </w:rPr>
        <w:t>). Cytokines are produced by a broad range of cells, including immune cells like </w:t>
      </w:r>
      <w:hyperlink r:id="rId107" w:tooltip="Macrophage" w:history="1">
        <w:r>
          <w:rPr>
            <w:rStyle w:val="Hyperlink"/>
            <w:rFonts w:ascii="Arial" w:hAnsi="Arial" w:cs="Arial"/>
            <w:color w:val="0B0080"/>
            <w:sz w:val="21"/>
            <w:szCs w:val="21"/>
          </w:rPr>
          <w:t>macrophages</w:t>
        </w:r>
      </w:hyperlink>
      <w:r>
        <w:rPr>
          <w:rFonts w:ascii="Arial" w:hAnsi="Arial" w:cs="Arial"/>
          <w:color w:val="222222"/>
          <w:sz w:val="21"/>
          <w:szCs w:val="21"/>
        </w:rPr>
        <w:t>, </w:t>
      </w:r>
      <w:hyperlink r:id="rId108" w:tooltip="B cell" w:history="1">
        <w:r>
          <w:rPr>
            <w:rStyle w:val="Hyperlink"/>
            <w:rFonts w:ascii="Arial" w:hAnsi="Arial" w:cs="Arial"/>
            <w:color w:val="0B0080"/>
            <w:sz w:val="21"/>
            <w:szCs w:val="21"/>
          </w:rPr>
          <w:t>B lymphocytes</w:t>
        </w:r>
      </w:hyperlink>
      <w:r>
        <w:rPr>
          <w:rFonts w:ascii="Arial" w:hAnsi="Arial" w:cs="Arial"/>
          <w:color w:val="222222"/>
          <w:sz w:val="21"/>
          <w:szCs w:val="21"/>
        </w:rPr>
        <w:t>, </w:t>
      </w:r>
      <w:hyperlink r:id="rId109" w:tooltip="T cell" w:history="1">
        <w:r>
          <w:rPr>
            <w:rStyle w:val="Hyperlink"/>
            <w:rFonts w:ascii="Arial" w:hAnsi="Arial" w:cs="Arial"/>
            <w:color w:val="0B0080"/>
            <w:sz w:val="21"/>
            <w:szCs w:val="21"/>
          </w:rPr>
          <w:t>T lymphocytes</w:t>
        </w:r>
      </w:hyperlink>
      <w:r>
        <w:rPr>
          <w:rFonts w:ascii="Arial" w:hAnsi="Arial" w:cs="Arial"/>
          <w:color w:val="222222"/>
          <w:sz w:val="21"/>
          <w:szCs w:val="21"/>
        </w:rPr>
        <w:t> and </w:t>
      </w:r>
      <w:hyperlink r:id="rId110" w:tooltip="Mast cell" w:history="1">
        <w:r>
          <w:rPr>
            <w:rStyle w:val="Hyperlink"/>
            <w:rFonts w:ascii="Arial" w:hAnsi="Arial" w:cs="Arial"/>
            <w:color w:val="0B0080"/>
            <w:sz w:val="21"/>
            <w:szCs w:val="21"/>
          </w:rPr>
          <w:t>mast cells</w:t>
        </w:r>
      </w:hyperlink>
      <w:r>
        <w:rPr>
          <w:rFonts w:ascii="Arial" w:hAnsi="Arial" w:cs="Arial"/>
          <w:color w:val="222222"/>
          <w:sz w:val="21"/>
          <w:szCs w:val="21"/>
        </w:rPr>
        <w:t>, as well as </w:t>
      </w:r>
      <w:hyperlink r:id="rId111" w:tooltip="Endothelium" w:history="1">
        <w:r>
          <w:rPr>
            <w:rStyle w:val="Hyperlink"/>
            <w:rFonts w:ascii="Arial" w:hAnsi="Arial" w:cs="Arial"/>
            <w:color w:val="0B0080"/>
            <w:sz w:val="21"/>
            <w:szCs w:val="21"/>
          </w:rPr>
          <w:t>endothelial cells</w:t>
        </w:r>
      </w:hyperlink>
      <w:r>
        <w:rPr>
          <w:rFonts w:ascii="Arial" w:hAnsi="Arial" w:cs="Arial"/>
          <w:color w:val="222222"/>
          <w:sz w:val="21"/>
          <w:szCs w:val="21"/>
        </w:rPr>
        <w:t>, </w:t>
      </w:r>
      <w:hyperlink r:id="rId112" w:tooltip="Fibroblast" w:history="1">
        <w:r>
          <w:rPr>
            <w:rStyle w:val="Hyperlink"/>
            <w:rFonts w:ascii="Arial" w:hAnsi="Arial" w:cs="Arial"/>
            <w:color w:val="0B0080"/>
            <w:sz w:val="21"/>
            <w:szCs w:val="21"/>
          </w:rPr>
          <w:t>fibroblasts</w:t>
        </w:r>
      </w:hyperlink>
      <w:r>
        <w:rPr>
          <w:rFonts w:ascii="Arial" w:hAnsi="Arial" w:cs="Arial"/>
          <w:color w:val="222222"/>
          <w:sz w:val="21"/>
          <w:szCs w:val="21"/>
        </w:rPr>
        <w:t>, and various </w:t>
      </w:r>
      <w:hyperlink r:id="rId113" w:tooltip="Stromal cell" w:history="1">
        <w:r>
          <w:rPr>
            <w:rStyle w:val="Hyperlink"/>
            <w:rFonts w:ascii="Arial" w:hAnsi="Arial" w:cs="Arial"/>
            <w:color w:val="0B0080"/>
            <w:sz w:val="21"/>
            <w:szCs w:val="21"/>
          </w:rPr>
          <w:t>stromal cells</w:t>
        </w:r>
      </w:hyperlink>
      <w:r>
        <w:rPr>
          <w:rFonts w:ascii="Arial" w:hAnsi="Arial" w:cs="Arial"/>
          <w:color w:val="222222"/>
          <w:sz w:val="21"/>
          <w:szCs w:val="21"/>
        </w:rPr>
        <w:t>; a given cytokine may be produced by more than one type of cell.</w:t>
      </w:r>
      <w:hyperlink r:id="rId114" w:anchor="cite_note-1" w:history="1">
        <w:r>
          <w:rPr>
            <w:rStyle w:val="Hyperlink"/>
            <w:rFonts w:ascii="Arial" w:hAnsi="Arial" w:cs="Arial"/>
            <w:color w:val="0B0080"/>
            <w:sz w:val="17"/>
            <w:szCs w:val="17"/>
            <w:vertAlign w:val="superscript"/>
          </w:rPr>
          <w:t>[1]</w:t>
        </w:r>
      </w:hyperlink>
      <w:hyperlink r:id="rId115" w:anchor="cite_note-2" w:history="1">
        <w:r>
          <w:rPr>
            <w:rStyle w:val="Hyperlink"/>
            <w:rFonts w:ascii="Arial" w:hAnsi="Arial" w:cs="Arial"/>
            <w:color w:val="0B0080"/>
            <w:sz w:val="17"/>
            <w:szCs w:val="17"/>
            <w:vertAlign w:val="superscript"/>
          </w:rPr>
          <w:t>[2]</w:t>
        </w:r>
      </w:hyperlink>
      <w:hyperlink r:id="rId116" w:anchor="cite_note-COPE-Cytokines-3" w:history="1">
        <w:r>
          <w:rPr>
            <w:rStyle w:val="Hyperlink"/>
            <w:rFonts w:ascii="Arial" w:hAnsi="Arial" w:cs="Arial"/>
            <w:color w:val="0B0080"/>
            <w:sz w:val="17"/>
            <w:szCs w:val="17"/>
            <w:vertAlign w:val="superscript"/>
          </w:rPr>
          <w:t>[3]</w:t>
        </w:r>
      </w:hyperlink>
    </w:p>
    <w:p w14:paraId="387E0EBF" w14:textId="77777777" w:rsidR="00046100" w:rsidRDefault="00046100" w:rsidP="0004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They act through </w:t>
      </w:r>
      <w:hyperlink r:id="rId117" w:tooltip="Cell surface receptor" w:history="1">
        <w:r>
          <w:rPr>
            <w:rStyle w:val="Hyperlink"/>
            <w:rFonts w:ascii="Arial" w:hAnsi="Arial" w:cs="Arial"/>
            <w:color w:val="0B0080"/>
            <w:sz w:val="21"/>
            <w:szCs w:val="21"/>
          </w:rPr>
          <w:t>receptors</w:t>
        </w:r>
      </w:hyperlink>
      <w:r>
        <w:rPr>
          <w:rFonts w:ascii="Arial" w:hAnsi="Arial" w:cs="Arial"/>
          <w:color w:val="222222"/>
          <w:sz w:val="21"/>
          <w:szCs w:val="21"/>
        </w:rPr>
        <w:t>, and are especially important in the </w:t>
      </w:r>
      <w:hyperlink r:id="rId118" w:tooltip="Immune system" w:history="1">
        <w:r>
          <w:rPr>
            <w:rStyle w:val="Hyperlink"/>
            <w:rFonts w:ascii="Arial" w:hAnsi="Arial" w:cs="Arial"/>
            <w:color w:val="0B0080"/>
            <w:sz w:val="21"/>
            <w:szCs w:val="21"/>
          </w:rPr>
          <w:t>immune system</w:t>
        </w:r>
      </w:hyperlink>
      <w:r>
        <w:rPr>
          <w:rFonts w:ascii="Arial" w:hAnsi="Arial" w:cs="Arial"/>
          <w:color w:val="222222"/>
          <w:sz w:val="21"/>
          <w:szCs w:val="21"/>
        </w:rPr>
        <w:t>; cytokines modulate the balance between </w:t>
      </w:r>
      <w:hyperlink r:id="rId119" w:tooltip="Humoral immunity" w:history="1">
        <w:r>
          <w:rPr>
            <w:rStyle w:val="Hyperlink"/>
            <w:rFonts w:ascii="Arial" w:hAnsi="Arial" w:cs="Arial"/>
            <w:color w:val="0B0080"/>
            <w:sz w:val="21"/>
            <w:szCs w:val="21"/>
          </w:rPr>
          <w:t>humoral</w:t>
        </w:r>
      </w:hyperlink>
      <w:r>
        <w:rPr>
          <w:rFonts w:ascii="Arial" w:hAnsi="Arial" w:cs="Arial"/>
          <w:color w:val="222222"/>
          <w:sz w:val="21"/>
          <w:szCs w:val="21"/>
        </w:rPr>
        <w:t> and </w:t>
      </w:r>
      <w:hyperlink r:id="rId120" w:tooltip="Cell-mediated immunity" w:history="1">
        <w:r>
          <w:rPr>
            <w:rStyle w:val="Hyperlink"/>
            <w:rFonts w:ascii="Arial" w:hAnsi="Arial" w:cs="Arial"/>
            <w:color w:val="0B0080"/>
            <w:sz w:val="21"/>
            <w:szCs w:val="21"/>
          </w:rPr>
          <w:t>cell-based</w:t>
        </w:r>
      </w:hyperlink>
      <w:r>
        <w:rPr>
          <w:rFonts w:ascii="Arial" w:hAnsi="Arial" w:cs="Arial"/>
          <w:color w:val="222222"/>
          <w:sz w:val="21"/>
          <w:szCs w:val="21"/>
        </w:rPr>
        <w:t> immune responses, and they regulate the maturation, growth, and responsiveness of particular cell populations. Some cytokines enhance or inhibit the action of other cytokines in complex ways.</w:t>
      </w:r>
      <w:hyperlink r:id="rId121" w:anchor="cite_note-COPE-Cytokines-3" w:history="1">
        <w:r>
          <w:rPr>
            <w:rStyle w:val="Hyperlink"/>
            <w:rFonts w:ascii="Arial" w:hAnsi="Arial" w:cs="Arial"/>
            <w:color w:val="0B0080"/>
            <w:sz w:val="17"/>
            <w:szCs w:val="17"/>
            <w:vertAlign w:val="superscript"/>
          </w:rPr>
          <w:t>[3]</w:t>
        </w:r>
      </w:hyperlink>
    </w:p>
    <w:p w14:paraId="5708955E" w14:textId="77777777" w:rsidR="00046100" w:rsidRDefault="00046100" w:rsidP="0004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They are different from </w:t>
      </w:r>
      <w:hyperlink r:id="rId122" w:tooltip="Hormones" w:history="1">
        <w:r>
          <w:rPr>
            <w:rStyle w:val="Hyperlink"/>
            <w:rFonts w:ascii="Arial" w:hAnsi="Arial" w:cs="Arial"/>
            <w:color w:val="0B0080"/>
            <w:sz w:val="21"/>
            <w:szCs w:val="21"/>
          </w:rPr>
          <w:t>hormones</w:t>
        </w:r>
      </w:hyperlink>
      <w:r>
        <w:rPr>
          <w:rFonts w:ascii="Arial" w:hAnsi="Arial" w:cs="Arial"/>
          <w:color w:val="222222"/>
          <w:sz w:val="21"/>
          <w:szCs w:val="21"/>
        </w:rPr>
        <w:t>, which are also important cell signaling molecules, in that hormones circulate in less variable concentrations and hormones tend to be made by specific kinds of cells.</w:t>
      </w:r>
    </w:p>
    <w:p w14:paraId="7F572B22" w14:textId="77777777" w:rsidR="00046100" w:rsidRDefault="00046100" w:rsidP="00046100">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They are important in health and disease, specifically in host responses to infection, immune responses, </w:t>
      </w:r>
      <w:hyperlink r:id="rId123" w:tooltip="Inflammation" w:history="1">
        <w:r>
          <w:rPr>
            <w:rStyle w:val="Hyperlink"/>
            <w:rFonts w:ascii="Arial" w:hAnsi="Arial" w:cs="Arial"/>
            <w:color w:val="0B0080"/>
            <w:sz w:val="21"/>
            <w:szCs w:val="21"/>
          </w:rPr>
          <w:t>inflammation</w:t>
        </w:r>
      </w:hyperlink>
      <w:r>
        <w:rPr>
          <w:rFonts w:ascii="Arial" w:hAnsi="Arial" w:cs="Arial"/>
          <w:color w:val="222222"/>
          <w:sz w:val="21"/>
          <w:szCs w:val="21"/>
        </w:rPr>
        <w:t>, trauma, </w:t>
      </w:r>
      <w:hyperlink r:id="rId124" w:tooltip="Sepsis" w:history="1">
        <w:r>
          <w:rPr>
            <w:rStyle w:val="Hyperlink"/>
            <w:rFonts w:ascii="Arial" w:hAnsi="Arial" w:cs="Arial"/>
            <w:color w:val="0B0080"/>
            <w:sz w:val="21"/>
            <w:szCs w:val="21"/>
          </w:rPr>
          <w:t>sepsis</w:t>
        </w:r>
      </w:hyperlink>
      <w:r>
        <w:rPr>
          <w:rFonts w:ascii="Arial" w:hAnsi="Arial" w:cs="Arial"/>
          <w:color w:val="222222"/>
          <w:sz w:val="21"/>
          <w:szCs w:val="21"/>
        </w:rPr>
        <w:t>, cancer, and reproduction.</w:t>
      </w:r>
    </w:p>
    <w:p w14:paraId="5D0594A7" w14:textId="3A24B3CB" w:rsidR="00046100" w:rsidRDefault="00046100" w:rsidP="00664426"/>
    <w:p w14:paraId="2D124684" w14:textId="77777777" w:rsidR="00046100" w:rsidRDefault="00046100" w:rsidP="00664426"/>
    <w:p w14:paraId="7F14C44C" w14:textId="24B6EDE3" w:rsidR="00664426" w:rsidRDefault="004A7D1A" w:rsidP="00664426">
      <w:hyperlink r:id="rId125" w:history="1">
        <w:r w:rsidR="00664426" w:rsidRPr="00B04702">
          <w:rPr>
            <w:rStyle w:val="Hyperlink"/>
          </w:rPr>
          <w:t>https://www.ncbi.nlm.nih.gov/clinvar/variation/14724/</w:t>
        </w:r>
      </w:hyperlink>
    </w:p>
    <w:p w14:paraId="4EAE9EF5" w14:textId="77777777" w:rsidR="00664426" w:rsidRDefault="00664426" w:rsidP="00664426">
      <w:pPr>
        <w:pStyle w:val="Heading2"/>
        <w:shd w:val="clear" w:color="auto" w:fill="FFFFFF"/>
        <w:spacing w:before="270" w:after="135"/>
        <w:rPr>
          <w:rFonts w:ascii="Arial" w:hAnsi="Arial" w:cs="Arial"/>
          <w:color w:val="000000"/>
          <w:sz w:val="30"/>
          <w:szCs w:val="30"/>
        </w:rPr>
      </w:pPr>
      <w:r>
        <w:rPr>
          <w:rFonts w:ascii="Arial" w:hAnsi="Arial" w:cs="Arial"/>
          <w:color w:val="000000"/>
          <w:sz w:val="30"/>
          <w:szCs w:val="30"/>
        </w:rPr>
        <w:t>-179G-T</w:t>
      </w:r>
    </w:p>
    <w:p w14:paraId="66C9E3D0" w14:textId="1C14FA24" w:rsidR="00664426" w:rsidRDefault="00664426" w:rsidP="00664426"/>
    <w:p w14:paraId="6BCD0873" w14:textId="38F6045B" w:rsidR="00664426" w:rsidRDefault="00664426" w:rsidP="00664426">
      <w:pPr>
        <w:rPr>
          <w:rStyle w:val="xrefportlet"/>
          <w:rFonts w:ascii="Arial" w:hAnsi="Arial" w:cs="Arial"/>
          <w:color w:val="000000"/>
          <w:sz w:val="20"/>
          <w:szCs w:val="20"/>
          <w:shd w:val="clear" w:color="auto" w:fill="FFFFFF"/>
        </w:rPr>
      </w:pPr>
      <w:r>
        <w:rPr>
          <w:rFonts w:ascii="Arial" w:hAnsi="Arial" w:cs="Arial"/>
          <w:color w:val="000000"/>
          <w:sz w:val="20"/>
          <w:szCs w:val="20"/>
          <w:shd w:val="clear" w:color="auto" w:fill="FFFFFF"/>
        </w:rPr>
        <w:t>Acquired immunodeficiency syndrome, rapid progression to</w:t>
      </w:r>
      <w:r>
        <w:rPr>
          <w:rStyle w:val="xrefportlet"/>
          <w:rFonts w:ascii="Arial" w:hAnsi="Arial" w:cs="Arial"/>
          <w:color w:val="000000"/>
          <w:sz w:val="20"/>
          <w:szCs w:val="20"/>
          <w:shd w:val="clear" w:color="auto" w:fill="FFFFFF"/>
        </w:rPr>
        <w:t>[</w:t>
      </w:r>
      <w:proofErr w:type="spellStart"/>
      <w:r>
        <w:rPr>
          <w:rStyle w:val="xrefportlet"/>
          <w:rFonts w:ascii="Arial" w:hAnsi="Arial" w:cs="Arial"/>
          <w:color w:val="000000"/>
          <w:sz w:val="20"/>
          <w:szCs w:val="20"/>
          <w:shd w:val="clear" w:color="auto" w:fill="FFFFFF"/>
        </w:rPr>
        <w:fldChar w:fldCharType="begin"/>
      </w:r>
      <w:r>
        <w:rPr>
          <w:rStyle w:val="xrefportlet"/>
          <w:rFonts w:ascii="Arial" w:hAnsi="Arial" w:cs="Arial"/>
          <w:color w:val="000000"/>
          <w:sz w:val="20"/>
          <w:szCs w:val="20"/>
          <w:shd w:val="clear" w:color="auto" w:fill="FFFFFF"/>
        </w:rPr>
        <w:instrText xml:space="preserve"> HYPERLINK "https://www.ncbi.nlm.nih.gov/medgen/C4016227" \t "_blank" </w:instrText>
      </w:r>
      <w:r>
        <w:rPr>
          <w:rStyle w:val="xrefportlet"/>
          <w:rFonts w:ascii="Arial" w:hAnsi="Arial" w:cs="Arial"/>
          <w:color w:val="000000"/>
          <w:sz w:val="20"/>
          <w:szCs w:val="20"/>
          <w:shd w:val="clear" w:color="auto" w:fill="FFFFFF"/>
        </w:rPr>
        <w:fldChar w:fldCharType="separate"/>
      </w:r>
      <w:r>
        <w:rPr>
          <w:rStyle w:val="Hyperlink"/>
          <w:rFonts w:ascii="Arial" w:hAnsi="Arial" w:cs="Arial"/>
          <w:color w:val="642A8F"/>
          <w:sz w:val="20"/>
          <w:szCs w:val="20"/>
          <w:shd w:val="clear" w:color="auto" w:fill="FFFFFF"/>
        </w:rPr>
        <w:t>MedGen</w:t>
      </w:r>
      <w:proofErr w:type="spellEnd"/>
      <w:r>
        <w:rPr>
          <w:rStyle w:val="xrefportlet"/>
          <w:rFonts w:ascii="Arial" w:hAnsi="Arial" w:cs="Arial"/>
          <w:color w:val="000000"/>
          <w:sz w:val="20"/>
          <w:szCs w:val="20"/>
          <w:shd w:val="clear" w:color="auto" w:fill="FFFFFF"/>
        </w:rPr>
        <w:fldChar w:fldCharType="end"/>
      </w:r>
      <w:r>
        <w:rPr>
          <w:rStyle w:val="xrefportlet"/>
          <w:rFonts w:ascii="Arial" w:hAnsi="Arial" w:cs="Arial"/>
          <w:color w:val="000000"/>
          <w:sz w:val="20"/>
          <w:szCs w:val="20"/>
          <w:shd w:val="clear" w:color="auto" w:fill="FFFFFF"/>
        </w:rPr>
        <w:t>]</w:t>
      </w:r>
    </w:p>
    <w:p w14:paraId="5111E116" w14:textId="35F4F484" w:rsidR="00664426" w:rsidRDefault="00664426" w:rsidP="00664426"/>
    <w:p w14:paraId="11553888" w14:textId="20B45A5E" w:rsidR="00664426" w:rsidRDefault="004A7D1A" w:rsidP="00664426">
      <w:hyperlink r:id="rId126" w:history="1">
        <w:r w:rsidR="00664426" w:rsidRPr="00B04702">
          <w:rPr>
            <w:rStyle w:val="Hyperlink"/>
          </w:rPr>
          <w:t>https://www.ncbi.nlm.nih.gov/pubmed/12854077</w:t>
        </w:r>
      </w:hyperlink>
    </w:p>
    <w:p w14:paraId="74D4637F" w14:textId="41FB9E77" w:rsidR="00664426" w:rsidRDefault="00664426" w:rsidP="00664426"/>
    <w:p w14:paraId="6CFB1EA8" w14:textId="7890B04E" w:rsidR="00664426" w:rsidRDefault="00664426" w:rsidP="0066442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A polymorphism, -179G/T, in the promoter of the interferon (IFN)-gamma gene (IFNG) confers differential tumor necrosis factor-alpha (TNF-alpha) inducibility to the IFNG promoter. The rarer allele, -179T, but not -179G, is inducible by TNF-alpha. We investigated the effects of IFNG -179G/T on AIDS pathogenesis. In 298 African American human immunodeficiency virus (HIV)-1 </w:t>
      </w:r>
      <w:proofErr w:type="spellStart"/>
      <w:r>
        <w:rPr>
          <w:rFonts w:ascii="Arial" w:hAnsi="Arial" w:cs="Arial"/>
          <w:color w:val="000000"/>
          <w:sz w:val="20"/>
          <w:szCs w:val="20"/>
          <w:shd w:val="clear" w:color="auto" w:fill="FFFFFF"/>
        </w:rPr>
        <w:t>seroconverters</w:t>
      </w:r>
      <w:proofErr w:type="spellEnd"/>
      <w:r>
        <w:rPr>
          <w:rFonts w:ascii="Arial" w:hAnsi="Arial" w:cs="Arial"/>
          <w:color w:val="000000"/>
          <w:sz w:val="20"/>
          <w:szCs w:val="20"/>
          <w:shd w:val="clear" w:color="auto" w:fill="FFFFFF"/>
        </w:rPr>
        <w:t>, the IFNG -179G/T genotype was associated with accelerated progression to CD4 &lt;200 and AIDS-1993, a finding suggesting that IFNG -179T is a risk factor for AIDS progression, as measured by CD4 cell count. It is possible that increased IFN-gamma production induced by TNF-alpha when -179T is present causes CD4 cell depletion by apoptosis.</w:t>
      </w:r>
    </w:p>
    <w:p w14:paraId="61C88A5C" w14:textId="360D2123" w:rsidR="00F7099D" w:rsidRDefault="00F7099D" w:rsidP="00664426">
      <w:pPr>
        <w:rPr>
          <w:rFonts w:ascii="Arial" w:hAnsi="Arial" w:cs="Arial"/>
          <w:color w:val="000000"/>
          <w:sz w:val="20"/>
          <w:szCs w:val="20"/>
          <w:shd w:val="clear" w:color="auto" w:fill="FFFFFF"/>
        </w:rPr>
      </w:pPr>
    </w:p>
    <w:p w14:paraId="30BD0419" w14:textId="240D05D1" w:rsidR="00F7099D" w:rsidRDefault="004A7D1A" w:rsidP="00664426">
      <w:pPr>
        <w:rPr>
          <w:rFonts w:ascii="Arial" w:hAnsi="Arial" w:cs="Arial"/>
          <w:color w:val="000000"/>
          <w:sz w:val="20"/>
          <w:szCs w:val="20"/>
          <w:shd w:val="clear" w:color="auto" w:fill="FFFFFF"/>
        </w:rPr>
      </w:pPr>
      <w:hyperlink r:id="rId127" w:history="1">
        <w:r w:rsidR="00F7099D" w:rsidRPr="00B04702">
          <w:rPr>
            <w:rStyle w:val="Hyperlink"/>
            <w:rFonts w:ascii="Arial" w:hAnsi="Arial" w:cs="Arial"/>
            <w:sz w:val="20"/>
            <w:szCs w:val="20"/>
            <w:shd w:val="clear" w:color="auto" w:fill="FFFFFF"/>
          </w:rPr>
          <w:t>https://www.ncbi.nlm.nih.gov/pubmed/16724074</w:t>
        </w:r>
      </w:hyperlink>
    </w:p>
    <w:p w14:paraId="27AE4C6B" w14:textId="77777777" w:rsidR="00F7099D" w:rsidRDefault="00F7099D" w:rsidP="00664426">
      <w:pPr>
        <w:rPr>
          <w:rFonts w:ascii="Arial" w:hAnsi="Arial" w:cs="Arial"/>
          <w:color w:val="000000"/>
          <w:sz w:val="20"/>
          <w:szCs w:val="20"/>
          <w:shd w:val="clear" w:color="auto" w:fill="FFFFFF"/>
        </w:rPr>
      </w:pPr>
    </w:p>
    <w:p w14:paraId="326EEB76" w14:textId="5A4C23FA" w:rsidR="00F7099D" w:rsidRDefault="00F7099D" w:rsidP="00664426">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This study examines mucosa-specific regulatory pathways involved in modulation of interferon-gamma (IFN-gamma) in lamina propria T cells. Previous studies identified mucosa-specific CD2 cis-elements within the -204 to -108 bp IFNG promoter. Within this region, a single-site nucleotide polymorphism, -</w:t>
      </w:r>
      <w:r>
        <w:rPr>
          <w:rStyle w:val="highlight"/>
          <w:rFonts w:ascii="Arial" w:hAnsi="Arial" w:cs="Arial"/>
          <w:color w:val="000000"/>
          <w:sz w:val="20"/>
          <w:szCs w:val="20"/>
          <w:shd w:val="clear" w:color="auto" w:fill="FFFFFF"/>
        </w:rPr>
        <w:t>179G/T</w:t>
      </w:r>
      <w:r>
        <w:rPr>
          <w:rFonts w:ascii="Arial" w:hAnsi="Arial" w:cs="Arial"/>
          <w:color w:val="000000"/>
          <w:sz w:val="20"/>
          <w:szCs w:val="20"/>
          <w:shd w:val="clear" w:color="auto" w:fill="FFFFFF"/>
        </w:rPr>
        <w:t xml:space="preserve">, imparts tumor necrosis factor-alpha stimulation of IFNG in peripheral blood lymphocytes, and </w:t>
      </w:r>
      <w:proofErr w:type="gramStart"/>
      <w:r>
        <w:rPr>
          <w:rFonts w:ascii="Arial" w:hAnsi="Arial" w:cs="Arial"/>
          <w:color w:val="000000"/>
          <w:sz w:val="20"/>
          <w:szCs w:val="20"/>
          <w:shd w:val="clear" w:color="auto" w:fill="FFFFFF"/>
        </w:rPr>
        <w:t>is linked</w:t>
      </w:r>
      <w:proofErr w:type="gramEnd"/>
      <w:r>
        <w:rPr>
          <w:rFonts w:ascii="Arial" w:hAnsi="Arial" w:cs="Arial"/>
          <w:color w:val="000000"/>
          <w:sz w:val="20"/>
          <w:szCs w:val="20"/>
          <w:shd w:val="clear" w:color="auto" w:fill="FFFFFF"/>
        </w:rPr>
        <w:t xml:space="preserve"> with accelerated AIDS progression. We discovered a putative estrogen response element (ERE) introduced by the -179T, which displays selective activation in peripheral blood mononuclear cells (PBMC) vs lamina propria mononuclear cells (LPMC). Transfection of PBMC with constructs containing the -179G or -179T site revealed CD2-mediated enhancement of the -179T compared to -179G allele, although, in LPMC, a similar level of expression </w:t>
      </w:r>
      <w:proofErr w:type="gramStart"/>
      <w:r>
        <w:rPr>
          <w:rFonts w:ascii="Arial" w:hAnsi="Arial" w:cs="Arial"/>
          <w:color w:val="000000"/>
          <w:sz w:val="20"/>
          <w:szCs w:val="20"/>
          <w:shd w:val="clear" w:color="auto" w:fill="FFFFFF"/>
        </w:rPr>
        <w:t>was detected</w:t>
      </w:r>
      <w:proofErr w:type="gramEnd"/>
      <w:r>
        <w:rPr>
          <w:rFonts w:ascii="Arial" w:hAnsi="Arial" w:cs="Arial"/>
          <w:color w:val="000000"/>
          <w:sz w:val="20"/>
          <w:szCs w:val="20"/>
          <w:shd w:val="clear" w:color="auto" w:fill="FFFFFF"/>
        </w:rPr>
        <w:t xml:space="preserve">. Electrophoretic mobility shift assay (EMSA) analysis demonstrated CD2-mediated nucleoprotein binding to the -179T but not the -179G in PBMC. In LPMC, binding is constitutive to both -179G and -179T regions. Sequence and EMSA analysis suggests that the -179T allele creates an ERE-like binding site capable of binding recombinant estrogen receptor. Estrogen response element transactivation is enhanced by CD2 </w:t>
      </w:r>
      <w:proofErr w:type="gramStart"/>
      <w:r>
        <w:rPr>
          <w:rFonts w:ascii="Arial" w:hAnsi="Arial" w:cs="Arial"/>
          <w:color w:val="000000"/>
          <w:sz w:val="20"/>
          <w:szCs w:val="20"/>
          <w:shd w:val="clear" w:color="auto" w:fill="FFFFFF"/>
        </w:rPr>
        <w:t>signaling, but</w:t>
      </w:r>
      <w:proofErr w:type="gramEnd"/>
      <w:r>
        <w:rPr>
          <w:rFonts w:ascii="Arial" w:hAnsi="Arial" w:cs="Arial"/>
          <w:color w:val="000000"/>
          <w:sz w:val="20"/>
          <w:szCs w:val="20"/>
          <w:shd w:val="clear" w:color="auto" w:fill="FFFFFF"/>
        </w:rPr>
        <w:t xml:space="preserve"> inhibited by estrogen in PBMC but not in LPMC, although expression of estrogen receptor was similar. This is the first report to describe a potential molecular mechanism responsible for selectively controlling IFN-gamma production in LPMC.</w:t>
      </w:r>
    </w:p>
    <w:p w14:paraId="1E400196" w14:textId="73AAE44C" w:rsidR="00664426" w:rsidRDefault="00664426" w:rsidP="00664426"/>
    <w:p w14:paraId="1A8ECF97" w14:textId="3CEC4ECA" w:rsidR="00D81AEF" w:rsidRDefault="00D81AEF" w:rsidP="00D81AEF">
      <w:pPr>
        <w:rPr>
          <w:rStyle w:val="xrefportlet"/>
          <w:rFonts w:ascii="Arial" w:hAnsi="Arial" w:cs="Arial"/>
          <w:color w:val="000000"/>
          <w:sz w:val="20"/>
          <w:szCs w:val="20"/>
          <w:shd w:val="clear" w:color="auto" w:fill="FFFFFF"/>
        </w:rPr>
      </w:pPr>
      <w:r>
        <w:t>This pathogenic, or disease causing variant, is associated with [rapid progression to a</w:t>
      </w:r>
      <w:r>
        <w:rPr>
          <w:rFonts w:ascii="Arial" w:hAnsi="Arial" w:cs="Arial"/>
          <w:color w:val="000000"/>
          <w:sz w:val="20"/>
          <w:szCs w:val="20"/>
          <w:shd w:val="clear" w:color="auto" w:fill="FFFFFF"/>
        </w:rPr>
        <w:t xml:space="preserve">cquired immunodeficiency </w:t>
      </w:r>
      <w:proofErr w:type="gramStart"/>
      <w:r>
        <w:rPr>
          <w:rFonts w:ascii="Arial" w:hAnsi="Arial" w:cs="Arial"/>
          <w:color w:val="000000"/>
          <w:sz w:val="20"/>
          <w:szCs w:val="20"/>
          <w:shd w:val="clear" w:color="auto" w:fill="FFFFFF"/>
        </w:rPr>
        <w:t>syndrome](</w:t>
      </w:r>
      <w:proofErr w:type="gramEnd"/>
      <w:r>
        <w:rPr>
          <w:rFonts w:ascii="Arial" w:hAnsi="Arial" w:cs="Arial"/>
          <w:color w:val="000000"/>
          <w:sz w:val="20"/>
          <w:szCs w:val="20"/>
          <w:shd w:val="clear" w:color="auto" w:fill="FFFFFF"/>
        </w:rPr>
        <w:fldChar w:fldCharType="begin"/>
      </w:r>
      <w:r>
        <w:rPr>
          <w:rFonts w:ascii="Arial" w:hAnsi="Arial" w:cs="Arial"/>
          <w:color w:val="000000"/>
          <w:sz w:val="20"/>
          <w:szCs w:val="20"/>
          <w:shd w:val="clear" w:color="auto" w:fill="FFFFFF"/>
        </w:rPr>
        <w:instrText xml:space="preserve"> HYPERLINK "</w:instrText>
      </w:r>
      <w:r w:rsidRPr="00D81AEF">
        <w:rPr>
          <w:rFonts w:ascii="Arial" w:hAnsi="Arial" w:cs="Arial"/>
          <w:color w:val="000000"/>
          <w:sz w:val="20"/>
          <w:szCs w:val="20"/>
          <w:shd w:val="clear" w:color="auto" w:fill="FFFFFF"/>
        </w:rPr>
        <w:instrText>https://www.ncbi.nlm.nih.gov/medgen/C4016227</w:instrText>
      </w:r>
      <w:r>
        <w:rPr>
          <w:rFonts w:ascii="Arial" w:hAnsi="Arial" w:cs="Arial"/>
          <w:color w:val="000000"/>
          <w:sz w:val="20"/>
          <w:szCs w:val="20"/>
          <w:shd w:val="clear" w:color="auto" w:fill="FFFFFF"/>
        </w:rPr>
        <w:instrText xml:space="preserve">" </w:instrText>
      </w:r>
      <w:r>
        <w:rPr>
          <w:rFonts w:ascii="Arial" w:hAnsi="Arial" w:cs="Arial"/>
          <w:color w:val="000000"/>
          <w:sz w:val="20"/>
          <w:szCs w:val="20"/>
          <w:shd w:val="clear" w:color="auto" w:fill="FFFFFF"/>
        </w:rPr>
        <w:fldChar w:fldCharType="separate"/>
      </w:r>
      <w:r w:rsidRPr="00B4547F">
        <w:rPr>
          <w:rStyle w:val="Hyperlink"/>
          <w:rFonts w:ascii="Arial" w:hAnsi="Arial" w:cs="Arial"/>
          <w:sz w:val="20"/>
          <w:szCs w:val="20"/>
          <w:shd w:val="clear" w:color="auto" w:fill="FFFFFF"/>
        </w:rPr>
        <w:t>https://www.ncbi.nlm.nih.gov/medgen/C4016227</w:t>
      </w:r>
      <w:r>
        <w:rPr>
          <w:rFonts w:ascii="Arial" w:hAnsi="Arial" w:cs="Arial"/>
          <w:color w:val="000000"/>
          <w:sz w:val="20"/>
          <w:szCs w:val="20"/>
          <w:shd w:val="clear" w:color="auto" w:fill="FFFFFF"/>
        </w:rPr>
        <w:fldChar w:fldCharType="end"/>
      </w:r>
      <w:r>
        <w:rPr>
          <w:rFonts w:ascii="Arial" w:hAnsi="Arial" w:cs="Arial"/>
          <w:color w:val="000000"/>
          <w:sz w:val="20"/>
          <w:szCs w:val="20"/>
          <w:shd w:val="clear" w:color="auto" w:fill="FFFFFF"/>
        </w:rPr>
        <w:t>)</w:t>
      </w:r>
      <w:r>
        <w:rPr>
          <w:rStyle w:val="xrefportlet"/>
          <w:rFonts w:ascii="Arial" w:hAnsi="Arial" w:cs="Arial"/>
          <w:color w:val="000000"/>
          <w:sz w:val="20"/>
          <w:szCs w:val="20"/>
          <w:shd w:val="clear" w:color="auto" w:fill="FFFFFF"/>
        </w:rPr>
        <w:t xml:space="preserve">.  The -179T allele is a risk factor, as IFN-gamma production </w:t>
      </w:r>
      <w:proofErr w:type="gramStart"/>
      <w:r>
        <w:rPr>
          <w:rStyle w:val="xrefportlet"/>
          <w:rFonts w:ascii="Arial" w:hAnsi="Arial" w:cs="Arial"/>
          <w:color w:val="000000"/>
          <w:sz w:val="20"/>
          <w:szCs w:val="20"/>
          <w:shd w:val="clear" w:color="auto" w:fill="FFFFFF"/>
        </w:rPr>
        <w:t>is increased</w:t>
      </w:r>
      <w:proofErr w:type="gramEnd"/>
      <w:r>
        <w:rPr>
          <w:rStyle w:val="xrefportlet"/>
          <w:rFonts w:ascii="Arial" w:hAnsi="Arial" w:cs="Arial"/>
          <w:color w:val="000000"/>
          <w:sz w:val="20"/>
          <w:szCs w:val="20"/>
          <w:shd w:val="clear" w:color="auto" w:fill="FFFFFF"/>
        </w:rPr>
        <w:t xml:space="preserve">, causing CD4 cell depletion. This reduction weakens the immune system and [hastens the onset of AIDS after infection with </w:t>
      </w:r>
      <w:proofErr w:type="gramStart"/>
      <w:r>
        <w:rPr>
          <w:rStyle w:val="xrefportlet"/>
          <w:rFonts w:ascii="Arial" w:hAnsi="Arial" w:cs="Arial"/>
          <w:color w:val="000000"/>
          <w:sz w:val="20"/>
          <w:szCs w:val="20"/>
          <w:shd w:val="clear" w:color="auto" w:fill="FFFFFF"/>
        </w:rPr>
        <w:t>HIV](</w:t>
      </w:r>
      <w:proofErr w:type="gramEnd"/>
      <w:hyperlink r:id="rId128" w:history="1">
        <w:r w:rsidRPr="00B4547F">
          <w:rPr>
            <w:rStyle w:val="Hyperlink"/>
            <w:rFonts w:ascii="Arial" w:hAnsi="Arial" w:cs="Arial"/>
            <w:sz w:val="20"/>
            <w:szCs w:val="20"/>
            <w:shd w:val="clear" w:color="auto" w:fill="FFFFFF"/>
          </w:rPr>
          <w:t>https://www.ncbi.nlm.nih.gov/pubmed/16724074</w:t>
        </w:r>
      </w:hyperlink>
      <w:r>
        <w:rPr>
          <w:rStyle w:val="xrefportlet"/>
          <w:rFonts w:ascii="Arial" w:hAnsi="Arial" w:cs="Arial"/>
          <w:color w:val="000000"/>
          <w:sz w:val="20"/>
          <w:szCs w:val="20"/>
          <w:shd w:val="clear" w:color="auto" w:fill="FFFFFF"/>
        </w:rPr>
        <w:t>).</w:t>
      </w:r>
    </w:p>
    <w:p w14:paraId="7E05327D" w14:textId="5F8405D7" w:rsidR="00D81AEF" w:rsidRDefault="00D81AEF" w:rsidP="00664426"/>
    <w:p w14:paraId="66E0F3BA" w14:textId="2CCE6974" w:rsidR="00D81AEF" w:rsidRDefault="00D81AEF" w:rsidP="00664426">
      <w:bookmarkStart w:id="0" w:name="_GoBack"/>
      <w:r>
        <w:t>People who are HIV positive should carefully monitor CD4 levels. [Medications](</w:t>
      </w:r>
      <w:hyperlink r:id="rId129" w:history="1">
        <w:r w:rsidRPr="00B4547F">
          <w:rPr>
            <w:rStyle w:val="Hyperlink"/>
          </w:rPr>
          <w:t>http://www.uniprot.org/uniprot/P01579</w:t>
        </w:r>
      </w:hyperlink>
      <w:r>
        <w:t xml:space="preserve">) used for IFNG variants include: </w:t>
      </w:r>
      <w:r>
        <w:rPr>
          <w:rFonts w:ascii="Verdana" w:hAnsi="Verdana"/>
          <w:color w:val="222222"/>
          <w:sz w:val="20"/>
          <w:szCs w:val="20"/>
        </w:rPr>
        <w:t>[Apremilast](</w:t>
      </w:r>
      <w:hyperlink r:id="rId130" w:history="1">
        <w:r w:rsidRPr="00B4547F">
          <w:rPr>
            <w:rStyle w:val="Hyperlink"/>
            <w:rFonts w:ascii="Verdana" w:hAnsi="Verdana"/>
            <w:sz w:val="20"/>
            <w:szCs w:val="20"/>
          </w:rPr>
          <w:t>https://www.drugbank.ca/drugs/DB05676</w:t>
        </w:r>
      </w:hyperlink>
      <w:r>
        <w:rPr>
          <w:rFonts w:ascii="Verdana" w:hAnsi="Verdana"/>
          <w:color w:val="222222"/>
          <w:sz w:val="20"/>
          <w:szCs w:val="20"/>
        </w:rPr>
        <w:t>), [Fontolizumab]</w:t>
      </w:r>
      <w:r>
        <w:t>(</w:t>
      </w:r>
      <w:hyperlink r:id="rId131" w:history="1">
        <w:r w:rsidRPr="00B4547F">
          <w:rPr>
            <w:rStyle w:val="Hyperlink"/>
            <w:rFonts w:ascii="Verdana" w:hAnsi="Verdana"/>
            <w:sz w:val="20"/>
            <w:szCs w:val="20"/>
          </w:rPr>
          <w:t>https://www.drugbank.ca/drugs/DB05111</w:t>
        </w:r>
      </w:hyperlink>
      <w:r>
        <w:rPr>
          <w:rFonts w:ascii="Verdana" w:hAnsi="Verdana"/>
          <w:color w:val="222222"/>
          <w:sz w:val="20"/>
          <w:szCs w:val="20"/>
        </w:rPr>
        <w:t>), [Glucosamine](</w:t>
      </w:r>
      <w:hyperlink r:id="rId132" w:history="1">
        <w:r w:rsidRPr="00B4547F">
          <w:rPr>
            <w:rStyle w:val="Hyperlink"/>
            <w:rFonts w:ascii="Verdana" w:hAnsi="Verdana"/>
            <w:sz w:val="20"/>
            <w:szCs w:val="20"/>
          </w:rPr>
          <w:t>https://www.drugbank.ca/drugs/DB01296</w:t>
        </w:r>
      </w:hyperlink>
      <w:r>
        <w:rPr>
          <w:rFonts w:ascii="Verdana" w:hAnsi="Verdana"/>
          <w:color w:val="222222"/>
          <w:sz w:val="20"/>
          <w:szCs w:val="20"/>
        </w:rPr>
        <w:t>), [Olsalazine](</w:t>
      </w:r>
      <w:hyperlink r:id="rId133" w:history="1">
        <w:r w:rsidRPr="00B4547F">
          <w:rPr>
            <w:rStyle w:val="Hyperlink"/>
            <w:rFonts w:ascii="Verdana" w:hAnsi="Verdana"/>
            <w:sz w:val="20"/>
            <w:szCs w:val="20"/>
          </w:rPr>
          <w:t>https://www.drugbank.ca/drugs/DB01250</w:t>
        </w:r>
      </w:hyperlink>
      <w:r>
        <w:rPr>
          <w:rFonts w:ascii="Verdana" w:hAnsi="Verdana"/>
          <w:color w:val="222222"/>
          <w:sz w:val="20"/>
          <w:szCs w:val="20"/>
        </w:rPr>
        <w:t>), and [VIR201](</w:t>
      </w:r>
      <w:r w:rsidRPr="00D81AEF">
        <w:rPr>
          <w:rFonts w:ascii="Verdana" w:hAnsi="Verdana"/>
          <w:color w:val="222222"/>
          <w:sz w:val="20"/>
          <w:szCs w:val="20"/>
        </w:rPr>
        <w:t>https://www.drugbank.ca/drugs/DB05110</w:t>
      </w:r>
      <w:r>
        <w:rPr>
          <w:rFonts w:ascii="Verdana" w:hAnsi="Verdana"/>
          <w:color w:val="222222"/>
          <w:sz w:val="20"/>
          <w:szCs w:val="20"/>
        </w:rPr>
        <w:t>)</w:t>
      </w:r>
      <w:r w:rsidR="004F3C40">
        <w:rPr>
          <w:rFonts w:ascii="Verdana" w:hAnsi="Verdana"/>
          <w:color w:val="222222"/>
          <w:sz w:val="20"/>
          <w:szCs w:val="20"/>
        </w:rPr>
        <w:t>.</w:t>
      </w:r>
    </w:p>
    <w:bookmarkEnd w:id="0"/>
    <w:p w14:paraId="7439E8FF" w14:textId="77777777" w:rsidR="00664426" w:rsidRDefault="00664426" w:rsidP="00664426"/>
    <w:sectPr w:rsidR="0066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4E06"/>
    <w:multiLevelType w:val="multilevel"/>
    <w:tmpl w:val="25D2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10539"/>
    <w:multiLevelType w:val="multilevel"/>
    <w:tmpl w:val="FFDC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A2"/>
    <w:rsid w:val="00046100"/>
    <w:rsid w:val="004A7D1A"/>
    <w:rsid w:val="004F3C40"/>
    <w:rsid w:val="00664426"/>
    <w:rsid w:val="008416A2"/>
    <w:rsid w:val="00C05104"/>
    <w:rsid w:val="00D81AEF"/>
    <w:rsid w:val="00DC1B26"/>
    <w:rsid w:val="00DC377A"/>
    <w:rsid w:val="00E44527"/>
    <w:rsid w:val="00F7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B32D"/>
  <w15:chartTrackingRefBased/>
  <w15:docId w15:val="{FF14F59F-40EA-4792-AA9D-C23A0BEE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6A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709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644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099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64426"/>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66442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8416A2"/>
    <w:rPr>
      <w:color w:val="0563C1" w:themeColor="hyperlink"/>
      <w:u w:val="single"/>
    </w:rPr>
  </w:style>
  <w:style w:type="character" w:styleId="Emphasis">
    <w:name w:val="Emphasis"/>
    <w:basedOn w:val="DefaultParagraphFont"/>
    <w:uiPriority w:val="20"/>
    <w:qFormat/>
    <w:rsid w:val="008416A2"/>
    <w:rPr>
      <w:i/>
      <w:iCs/>
    </w:rPr>
  </w:style>
  <w:style w:type="paragraph" w:styleId="NormalWeb">
    <w:name w:val="Normal (Web)"/>
    <w:basedOn w:val="Normal"/>
    <w:uiPriority w:val="99"/>
    <w:unhideWhenUsed/>
    <w:rsid w:val="008416A2"/>
    <w:pPr>
      <w:spacing w:before="100" w:beforeAutospacing="1" w:after="100" w:afterAutospacing="1"/>
    </w:pPr>
  </w:style>
  <w:style w:type="character" w:styleId="UnresolvedMention">
    <w:name w:val="Unresolved Mention"/>
    <w:basedOn w:val="DefaultParagraphFont"/>
    <w:uiPriority w:val="99"/>
    <w:semiHidden/>
    <w:unhideWhenUsed/>
    <w:rsid w:val="00664426"/>
    <w:rPr>
      <w:color w:val="808080"/>
      <w:shd w:val="clear" w:color="auto" w:fill="E6E6E6"/>
    </w:rPr>
  </w:style>
  <w:style w:type="character" w:customStyle="1" w:styleId="Heading4Char">
    <w:name w:val="Heading 4 Char"/>
    <w:basedOn w:val="DefaultParagraphFont"/>
    <w:link w:val="Heading4"/>
    <w:uiPriority w:val="9"/>
    <w:rsid w:val="00664426"/>
    <w:rPr>
      <w:rFonts w:ascii="Times New Roman" w:eastAsia="Times New Roman" w:hAnsi="Times New Roman" w:cs="Times New Roman"/>
      <w:b/>
      <w:bCs/>
      <w:sz w:val="24"/>
      <w:szCs w:val="24"/>
    </w:rPr>
  </w:style>
  <w:style w:type="character" w:customStyle="1" w:styleId="attributionheader">
    <w:name w:val="attributionheader"/>
    <w:basedOn w:val="DefaultParagraphFont"/>
    <w:rsid w:val="00664426"/>
  </w:style>
  <w:style w:type="character" w:customStyle="1" w:styleId="context-help">
    <w:name w:val="context-help"/>
    <w:basedOn w:val="DefaultParagraphFont"/>
    <w:rsid w:val="00664426"/>
  </w:style>
  <w:style w:type="character" w:customStyle="1" w:styleId="Heading6Char">
    <w:name w:val="Heading 6 Char"/>
    <w:basedOn w:val="DefaultParagraphFont"/>
    <w:link w:val="Heading6"/>
    <w:uiPriority w:val="9"/>
    <w:semiHidden/>
    <w:rsid w:val="0066442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64426"/>
    <w:rPr>
      <w:rFonts w:asciiTheme="majorHAnsi" w:eastAsiaTheme="majorEastAsia" w:hAnsiTheme="majorHAnsi" w:cstheme="majorBidi"/>
      <w:color w:val="2F5496" w:themeColor="accent1" w:themeShade="BF"/>
      <w:sz w:val="26"/>
      <w:szCs w:val="26"/>
    </w:rPr>
  </w:style>
  <w:style w:type="character" w:customStyle="1" w:styleId="xrefportlet">
    <w:name w:val="xref_portlet"/>
    <w:basedOn w:val="DefaultParagraphFont"/>
    <w:rsid w:val="00664426"/>
  </w:style>
  <w:style w:type="character" w:customStyle="1" w:styleId="highlight">
    <w:name w:val="highlight"/>
    <w:basedOn w:val="DefaultParagraphFont"/>
    <w:rsid w:val="00664426"/>
  </w:style>
  <w:style w:type="character" w:customStyle="1" w:styleId="Heading1Char">
    <w:name w:val="Heading 1 Char"/>
    <w:basedOn w:val="DefaultParagraphFont"/>
    <w:link w:val="Heading1"/>
    <w:uiPriority w:val="9"/>
    <w:rsid w:val="00F709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099D"/>
    <w:rPr>
      <w:rFonts w:asciiTheme="majorHAnsi" w:eastAsiaTheme="majorEastAsia" w:hAnsiTheme="majorHAnsi" w:cstheme="majorBidi"/>
      <w:color w:val="1F3763" w:themeColor="accent1" w:themeShade="7F"/>
      <w:sz w:val="24"/>
      <w:szCs w:val="24"/>
    </w:rPr>
  </w:style>
  <w:style w:type="character" w:customStyle="1" w:styleId="ui-ncbitoggler-master-text">
    <w:name w:val="ui-ncbitoggler-master-text"/>
    <w:basedOn w:val="DefaultParagraphFont"/>
    <w:rsid w:val="00F7099D"/>
  </w:style>
  <w:style w:type="character" w:styleId="FollowedHyperlink">
    <w:name w:val="FollowedHyperlink"/>
    <w:basedOn w:val="DefaultParagraphFont"/>
    <w:uiPriority w:val="99"/>
    <w:semiHidden/>
    <w:unhideWhenUsed/>
    <w:rsid w:val="00D81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1234">
      <w:bodyDiv w:val="1"/>
      <w:marLeft w:val="0"/>
      <w:marRight w:val="0"/>
      <w:marTop w:val="0"/>
      <w:marBottom w:val="0"/>
      <w:divBdr>
        <w:top w:val="none" w:sz="0" w:space="0" w:color="auto"/>
        <w:left w:val="none" w:sz="0" w:space="0" w:color="auto"/>
        <w:bottom w:val="none" w:sz="0" w:space="0" w:color="auto"/>
        <w:right w:val="none" w:sz="0" w:space="0" w:color="auto"/>
      </w:divBdr>
      <w:divsChild>
        <w:div w:id="2109348813">
          <w:marLeft w:val="0"/>
          <w:marRight w:val="0"/>
          <w:marTop w:val="288"/>
          <w:marBottom w:val="100"/>
          <w:divBdr>
            <w:top w:val="none" w:sz="0" w:space="0" w:color="auto"/>
            <w:left w:val="none" w:sz="0" w:space="0" w:color="auto"/>
            <w:bottom w:val="none" w:sz="0" w:space="0" w:color="auto"/>
            <w:right w:val="none" w:sz="0" w:space="0" w:color="auto"/>
          </w:divBdr>
          <w:divsChild>
            <w:div w:id="10275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604">
      <w:bodyDiv w:val="1"/>
      <w:marLeft w:val="0"/>
      <w:marRight w:val="0"/>
      <w:marTop w:val="0"/>
      <w:marBottom w:val="0"/>
      <w:divBdr>
        <w:top w:val="none" w:sz="0" w:space="0" w:color="auto"/>
        <w:left w:val="none" w:sz="0" w:space="0" w:color="auto"/>
        <w:bottom w:val="none" w:sz="0" w:space="0" w:color="auto"/>
        <w:right w:val="none" w:sz="0" w:space="0" w:color="auto"/>
      </w:divBdr>
    </w:div>
    <w:div w:id="301544552">
      <w:bodyDiv w:val="1"/>
      <w:marLeft w:val="0"/>
      <w:marRight w:val="0"/>
      <w:marTop w:val="0"/>
      <w:marBottom w:val="0"/>
      <w:divBdr>
        <w:top w:val="none" w:sz="0" w:space="0" w:color="auto"/>
        <w:left w:val="none" w:sz="0" w:space="0" w:color="auto"/>
        <w:bottom w:val="none" w:sz="0" w:space="0" w:color="auto"/>
        <w:right w:val="none" w:sz="0" w:space="0" w:color="auto"/>
      </w:divBdr>
    </w:div>
    <w:div w:id="534388209">
      <w:bodyDiv w:val="1"/>
      <w:marLeft w:val="0"/>
      <w:marRight w:val="0"/>
      <w:marTop w:val="0"/>
      <w:marBottom w:val="0"/>
      <w:divBdr>
        <w:top w:val="none" w:sz="0" w:space="0" w:color="auto"/>
        <w:left w:val="none" w:sz="0" w:space="0" w:color="auto"/>
        <w:bottom w:val="none" w:sz="0" w:space="0" w:color="auto"/>
        <w:right w:val="none" w:sz="0" w:space="0" w:color="auto"/>
      </w:divBdr>
    </w:div>
    <w:div w:id="1221941753">
      <w:bodyDiv w:val="1"/>
      <w:marLeft w:val="0"/>
      <w:marRight w:val="0"/>
      <w:marTop w:val="0"/>
      <w:marBottom w:val="0"/>
      <w:divBdr>
        <w:top w:val="none" w:sz="0" w:space="0" w:color="auto"/>
        <w:left w:val="none" w:sz="0" w:space="0" w:color="auto"/>
        <w:bottom w:val="none" w:sz="0" w:space="0" w:color="auto"/>
        <w:right w:val="none" w:sz="0" w:space="0" w:color="auto"/>
      </w:divBdr>
    </w:div>
    <w:div w:id="1231040057">
      <w:bodyDiv w:val="1"/>
      <w:marLeft w:val="0"/>
      <w:marRight w:val="0"/>
      <w:marTop w:val="0"/>
      <w:marBottom w:val="0"/>
      <w:divBdr>
        <w:top w:val="none" w:sz="0" w:space="0" w:color="auto"/>
        <w:left w:val="none" w:sz="0" w:space="0" w:color="auto"/>
        <w:bottom w:val="none" w:sz="0" w:space="0" w:color="auto"/>
        <w:right w:val="none" w:sz="0" w:space="0" w:color="auto"/>
      </w:divBdr>
    </w:div>
    <w:div w:id="1250045234">
      <w:bodyDiv w:val="1"/>
      <w:marLeft w:val="0"/>
      <w:marRight w:val="0"/>
      <w:marTop w:val="0"/>
      <w:marBottom w:val="0"/>
      <w:divBdr>
        <w:top w:val="none" w:sz="0" w:space="0" w:color="auto"/>
        <w:left w:val="none" w:sz="0" w:space="0" w:color="auto"/>
        <w:bottom w:val="none" w:sz="0" w:space="0" w:color="auto"/>
        <w:right w:val="none" w:sz="0" w:space="0" w:color="auto"/>
      </w:divBdr>
    </w:div>
    <w:div w:id="1418870696">
      <w:bodyDiv w:val="1"/>
      <w:marLeft w:val="0"/>
      <w:marRight w:val="0"/>
      <w:marTop w:val="0"/>
      <w:marBottom w:val="0"/>
      <w:divBdr>
        <w:top w:val="none" w:sz="0" w:space="0" w:color="auto"/>
        <w:left w:val="none" w:sz="0" w:space="0" w:color="auto"/>
        <w:bottom w:val="none" w:sz="0" w:space="0" w:color="auto"/>
        <w:right w:val="none" w:sz="0" w:space="0" w:color="auto"/>
      </w:divBdr>
    </w:div>
    <w:div w:id="173928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ebi.ac.uk/QuickGO/term/GO:0005125" TargetMode="External"/><Relationship Id="rId117" Type="http://schemas.openxmlformats.org/officeDocument/2006/relationships/hyperlink" Target="https://en.wikipedia.org/wiki/Cell_surface_receptor" TargetMode="External"/><Relationship Id="rId21" Type="http://schemas.openxmlformats.org/officeDocument/2006/relationships/hyperlink" Target="https://www.ncbi.nlm.nih.gov/pubmed/24529854" TargetMode="External"/><Relationship Id="rId42" Type="http://schemas.openxmlformats.org/officeDocument/2006/relationships/hyperlink" Target="https://www.ebi.ac.uk/QuickGO/term/GO:0045892" TargetMode="External"/><Relationship Id="rId47" Type="http://schemas.openxmlformats.org/officeDocument/2006/relationships/hyperlink" Target="https://www.ebi.ac.uk/QuickGO/term/GO:0008284" TargetMode="External"/><Relationship Id="rId63" Type="http://schemas.openxmlformats.org/officeDocument/2006/relationships/hyperlink" Target="https://www.ebi.ac.uk/QuickGO/term/GO:0033160" TargetMode="External"/><Relationship Id="rId68" Type="http://schemas.openxmlformats.org/officeDocument/2006/relationships/hyperlink" Target="https://www.ebi.ac.uk/QuickGO/term/GO:2000309" TargetMode="External"/><Relationship Id="rId84" Type="http://schemas.openxmlformats.org/officeDocument/2006/relationships/hyperlink" Target="https://www.reactome.org/PathwayBrowser/" TargetMode="External"/><Relationship Id="rId89" Type="http://schemas.openxmlformats.org/officeDocument/2006/relationships/hyperlink" Target="http://www.omim.org/entry/609135" TargetMode="External"/><Relationship Id="rId112" Type="http://schemas.openxmlformats.org/officeDocument/2006/relationships/hyperlink" Target="https://en.wikipedia.org/wiki/Fibroblast" TargetMode="External"/><Relationship Id="rId133" Type="http://schemas.openxmlformats.org/officeDocument/2006/relationships/hyperlink" Target="https://www.drugbank.ca/drugs/DB01250" TargetMode="External"/><Relationship Id="rId16" Type="http://schemas.openxmlformats.org/officeDocument/2006/relationships/hyperlink" Target="https://www.ncbi.nlm.nih.gov/pubmed/26198819" TargetMode="External"/><Relationship Id="rId107" Type="http://schemas.openxmlformats.org/officeDocument/2006/relationships/hyperlink" Target="https://en.wikipedia.org/wiki/Macrophage" TargetMode="External"/><Relationship Id="rId11" Type="http://schemas.openxmlformats.org/officeDocument/2006/relationships/hyperlink" Target="https://www.drugbank.ca/drugs/DB05111" TargetMode="External"/><Relationship Id="rId32" Type="http://schemas.openxmlformats.org/officeDocument/2006/relationships/hyperlink" Target="https://www.ebi.ac.uk/QuickGO/term/GO:0007166" TargetMode="External"/><Relationship Id="rId37" Type="http://schemas.openxmlformats.org/officeDocument/2006/relationships/hyperlink" Target="https://www.ebi.ac.uk/QuickGO/term/GO:0035722" TargetMode="External"/><Relationship Id="rId53" Type="http://schemas.openxmlformats.org/officeDocument/2006/relationships/hyperlink" Target="https://www.ebi.ac.uk/QuickGO/term/GO:0010628" TargetMode="External"/><Relationship Id="rId58" Type="http://schemas.openxmlformats.org/officeDocument/2006/relationships/hyperlink" Target="https://www.ebi.ac.uk/QuickGO/term/GO:0045429" TargetMode="External"/><Relationship Id="rId74" Type="http://schemas.openxmlformats.org/officeDocument/2006/relationships/hyperlink" Target="https://www.ebi.ac.uk/QuickGO/term/GO:0060334" TargetMode="External"/><Relationship Id="rId79" Type="http://schemas.openxmlformats.org/officeDocument/2006/relationships/hyperlink" Target="http://www.uniprot.org/keywords/KW-0202" TargetMode="External"/><Relationship Id="rId102" Type="http://schemas.openxmlformats.org/officeDocument/2006/relationships/hyperlink" Target="https://en.wikipedia.org/wiki/Interleukin" TargetMode="External"/><Relationship Id="rId123" Type="http://schemas.openxmlformats.org/officeDocument/2006/relationships/hyperlink" Target="https://en.wikipedia.org/wiki/Inflammation" TargetMode="External"/><Relationship Id="rId128" Type="http://schemas.openxmlformats.org/officeDocument/2006/relationships/hyperlink" Target="https://www.ncbi.nlm.nih.gov/pubmed/16724074" TargetMode="External"/><Relationship Id="rId5" Type="http://schemas.openxmlformats.org/officeDocument/2006/relationships/hyperlink" Target="https://www.ncbi.nlm.nih.gov/pubmed/24529854" TargetMode="External"/><Relationship Id="rId90" Type="http://schemas.openxmlformats.org/officeDocument/2006/relationships/hyperlink" Target="https://www.drugbank.ca/drugs/DB05676" TargetMode="External"/><Relationship Id="rId95" Type="http://schemas.openxmlformats.org/officeDocument/2006/relationships/hyperlink" Target="https://www.ncbi.nlm.nih.gov/gene/3458" TargetMode="External"/><Relationship Id="rId14" Type="http://schemas.openxmlformats.org/officeDocument/2006/relationships/hyperlink" Target="https://www.ncbi.nlm.nih.gov/pubmed/26063326" TargetMode="External"/><Relationship Id="rId22" Type="http://schemas.openxmlformats.org/officeDocument/2006/relationships/hyperlink" Target="https://www.ncbi.nlm.nih.gov/pubmed/18385742" TargetMode="External"/><Relationship Id="rId27" Type="http://schemas.openxmlformats.org/officeDocument/2006/relationships/hyperlink" Target="https://www.ebi.ac.uk/QuickGO/term/GO:0005133" TargetMode="External"/><Relationship Id="rId30" Type="http://schemas.openxmlformats.org/officeDocument/2006/relationships/hyperlink" Target="https://www.ebi.ac.uk/QuickGO/term/GO:0006915" TargetMode="External"/><Relationship Id="rId35" Type="http://schemas.openxmlformats.org/officeDocument/2006/relationships/hyperlink" Target="https://www.ebi.ac.uk/QuickGO/term/GO:0006959" TargetMode="External"/><Relationship Id="rId43" Type="http://schemas.openxmlformats.org/officeDocument/2006/relationships/hyperlink" Target="https://www.ebi.ac.uk/QuickGO/term/GO:0000122" TargetMode="External"/><Relationship Id="rId48" Type="http://schemas.openxmlformats.org/officeDocument/2006/relationships/hyperlink" Target="https://www.ebi.ac.uk/QuickGO/term/GO:1904798" TargetMode="External"/><Relationship Id="rId56" Type="http://schemas.openxmlformats.org/officeDocument/2006/relationships/hyperlink" Target="https://www.ebi.ac.uk/QuickGO/term/GO:0051712" TargetMode="External"/><Relationship Id="rId64" Type="http://schemas.openxmlformats.org/officeDocument/2006/relationships/hyperlink" Target="https://www.ebi.ac.uk/QuickGO/term/GO:1903078" TargetMode="External"/><Relationship Id="rId69" Type="http://schemas.openxmlformats.org/officeDocument/2006/relationships/hyperlink" Target="https://www.ebi.ac.uk/QuickGO/term/GO:0042531" TargetMode="External"/><Relationship Id="rId77" Type="http://schemas.openxmlformats.org/officeDocument/2006/relationships/hyperlink" Target="https://www.ebi.ac.uk/QuickGO/term/GO:0009615" TargetMode="External"/><Relationship Id="rId100" Type="http://schemas.openxmlformats.org/officeDocument/2006/relationships/hyperlink" Target="https://en.wikipedia.org/wiki/Chemokine" TargetMode="External"/><Relationship Id="rId105" Type="http://schemas.openxmlformats.org/officeDocument/2006/relationships/hyperlink" Target="https://en.wikipedia.org/wiki/Growth_factor" TargetMode="External"/><Relationship Id="rId113" Type="http://schemas.openxmlformats.org/officeDocument/2006/relationships/hyperlink" Target="https://en.wikipedia.org/wiki/Stromal_cell" TargetMode="External"/><Relationship Id="rId118" Type="http://schemas.openxmlformats.org/officeDocument/2006/relationships/hyperlink" Target="https://en.wikipedia.org/wiki/Immune_system" TargetMode="External"/><Relationship Id="rId126" Type="http://schemas.openxmlformats.org/officeDocument/2006/relationships/hyperlink" Target="https://www.ncbi.nlm.nih.gov/pubmed/12854077" TargetMode="External"/><Relationship Id="rId134" Type="http://schemas.openxmlformats.org/officeDocument/2006/relationships/fontTable" Target="fontTable.xml"/><Relationship Id="rId8" Type="http://schemas.openxmlformats.org/officeDocument/2006/relationships/hyperlink" Target="https://www.ncbi.nlm.nih.gov/pubmed/26063326" TargetMode="External"/><Relationship Id="rId51" Type="http://schemas.openxmlformats.org/officeDocument/2006/relationships/hyperlink" Target="https://www.ebi.ac.uk/QuickGO/term/GO:0060550" TargetMode="External"/><Relationship Id="rId72" Type="http://schemas.openxmlformats.org/officeDocument/2006/relationships/hyperlink" Target="https://www.ebi.ac.uk/QuickGO/term/GO:0040008" TargetMode="External"/><Relationship Id="rId80" Type="http://schemas.openxmlformats.org/officeDocument/2006/relationships/hyperlink" Target="http://www.uniprot.org/keywords/KW-0051" TargetMode="External"/><Relationship Id="rId85" Type="http://schemas.openxmlformats.org/officeDocument/2006/relationships/hyperlink" Target="https://www.reactome.org/PathwayBrowser/" TargetMode="External"/><Relationship Id="rId93" Type="http://schemas.openxmlformats.org/officeDocument/2006/relationships/hyperlink" Target="https://www.drugbank.ca/drugs/DB01250" TargetMode="External"/><Relationship Id="rId98" Type="http://schemas.openxmlformats.org/officeDocument/2006/relationships/hyperlink" Target="https://en.wikipedia.org/wiki/Paracrine_signaling" TargetMode="External"/><Relationship Id="rId121" Type="http://schemas.openxmlformats.org/officeDocument/2006/relationships/hyperlink" Target="https://en.wikipedia.org/wiki/Cytokine" TargetMode="External"/><Relationship Id="rId3" Type="http://schemas.openxmlformats.org/officeDocument/2006/relationships/settings" Target="settings.xml"/><Relationship Id="rId12" Type="http://schemas.openxmlformats.org/officeDocument/2006/relationships/hyperlink" Target="https://www.drugbank.ca/drugs/DB01296" TargetMode="External"/><Relationship Id="rId17" Type="http://schemas.openxmlformats.org/officeDocument/2006/relationships/hyperlink" Target="https://www.ncbi.nlm.nih.gov/pubmed/24529854" TargetMode="External"/><Relationship Id="rId25" Type="http://schemas.openxmlformats.org/officeDocument/2006/relationships/hyperlink" Target="http://www.uniprot.org/uniprot/P01579" TargetMode="External"/><Relationship Id="rId33" Type="http://schemas.openxmlformats.org/officeDocument/2006/relationships/hyperlink" Target="https://www.ebi.ac.uk/QuickGO/term/GO:0051607" TargetMode="External"/><Relationship Id="rId38" Type="http://schemas.openxmlformats.org/officeDocument/2006/relationships/hyperlink" Target="https://www.ebi.ac.uk/QuickGO/term/GO:0030857" TargetMode="External"/><Relationship Id="rId46" Type="http://schemas.openxmlformats.org/officeDocument/2006/relationships/hyperlink" Target="https://www.ebi.ac.uk/QuickGO/term/GO:0032834" TargetMode="External"/><Relationship Id="rId59" Type="http://schemas.openxmlformats.org/officeDocument/2006/relationships/hyperlink" Target="https://www.ebi.ac.uk/QuickGO/term/GO:0045672" TargetMode="External"/><Relationship Id="rId67" Type="http://schemas.openxmlformats.org/officeDocument/2006/relationships/hyperlink" Target="https://www.ebi.ac.uk/QuickGO/term/GO:0034393" TargetMode="External"/><Relationship Id="rId103" Type="http://schemas.openxmlformats.org/officeDocument/2006/relationships/hyperlink" Target="https://en.wikipedia.org/wiki/Lymphokine" TargetMode="External"/><Relationship Id="rId108" Type="http://schemas.openxmlformats.org/officeDocument/2006/relationships/hyperlink" Target="https://en.wikipedia.org/wiki/B_cell" TargetMode="External"/><Relationship Id="rId116" Type="http://schemas.openxmlformats.org/officeDocument/2006/relationships/hyperlink" Target="https://en.wikipedia.org/wiki/Cytokine" TargetMode="External"/><Relationship Id="rId124" Type="http://schemas.openxmlformats.org/officeDocument/2006/relationships/hyperlink" Target="https://en.wikipedia.org/wiki/Sepsis" TargetMode="External"/><Relationship Id="rId129" Type="http://schemas.openxmlformats.org/officeDocument/2006/relationships/hyperlink" Target="http://www.uniprot.org/uniprot/P01579" TargetMode="External"/><Relationship Id="rId20" Type="http://schemas.openxmlformats.org/officeDocument/2006/relationships/hyperlink" Target="https://www.ncbi.nlm.nih.gov/gene/3458" TargetMode="External"/><Relationship Id="rId41" Type="http://schemas.openxmlformats.org/officeDocument/2006/relationships/hyperlink" Target="https://www.ebi.ac.uk/QuickGO/term/GO:0048662" TargetMode="External"/><Relationship Id="rId54" Type="http://schemas.openxmlformats.org/officeDocument/2006/relationships/hyperlink" Target="https://www.ebi.ac.uk/QuickGO/term/GO:0032735" TargetMode="External"/><Relationship Id="rId62" Type="http://schemas.openxmlformats.org/officeDocument/2006/relationships/hyperlink" Target="https://www.ebi.ac.uk/QuickGO/term/GO:0090312" TargetMode="External"/><Relationship Id="rId70" Type="http://schemas.openxmlformats.org/officeDocument/2006/relationships/hyperlink" Target="https://www.ebi.ac.uk/QuickGO/term/GO:0060557" TargetMode="External"/><Relationship Id="rId75" Type="http://schemas.openxmlformats.org/officeDocument/2006/relationships/hyperlink" Target="https://www.ebi.ac.uk/QuickGO/term/GO:0010835" TargetMode="External"/><Relationship Id="rId83" Type="http://schemas.openxmlformats.org/officeDocument/2006/relationships/hyperlink" Target="https://www.reactome.org/PathwayBrowser/" TargetMode="External"/><Relationship Id="rId88" Type="http://schemas.openxmlformats.org/officeDocument/2006/relationships/hyperlink" Target="http://www.uniprot.org/diseases/DI-02842" TargetMode="External"/><Relationship Id="rId91" Type="http://schemas.openxmlformats.org/officeDocument/2006/relationships/hyperlink" Target="https://www.drugbank.ca/drugs/DB05111" TargetMode="External"/><Relationship Id="rId96" Type="http://schemas.openxmlformats.org/officeDocument/2006/relationships/hyperlink" Target="https://en.wikipedia.org/wiki/Cell_signaling" TargetMode="External"/><Relationship Id="rId111" Type="http://schemas.openxmlformats.org/officeDocument/2006/relationships/hyperlink" Target="https://en.wikipedia.org/wiki/Endothelium" TargetMode="External"/><Relationship Id="rId132" Type="http://schemas.openxmlformats.org/officeDocument/2006/relationships/hyperlink" Target="https://www.drugbank.ca/drugs/DB01296" TargetMode="External"/><Relationship Id="rId1" Type="http://schemas.openxmlformats.org/officeDocument/2006/relationships/numbering" Target="numbering.xml"/><Relationship Id="rId6" Type="http://schemas.openxmlformats.org/officeDocument/2006/relationships/hyperlink" Target="https://www.ncbi.nlm.nih.gov/pubmed/28867622" TargetMode="External"/><Relationship Id="rId15" Type="http://schemas.openxmlformats.org/officeDocument/2006/relationships/hyperlink" Target="https://www.ncbi.nlm.nih.gov/pubmed/28651128" TargetMode="External"/><Relationship Id="rId23" Type="http://schemas.openxmlformats.org/officeDocument/2006/relationships/hyperlink" Target="https://www.ncbi.nlm.nih.gov/pubmed/12854077" TargetMode="External"/><Relationship Id="rId28" Type="http://schemas.openxmlformats.org/officeDocument/2006/relationships/hyperlink" Target="http://www.ebi.ac.uk/QuickGO/annotations?geneProductId=P01579" TargetMode="External"/><Relationship Id="rId36" Type="http://schemas.openxmlformats.org/officeDocument/2006/relationships/hyperlink" Target="https://www.ebi.ac.uk/QuickGO/term/GO:0060333" TargetMode="External"/><Relationship Id="rId49" Type="http://schemas.openxmlformats.org/officeDocument/2006/relationships/hyperlink" Target="https://www.ebi.ac.uk/QuickGO/term/GO:0010634" TargetMode="External"/><Relationship Id="rId57" Type="http://schemas.openxmlformats.org/officeDocument/2006/relationships/hyperlink" Target="https://www.ebi.ac.uk/QuickGO/term/GO:0051044" TargetMode="External"/><Relationship Id="rId106" Type="http://schemas.openxmlformats.org/officeDocument/2006/relationships/hyperlink" Target="https://en.wikipedia.org/wiki/Growth_factor" TargetMode="External"/><Relationship Id="rId114" Type="http://schemas.openxmlformats.org/officeDocument/2006/relationships/hyperlink" Target="https://en.wikipedia.org/wiki/Cytokine" TargetMode="External"/><Relationship Id="rId119" Type="http://schemas.openxmlformats.org/officeDocument/2006/relationships/hyperlink" Target="https://en.wikipedia.org/wiki/Humoral_immunity" TargetMode="External"/><Relationship Id="rId127" Type="http://schemas.openxmlformats.org/officeDocument/2006/relationships/hyperlink" Target="https://www.ncbi.nlm.nih.gov/pubmed/16724074" TargetMode="External"/><Relationship Id="rId10" Type="http://schemas.openxmlformats.org/officeDocument/2006/relationships/hyperlink" Target="https://www.drugbank.ca/drugs/DB05676" TargetMode="External"/><Relationship Id="rId31" Type="http://schemas.openxmlformats.org/officeDocument/2006/relationships/hyperlink" Target="https://www.ebi.ac.uk/QuickGO/term/GO:0007050" TargetMode="External"/><Relationship Id="rId44" Type="http://schemas.openxmlformats.org/officeDocument/2006/relationships/hyperlink" Target="https://www.ebi.ac.uk/QuickGO/term/GO:0010508" TargetMode="External"/><Relationship Id="rId52" Type="http://schemas.openxmlformats.org/officeDocument/2006/relationships/hyperlink" Target="https://www.ebi.ac.uk/QuickGO/term/GO:0060552" TargetMode="External"/><Relationship Id="rId60" Type="http://schemas.openxmlformats.org/officeDocument/2006/relationships/hyperlink" Target="https://www.ebi.ac.uk/QuickGO/term/GO:0033141" TargetMode="External"/><Relationship Id="rId65" Type="http://schemas.openxmlformats.org/officeDocument/2006/relationships/hyperlink" Target="https://www.ebi.ac.uk/QuickGO/term/GO:0001934" TargetMode="External"/><Relationship Id="rId73" Type="http://schemas.openxmlformats.org/officeDocument/2006/relationships/hyperlink" Target="https://www.ebi.ac.uk/QuickGO/term/GO:0050796" TargetMode="External"/><Relationship Id="rId78" Type="http://schemas.openxmlformats.org/officeDocument/2006/relationships/hyperlink" Target="http://www.ebi.ac.uk/QuickGO/annotations?geneProductId=P01579" TargetMode="External"/><Relationship Id="rId81" Type="http://schemas.openxmlformats.org/officeDocument/2006/relationships/hyperlink" Target="http://www.uniprot.org/keywords/KW-0341" TargetMode="External"/><Relationship Id="rId86" Type="http://schemas.openxmlformats.org/officeDocument/2006/relationships/hyperlink" Target="http://signalink.org/protein/P01579" TargetMode="External"/><Relationship Id="rId94" Type="http://schemas.openxmlformats.org/officeDocument/2006/relationships/hyperlink" Target="https://www.drugbank.ca/drugs/DB05110" TargetMode="External"/><Relationship Id="rId99" Type="http://schemas.openxmlformats.org/officeDocument/2006/relationships/hyperlink" Target="https://en.wikipedia.org/wiki/Endocrine_signaling" TargetMode="External"/><Relationship Id="rId101" Type="http://schemas.openxmlformats.org/officeDocument/2006/relationships/hyperlink" Target="https://en.wikipedia.org/wiki/Interferon" TargetMode="External"/><Relationship Id="rId122" Type="http://schemas.openxmlformats.org/officeDocument/2006/relationships/hyperlink" Target="https://en.wikipedia.org/wiki/Hormones" TargetMode="External"/><Relationship Id="rId130" Type="http://schemas.openxmlformats.org/officeDocument/2006/relationships/hyperlink" Target="https://www.drugbank.ca/drugs/DB05676" TargetMode="External"/><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niprot.org/uniprot/P01579" TargetMode="External"/><Relationship Id="rId13" Type="http://schemas.openxmlformats.org/officeDocument/2006/relationships/hyperlink" Target="https://www.drugbank.ca/drugs/DB01250" TargetMode="External"/><Relationship Id="rId18" Type="http://schemas.openxmlformats.org/officeDocument/2006/relationships/hyperlink" Target="https://www.ncbi.nlm.nih.gov/pubmed/19919944" TargetMode="External"/><Relationship Id="rId39" Type="http://schemas.openxmlformats.org/officeDocument/2006/relationships/hyperlink" Target="https://www.ebi.ac.uk/QuickGO/term/GO:0010629" TargetMode="External"/><Relationship Id="rId109" Type="http://schemas.openxmlformats.org/officeDocument/2006/relationships/hyperlink" Target="https://en.wikipedia.org/wiki/T_cell" TargetMode="External"/><Relationship Id="rId34" Type="http://schemas.openxmlformats.org/officeDocument/2006/relationships/hyperlink" Target="https://www.ebi.ac.uk/QuickGO/term/GO:0097191" TargetMode="External"/><Relationship Id="rId50" Type="http://schemas.openxmlformats.org/officeDocument/2006/relationships/hyperlink" Target="https://www.ebi.ac.uk/QuickGO/term/GO:1903543" TargetMode="External"/><Relationship Id="rId55" Type="http://schemas.openxmlformats.org/officeDocument/2006/relationships/hyperlink" Target="https://www.ebi.ac.uk/QuickGO/term/GO:0032747" TargetMode="External"/><Relationship Id="rId76" Type="http://schemas.openxmlformats.org/officeDocument/2006/relationships/hyperlink" Target="https://www.ebi.ac.uk/QuickGO/term/GO:0045589" TargetMode="External"/><Relationship Id="rId97" Type="http://schemas.openxmlformats.org/officeDocument/2006/relationships/hyperlink" Target="https://en.wikipedia.org/wiki/Autocrine_signaling" TargetMode="External"/><Relationship Id="rId104" Type="http://schemas.openxmlformats.org/officeDocument/2006/relationships/hyperlink" Target="https://en.wikipedia.org/wiki/Hormone" TargetMode="External"/><Relationship Id="rId120" Type="http://schemas.openxmlformats.org/officeDocument/2006/relationships/hyperlink" Target="https://en.wikipedia.org/wiki/Cell-mediated_immunity" TargetMode="External"/><Relationship Id="rId125" Type="http://schemas.openxmlformats.org/officeDocument/2006/relationships/hyperlink" Target="https://www.ncbi.nlm.nih.gov/clinvar/variation/14724/" TargetMode="External"/><Relationship Id="rId7" Type="http://schemas.openxmlformats.org/officeDocument/2006/relationships/hyperlink" Target="https://www.ncbi.nlm.nih.gov/pubmed/18385742" TargetMode="External"/><Relationship Id="rId71" Type="http://schemas.openxmlformats.org/officeDocument/2006/relationships/hyperlink" Target="https://www.ebi.ac.uk/QuickGO/term/GO:0000060" TargetMode="External"/><Relationship Id="rId92" Type="http://schemas.openxmlformats.org/officeDocument/2006/relationships/hyperlink" Target="https://www.drugbank.ca/drugs/DB01296" TargetMode="External"/><Relationship Id="rId2" Type="http://schemas.openxmlformats.org/officeDocument/2006/relationships/styles" Target="styles.xml"/><Relationship Id="rId29" Type="http://schemas.openxmlformats.org/officeDocument/2006/relationships/hyperlink" Target="https://www.ebi.ac.uk/QuickGO/term/GO:0002250" TargetMode="External"/><Relationship Id="rId24" Type="http://schemas.openxmlformats.org/officeDocument/2006/relationships/hyperlink" Target="https://www.ncbi.nlm.nih.gov/pubmed/26063326" TargetMode="External"/><Relationship Id="rId40" Type="http://schemas.openxmlformats.org/officeDocument/2006/relationships/hyperlink" Target="https://www.ebi.ac.uk/QuickGO/term/GO:0032700" TargetMode="External"/><Relationship Id="rId45" Type="http://schemas.openxmlformats.org/officeDocument/2006/relationships/hyperlink" Target="https://www.ebi.ac.uk/QuickGO/term/GO:0060559" TargetMode="External"/><Relationship Id="rId66" Type="http://schemas.openxmlformats.org/officeDocument/2006/relationships/hyperlink" Target="https://www.ebi.ac.uk/QuickGO/term/GO:0071902" TargetMode="External"/><Relationship Id="rId87" Type="http://schemas.openxmlformats.org/officeDocument/2006/relationships/hyperlink" Target="http://signor.uniroma2.it/relation_result.php?id=P01579" TargetMode="External"/><Relationship Id="rId110" Type="http://schemas.openxmlformats.org/officeDocument/2006/relationships/hyperlink" Target="https://en.wikipedia.org/wiki/Mast_cell" TargetMode="External"/><Relationship Id="rId115" Type="http://schemas.openxmlformats.org/officeDocument/2006/relationships/hyperlink" Target="https://en.wikipedia.org/wiki/Cytokine" TargetMode="External"/><Relationship Id="rId131" Type="http://schemas.openxmlformats.org/officeDocument/2006/relationships/hyperlink" Target="https://www.drugbank.ca/drugs/DB05111" TargetMode="External"/><Relationship Id="rId61" Type="http://schemas.openxmlformats.org/officeDocument/2006/relationships/hyperlink" Target="https://www.ebi.ac.uk/QuickGO/term/GO:0031334" TargetMode="External"/><Relationship Id="rId82" Type="http://schemas.openxmlformats.org/officeDocument/2006/relationships/hyperlink" Target="https://www.reactome.org/PathwayBrowser/" TargetMode="External"/><Relationship Id="rId19" Type="http://schemas.openxmlformats.org/officeDocument/2006/relationships/hyperlink" Target="https://www.ncbi.nlm.nih.gov/pubmed/18385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4335</Words>
  <Characters>24710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4</cp:revision>
  <dcterms:created xsi:type="dcterms:W3CDTF">2018-05-11T08:38:00Z</dcterms:created>
  <dcterms:modified xsi:type="dcterms:W3CDTF">2018-05-12T05:04:00Z</dcterms:modified>
</cp:coreProperties>
</file>