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50F3E" w14:textId="69F9AC56" w:rsidR="00DF0173" w:rsidRPr="009F4DB3" w:rsidRDefault="00DF0173" w:rsidP="009F4DB3">
      <w:pPr>
        <w:pStyle w:val="NormalWeb"/>
        <w:shd w:val="clear" w:color="auto" w:fill="FFFFFF"/>
        <w:spacing w:before="120" w:beforeAutospacing="0" w:after="120" w:afterAutospacing="0"/>
        <w:rPr>
          <w:rFonts w:ascii="Arial" w:hAnsi="Arial" w:cs="Arial"/>
          <w:color w:val="222222"/>
          <w:sz w:val="21"/>
          <w:szCs w:val="21"/>
        </w:rPr>
      </w:pPr>
      <w:bookmarkStart w:id="0" w:name="_GoBack"/>
      <w:r>
        <w:rPr>
          <w:rFonts w:ascii="Arial" w:hAnsi="Arial" w:cs="Arial"/>
          <w:bCs/>
          <w:color w:val="222222"/>
          <w:sz w:val="21"/>
          <w:szCs w:val="21"/>
          <w:shd w:val="clear" w:color="auto" w:fill="FFFFFF"/>
        </w:rPr>
        <w:t>TPRC [(t</w:t>
      </w:r>
      <w:r w:rsidRPr="00DF0173">
        <w:rPr>
          <w:rFonts w:ascii="Arial" w:hAnsi="Arial" w:cs="Arial"/>
          <w:bCs/>
          <w:color w:val="222222"/>
          <w:sz w:val="21"/>
          <w:szCs w:val="21"/>
          <w:shd w:val="clear" w:color="auto" w:fill="FFFFFF"/>
        </w:rPr>
        <w:t>ransient receptor potential cation channel, subfamily C, member 2</w:t>
      </w:r>
      <w:r>
        <w:rPr>
          <w:rFonts w:ascii="Arial" w:hAnsi="Arial" w:cs="Arial"/>
          <w:bCs/>
          <w:color w:val="222222"/>
          <w:sz w:val="21"/>
          <w:szCs w:val="21"/>
          <w:shd w:val="clear" w:color="auto" w:fill="FFFFFF"/>
        </w:rPr>
        <w:t>)](</w:t>
      </w:r>
      <w:hyperlink r:id="rId4" w:history="1">
        <w:r w:rsidRPr="00B04702">
          <w:rPr>
            <w:rStyle w:val="Hyperlink"/>
          </w:rPr>
          <w:t>https://www.ncbi.nlm.nih.gov/gene/7221</w:t>
        </w:r>
      </w:hyperlink>
      <w:r>
        <w:rPr>
          <w:rFonts w:ascii="Arial" w:hAnsi="Arial" w:cs="Arial"/>
          <w:bCs/>
          <w:color w:val="222222"/>
          <w:sz w:val="21"/>
          <w:szCs w:val="21"/>
          <w:shd w:val="clear" w:color="auto" w:fill="FFFFFF"/>
        </w:rPr>
        <w:t xml:space="preserve">) is a pseudogene, or partially functional gene found in other species such as mouse and monkey, that encodes a protein. This may help form </w:t>
      </w:r>
      <w:r w:rsidR="009F4DB3">
        <w:rPr>
          <w:rFonts w:ascii="Arial" w:hAnsi="Arial" w:cs="Arial"/>
          <w:bCs/>
          <w:color w:val="222222"/>
          <w:sz w:val="21"/>
          <w:szCs w:val="21"/>
          <w:shd w:val="clear" w:color="auto" w:fill="FFFFFF"/>
        </w:rPr>
        <w:t>[</w:t>
      </w:r>
      <w:r>
        <w:rPr>
          <w:rFonts w:ascii="Arial" w:hAnsi="Arial" w:cs="Arial"/>
          <w:bCs/>
          <w:color w:val="222222"/>
          <w:sz w:val="21"/>
          <w:szCs w:val="21"/>
          <w:shd w:val="clear" w:color="auto" w:fill="FFFFFF"/>
        </w:rPr>
        <w:t>permeable calcium cation channel</w:t>
      </w:r>
      <w:r w:rsidR="009F4DB3">
        <w:rPr>
          <w:rFonts w:ascii="Arial" w:hAnsi="Arial" w:cs="Arial"/>
          <w:bCs/>
          <w:color w:val="222222"/>
          <w:sz w:val="21"/>
          <w:szCs w:val="21"/>
          <w:shd w:val="clear" w:color="auto" w:fill="FFFFFF"/>
        </w:rPr>
        <w:t>s](</w:t>
      </w:r>
      <w:hyperlink r:id="rId5" w:history="1">
        <w:r w:rsidR="009F4DB3" w:rsidRPr="00FA37D6">
          <w:rPr>
            <w:rStyle w:val="Hyperlink"/>
            <w:rFonts w:ascii="Arial" w:hAnsi="Arial" w:cs="Arial"/>
            <w:sz w:val="20"/>
            <w:szCs w:val="20"/>
            <w:shd w:val="clear" w:color="auto" w:fill="FFFFFF"/>
          </w:rPr>
          <w:t>https://www.ncbi.nlm.nih.gov/pubmed/17517433</w:t>
        </w:r>
      </w:hyperlink>
      <w:r w:rsidR="009F4DB3">
        <w:rPr>
          <w:rFonts w:ascii="Arial" w:hAnsi="Arial" w:cs="Arial"/>
          <w:bCs/>
          <w:color w:val="222222"/>
          <w:sz w:val="21"/>
          <w:szCs w:val="21"/>
          <w:shd w:val="clear" w:color="auto" w:fill="FFFFFF"/>
        </w:rPr>
        <w:t>)</w:t>
      </w:r>
      <w:r>
        <w:rPr>
          <w:rFonts w:ascii="Arial" w:hAnsi="Arial" w:cs="Arial"/>
          <w:bCs/>
          <w:color w:val="222222"/>
          <w:sz w:val="21"/>
          <w:szCs w:val="21"/>
          <w:shd w:val="clear" w:color="auto" w:fill="FFFFFF"/>
        </w:rPr>
        <w:t xml:space="preserve"> that are active in [neurons and sperm cells](</w:t>
      </w:r>
      <w:hyperlink r:id="rId6" w:history="1">
        <w:r w:rsidRPr="00FA37D6">
          <w:rPr>
            <w:rStyle w:val="Hyperlink"/>
          </w:rPr>
          <w:t>https://www.ncbi.nlm.nih.gov/pubmed/17217050</w:t>
        </w:r>
      </w:hyperlink>
      <w:r>
        <w:rPr>
          <w:rFonts w:ascii="Arial" w:hAnsi="Arial" w:cs="Arial"/>
          <w:bCs/>
          <w:color w:val="222222"/>
          <w:sz w:val="21"/>
          <w:szCs w:val="21"/>
          <w:shd w:val="clear" w:color="auto" w:fill="FFFFFF"/>
        </w:rPr>
        <w:t xml:space="preserve">). These pathways are activated by pheromones and moderate [aggression and the immune </w:t>
      </w:r>
      <w:proofErr w:type="gramStart"/>
      <w:r>
        <w:rPr>
          <w:rFonts w:ascii="Arial" w:hAnsi="Arial" w:cs="Arial"/>
          <w:bCs/>
          <w:color w:val="222222"/>
          <w:sz w:val="21"/>
          <w:szCs w:val="21"/>
          <w:shd w:val="clear" w:color="auto" w:fill="FFFFFF"/>
        </w:rPr>
        <w:t>system</w:t>
      </w:r>
      <w:r>
        <w:rPr>
          <w:rFonts w:ascii="Arial" w:hAnsi="Arial" w:cs="Arial"/>
          <w:bCs/>
          <w:color w:val="222222"/>
          <w:sz w:val="21"/>
          <w:szCs w:val="21"/>
          <w:shd w:val="clear" w:color="auto" w:fill="FFFFFF"/>
        </w:rPr>
        <w:t>](</w:t>
      </w:r>
      <w:proofErr w:type="gramEnd"/>
      <w:r>
        <w:fldChar w:fldCharType="begin"/>
      </w:r>
      <w:r>
        <w:instrText xml:space="preserve"> HYPERLINK "</w:instrText>
      </w:r>
      <w:r w:rsidRPr="00DF0173">
        <w:instrText>https://www.ncbi.nlm.nih.gov/pubmed/17217050</w:instrText>
      </w:r>
      <w:r>
        <w:instrText xml:space="preserve">" </w:instrText>
      </w:r>
      <w:r>
        <w:fldChar w:fldCharType="separate"/>
      </w:r>
      <w:r w:rsidRPr="00FA37D6">
        <w:rPr>
          <w:rStyle w:val="Hyperlink"/>
        </w:rPr>
        <w:t>https://www.ncbi.nlm.nih.gov/pubmed/17217050</w:t>
      </w:r>
      <w:r>
        <w:fldChar w:fldCharType="end"/>
      </w:r>
      <w:r>
        <w:rPr>
          <w:rFonts w:ascii="Arial" w:hAnsi="Arial" w:cs="Arial"/>
          <w:bCs/>
          <w:color w:val="222222"/>
          <w:sz w:val="21"/>
          <w:szCs w:val="21"/>
          <w:shd w:val="clear" w:color="auto" w:fill="FFFFFF"/>
        </w:rPr>
        <w:t>).</w:t>
      </w:r>
      <w:r w:rsidR="009F4DB3">
        <w:rPr>
          <w:rFonts w:ascii="Arial" w:hAnsi="Arial" w:cs="Arial"/>
          <w:bCs/>
          <w:color w:val="222222"/>
          <w:sz w:val="21"/>
          <w:szCs w:val="21"/>
          <w:shd w:val="clear" w:color="auto" w:fill="FFFFFF"/>
        </w:rPr>
        <w:t xml:space="preserve"> Variants have been linked to [ME/</w:t>
      </w:r>
      <w:proofErr w:type="gramStart"/>
      <w:r w:rsidR="009F4DB3">
        <w:rPr>
          <w:rFonts w:ascii="Arial" w:hAnsi="Arial" w:cs="Arial"/>
          <w:bCs/>
          <w:color w:val="222222"/>
          <w:sz w:val="21"/>
          <w:szCs w:val="21"/>
          <w:shd w:val="clear" w:color="auto" w:fill="FFFFFF"/>
        </w:rPr>
        <w:t>CFS](</w:t>
      </w:r>
      <w:proofErr w:type="gramEnd"/>
      <w:r w:rsidR="009F4DB3">
        <w:rPr>
          <w:rFonts w:ascii="Arial" w:hAnsi="Arial" w:cs="Arial"/>
          <w:sz w:val="21"/>
          <w:szCs w:val="21"/>
        </w:rPr>
        <w:fldChar w:fldCharType="begin"/>
      </w:r>
      <w:r w:rsidR="009F4DB3">
        <w:rPr>
          <w:rFonts w:ascii="Arial" w:hAnsi="Arial" w:cs="Arial"/>
          <w:sz w:val="21"/>
          <w:szCs w:val="21"/>
        </w:rPr>
        <w:instrText xml:space="preserve"> HYPERLINK "</w:instrText>
      </w:r>
      <w:r w:rsidR="009F4DB3" w:rsidRPr="009F4DB3">
        <w:rPr>
          <w:rFonts w:ascii="Arial" w:hAnsi="Arial" w:cs="Arial"/>
          <w:sz w:val="21"/>
          <w:szCs w:val="21"/>
        </w:rPr>
        <w:instrText>https://www.ncbi.nlm.nih.gov/pubmed/27099524</w:instrText>
      </w:r>
      <w:r w:rsidR="009F4DB3">
        <w:rPr>
          <w:rFonts w:ascii="Arial" w:hAnsi="Arial" w:cs="Arial"/>
          <w:sz w:val="21"/>
          <w:szCs w:val="21"/>
        </w:rPr>
        <w:instrText xml:space="preserve">" </w:instrText>
      </w:r>
      <w:r w:rsidR="009F4DB3">
        <w:rPr>
          <w:rFonts w:ascii="Arial" w:hAnsi="Arial" w:cs="Arial"/>
          <w:sz w:val="21"/>
          <w:szCs w:val="21"/>
        </w:rPr>
        <w:fldChar w:fldCharType="separate"/>
      </w:r>
      <w:r w:rsidR="009F4DB3" w:rsidRPr="00FA37D6">
        <w:rPr>
          <w:rStyle w:val="Hyperlink"/>
          <w:rFonts w:ascii="Arial" w:hAnsi="Arial" w:cs="Arial"/>
          <w:sz w:val="21"/>
          <w:szCs w:val="21"/>
        </w:rPr>
        <w:t>https://www.ncbi.nlm.nih.gov/pubmed/27099524</w:t>
      </w:r>
      <w:r w:rsidR="009F4DB3">
        <w:rPr>
          <w:rFonts w:ascii="Arial" w:hAnsi="Arial" w:cs="Arial"/>
          <w:sz w:val="21"/>
          <w:szCs w:val="21"/>
        </w:rPr>
        <w:fldChar w:fldCharType="end"/>
      </w:r>
      <w:r w:rsidR="009F4DB3">
        <w:rPr>
          <w:rFonts w:ascii="Arial" w:hAnsi="Arial" w:cs="Arial"/>
          <w:bCs/>
          <w:color w:val="222222"/>
          <w:sz w:val="21"/>
          <w:szCs w:val="21"/>
          <w:shd w:val="clear" w:color="auto" w:fill="FFFFFF"/>
        </w:rPr>
        <w:t>) due to impaired natural killer cell activity.</w:t>
      </w:r>
    </w:p>
    <w:bookmarkEnd w:id="0"/>
    <w:p w14:paraId="5DB88293" w14:textId="0A763326" w:rsidR="009F4DB3" w:rsidRDefault="009F4DB3"/>
    <w:p w14:paraId="31ACA9AD" w14:textId="77777777" w:rsidR="009F4DB3" w:rsidRDefault="009F4DB3" w:rsidP="009F4DB3">
      <w:pPr>
        <w:rPr>
          <w:rFonts w:ascii="Arial" w:hAnsi="Arial" w:cs="Arial"/>
          <w:color w:val="000000"/>
          <w:sz w:val="20"/>
          <w:szCs w:val="20"/>
          <w:shd w:val="clear" w:color="auto" w:fill="FFFFFF"/>
        </w:rPr>
      </w:pPr>
      <w:hyperlink r:id="rId7" w:history="1">
        <w:r w:rsidRPr="00B04702">
          <w:rPr>
            <w:rStyle w:val="Hyperlink"/>
            <w:rFonts w:ascii="Arial" w:hAnsi="Arial" w:cs="Arial"/>
            <w:sz w:val="20"/>
            <w:szCs w:val="20"/>
            <w:shd w:val="clear" w:color="auto" w:fill="FFFFFF"/>
          </w:rPr>
          <w:t>https://www.ncbi.nlm.nih.gov/pubmed/17517433</w:t>
        </w:r>
      </w:hyperlink>
    </w:p>
    <w:p w14:paraId="47F6247E" w14:textId="77777777" w:rsidR="009F4DB3" w:rsidRDefault="009F4DB3" w:rsidP="009F4DB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Receptor-activated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is mediated largely by store-operated channels (SOCs). TRPC channels mediate a significant portion of the receptor-activated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However, whether any of the TRPC channels function as a SOC remains controversial. Our understanding of the regulation of TRPC channels and their function as SOCs is being reshaped with the discovery of the role of STIM1 in the regulation of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channels. The findings that STIM1 is an ER resident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binding protein that regulates SOCs allow an expanded and molecular definition of SOCs. SOCs can be considered as channels that are regulated by STIM1 and require the clustering of STIM1 in response to depletion of the ER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2+) stores and its translocation towards the plasma membrane. TRPC1 and other TRPC channels fulfill these criteria. STIM1 binds to TRPC1, TRPC2, TRPC4 and TRPC5 but not to TRPC3, TRPC6 and TRPC7, and STIM1 regulates TRPC1 channel activity. Structure-function analysis reveals that the C-terminus of STIM1 contains the binding and gating function of STIM1. The ERM domain of STIM1 binds to TRPC channels and a lysine-rich region participates in the gating of SOCs and TRPC1. Knock-down of STIM1 by siRNA and prevention of its translocation to the plasma membrane inhibit the activity of native SOCs and TRPC1. These findings support the conclusion that TRPC1 is a SOC. Similar studies with other TRPC channels demonstrate their regulation by STIM1 and indicate that all TRPC channels, except TRPC7, function as SOCs.</w:t>
      </w:r>
    </w:p>
    <w:p w14:paraId="7394E1F0" w14:textId="77777777" w:rsidR="009F4DB3" w:rsidRPr="00DF0173" w:rsidRDefault="009F4DB3"/>
    <w:p w14:paraId="64E0B03A" w14:textId="77777777" w:rsidR="00DF0173" w:rsidRDefault="00DF0173">
      <w:pPr>
        <w:rPr>
          <w:rFonts w:ascii="Arial" w:hAnsi="Arial" w:cs="Arial"/>
          <w:b/>
          <w:bCs/>
          <w:color w:val="222222"/>
          <w:sz w:val="21"/>
          <w:szCs w:val="21"/>
          <w:shd w:val="clear" w:color="auto" w:fill="FFFFFF"/>
        </w:rPr>
      </w:pPr>
    </w:p>
    <w:p w14:paraId="3483A705" w14:textId="1BA6B0FE" w:rsidR="00314F94" w:rsidRDefault="00314F94">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Transient receptor potential cation channel, subfamily C, member 2</w:t>
      </w:r>
      <w:r>
        <w:rPr>
          <w:rFonts w:ascii="Arial" w:hAnsi="Arial" w:cs="Arial"/>
          <w:color w:val="222222"/>
          <w:sz w:val="21"/>
          <w:szCs w:val="21"/>
          <w:shd w:val="clear" w:color="auto" w:fill="FFFFFF"/>
        </w:rPr>
        <w:t>, also known as </w:t>
      </w:r>
      <w:r>
        <w:rPr>
          <w:rFonts w:ascii="Arial" w:hAnsi="Arial" w:cs="Arial"/>
          <w:b/>
          <w:bCs/>
          <w:color w:val="222222"/>
          <w:sz w:val="21"/>
          <w:szCs w:val="21"/>
          <w:shd w:val="clear" w:color="auto" w:fill="FFFFFF"/>
        </w:rPr>
        <w:t>TRPC2</w:t>
      </w:r>
      <w:r>
        <w:rPr>
          <w:rFonts w:ascii="Arial" w:hAnsi="Arial" w:cs="Arial"/>
          <w:color w:val="222222"/>
          <w:sz w:val="21"/>
          <w:szCs w:val="21"/>
          <w:shd w:val="clear" w:color="auto" w:fill="FFFFFF"/>
        </w:rPr>
        <w:t>, is a </w:t>
      </w:r>
      <w:hyperlink r:id="rId8" w:tooltip="Protein" w:history="1">
        <w:r>
          <w:rPr>
            <w:rStyle w:val="Hyperlink"/>
            <w:rFonts w:ascii="Arial" w:hAnsi="Arial" w:cs="Arial"/>
            <w:color w:val="0B0080"/>
            <w:sz w:val="21"/>
            <w:szCs w:val="21"/>
            <w:shd w:val="clear" w:color="auto" w:fill="FFFFFF"/>
          </w:rPr>
          <w:t>protein</w:t>
        </w:r>
      </w:hyperlink>
      <w:r>
        <w:rPr>
          <w:rFonts w:ascii="Arial" w:hAnsi="Arial" w:cs="Arial"/>
          <w:color w:val="222222"/>
          <w:sz w:val="21"/>
          <w:szCs w:val="21"/>
          <w:shd w:val="clear" w:color="auto" w:fill="FFFFFF"/>
        </w:rPr>
        <w:t> that in humans is encoded by the </w:t>
      </w:r>
      <w:r>
        <w:rPr>
          <w:rFonts w:ascii="Arial" w:hAnsi="Arial" w:cs="Arial"/>
          <w:i/>
          <w:iCs/>
          <w:color w:val="222222"/>
          <w:sz w:val="21"/>
          <w:szCs w:val="21"/>
          <w:shd w:val="clear" w:color="auto" w:fill="FFFFFF"/>
        </w:rPr>
        <w:t>TRPC2</w:t>
      </w:r>
      <w:hyperlink r:id="rId9" w:tooltip="Pseudogene" w:history="1">
        <w:r>
          <w:rPr>
            <w:rStyle w:val="Hyperlink"/>
            <w:rFonts w:ascii="Arial" w:hAnsi="Arial" w:cs="Arial"/>
            <w:color w:val="0B0080"/>
            <w:sz w:val="21"/>
            <w:szCs w:val="21"/>
            <w:shd w:val="clear" w:color="auto" w:fill="FFFFFF"/>
          </w:rPr>
          <w:t>pseudogene</w:t>
        </w:r>
      </w:hyperlink>
      <w:r>
        <w:rPr>
          <w:rFonts w:ascii="Arial" w:hAnsi="Arial" w:cs="Arial"/>
          <w:color w:val="222222"/>
          <w:sz w:val="21"/>
          <w:szCs w:val="21"/>
          <w:shd w:val="clear" w:color="auto" w:fill="FFFFFF"/>
        </w:rPr>
        <w:t xml:space="preserve">. This protein </w:t>
      </w:r>
      <w:proofErr w:type="gramStart"/>
      <w:r>
        <w:rPr>
          <w:rFonts w:ascii="Arial" w:hAnsi="Arial" w:cs="Arial"/>
          <w:color w:val="222222"/>
          <w:sz w:val="21"/>
          <w:szCs w:val="21"/>
          <w:shd w:val="clear" w:color="auto" w:fill="FFFFFF"/>
        </w:rPr>
        <w:t>is not expressed</w:t>
      </w:r>
      <w:proofErr w:type="gramEnd"/>
      <w:r>
        <w:rPr>
          <w:rFonts w:ascii="Arial" w:hAnsi="Arial" w:cs="Arial"/>
          <w:color w:val="222222"/>
          <w:sz w:val="21"/>
          <w:szCs w:val="21"/>
          <w:shd w:val="clear" w:color="auto" w:fill="FFFFFF"/>
        </w:rPr>
        <w:t xml:space="preserve"> in humans but is in certain other species such as mouse.</w:t>
      </w:r>
    </w:p>
    <w:p w14:paraId="6910E507" w14:textId="482F2F0F" w:rsidR="00835CE8" w:rsidRDefault="00835CE8"/>
    <w:p w14:paraId="552D3368" w14:textId="7B38E737" w:rsidR="00835CE8" w:rsidRDefault="00835CE8">
      <w:pPr>
        <w:rPr>
          <w:rFonts w:ascii="Verdana" w:hAnsi="Verdana"/>
          <w:color w:val="222222"/>
          <w:sz w:val="20"/>
          <w:szCs w:val="20"/>
        </w:rPr>
      </w:pPr>
      <w:r>
        <w:rPr>
          <w:rFonts w:ascii="Verdana" w:hAnsi="Verdana"/>
          <w:color w:val="222222"/>
          <w:sz w:val="20"/>
          <w:szCs w:val="20"/>
        </w:rPr>
        <w:t xml:space="preserve">Thought to form a receptor-activated calcium permeant cation channel. Probably </w:t>
      </w:r>
      <w:proofErr w:type="gramStart"/>
      <w:r>
        <w:rPr>
          <w:rFonts w:ascii="Verdana" w:hAnsi="Verdana"/>
          <w:color w:val="222222"/>
          <w:sz w:val="20"/>
          <w:szCs w:val="20"/>
        </w:rPr>
        <w:t>is operated</w:t>
      </w:r>
      <w:proofErr w:type="gramEnd"/>
      <w:r>
        <w:rPr>
          <w:rFonts w:ascii="Verdana" w:hAnsi="Verdana"/>
          <w:color w:val="222222"/>
          <w:sz w:val="20"/>
          <w:szCs w:val="20"/>
        </w:rPr>
        <w:t xml:space="preserve"> by a phosphatidylinositol second messenger system activated by receptor tyrosine kinases or G-protein coupled receptors. </w:t>
      </w:r>
      <w:proofErr w:type="gramStart"/>
      <w:r>
        <w:rPr>
          <w:rFonts w:ascii="Verdana" w:hAnsi="Verdana"/>
          <w:color w:val="222222"/>
          <w:sz w:val="20"/>
          <w:szCs w:val="20"/>
        </w:rPr>
        <w:t>Is not activated</w:t>
      </w:r>
      <w:proofErr w:type="gramEnd"/>
      <w:r>
        <w:rPr>
          <w:rFonts w:ascii="Verdana" w:hAnsi="Verdana"/>
          <w:color w:val="222222"/>
          <w:sz w:val="20"/>
          <w:szCs w:val="20"/>
        </w:rPr>
        <w:t xml:space="preserve"> by intracellular calcium store depletion.</w:t>
      </w:r>
    </w:p>
    <w:p w14:paraId="510B3073" w14:textId="354E9534" w:rsidR="00835CE8" w:rsidRDefault="00835CE8"/>
    <w:p w14:paraId="22BEB52C" w14:textId="4216B340" w:rsidR="00835CE8" w:rsidRDefault="009F4DB3">
      <w:hyperlink r:id="rId10" w:history="1">
        <w:r w:rsidR="00835CE8" w:rsidRPr="00B04702">
          <w:rPr>
            <w:rStyle w:val="Hyperlink"/>
          </w:rPr>
          <w:t>https://www.ncbi.nlm.nih.gov/gene/7221</w:t>
        </w:r>
      </w:hyperlink>
    </w:p>
    <w:p w14:paraId="010374C1" w14:textId="7187AED7" w:rsidR="00835CE8" w:rsidRDefault="00835C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transient receptor potential cation channel subfamily C member 2 (pseudogene)</w:t>
      </w:r>
    </w:p>
    <w:p w14:paraId="7D4B72A6" w14:textId="15354976" w:rsidR="00835CE8" w:rsidRDefault="00835C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Biased expression in bone marrow (RPKM 1.0), lung (RPKM 0.4) and 11 other tissues </w:t>
      </w:r>
    </w:p>
    <w:p w14:paraId="384FFF9F" w14:textId="77412016" w:rsidR="00835CE8" w:rsidRDefault="009F4DB3">
      <w:hyperlink r:id="rId11" w:history="1">
        <w:r w:rsidR="00835CE8" w:rsidRPr="00B04702">
          <w:rPr>
            <w:rStyle w:val="Hyperlink"/>
          </w:rPr>
          <w:t>https://www.ncbi.nlm.nih.gov/pubmed/17217050</w:t>
        </w:r>
      </w:hyperlink>
    </w:p>
    <w:p w14:paraId="52BFB8EC" w14:textId="2DA0E2DB" w:rsidR="00835CE8" w:rsidRDefault="00835CE8">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TRPC (</w:t>
      </w:r>
      <w:proofErr w:type="gramStart"/>
      <w:r>
        <w:rPr>
          <w:rFonts w:ascii="Arial" w:hAnsi="Arial" w:cs="Arial"/>
          <w:color w:val="000000"/>
          <w:sz w:val="20"/>
          <w:szCs w:val="20"/>
          <w:shd w:val="clear" w:color="auto" w:fill="FFFFFF"/>
        </w:rPr>
        <w:t>canonical</w:t>
      </w:r>
      <w:proofErr w:type="gramEnd"/>
      <w:r>
        <w:rPr>
          <w:rFonts w:ascii="Arial" w:hAnsi="Arial" w:cs="Arial"/>
          <w:color w:val="000000"/>
          <w:sz w:val="20"/>
          <w:szCs w:val="20"/>
          <w:shd w:val="clear" w:color="auto" w:fill="FFFFFF"/>
        </w:rPr>
        <w:t xml:space="preserve"> transient receptor potential) channels are the closest mammalian homologs of Drosophila TRP and TRP-like channels. TRPCs are </w:t>
      </w:r>
      <w:proofErr w:type="gramStart"/>
      <w:r>
        <w:rPr>
          <w:rFonts w:ascii="Arial" w:hAnsi="Arial" w:cs="Arial"/>
          <w:color w:val="000000"/>
          <w:sz w:val="20"/>
          <w:szCs w:val="20"/>
          <w:shd w:val="clear" w:color="auto" w:fill="FFFFFF"/>
        </w:rPr>
        <w:t>rather nonselective</w:t>
      </w:r>
      <w:proofErr w:type="gramEnd"/>
      <w:r>
        <w:rPr>
          <w:rFonts w:ascii="Arial" w:hAnsi="Arial" w:cs="Arial"/>
          <w:color w:val="000000"/>
          <w:sz w:val="20"/>
          <w:szCs w:val="20"/>
          <w:shd w:val="clear" w:color="auto" w:fill="FFFFFF"/>
        </w:rPr>
        <w:t xml:space="preserve"> Ca2+ permeable cation channels and affect cell functions through their ability to mediate Ca2+ entry into cells and their action to collapse the plasma membrane potentials. In neurons the latter function leads to action potentials. The mammalian genome codes for seven TRPCs of which TRPC2 is the largest with the most restricted pattern of expression and has several alternatively spliced variants. Expressed in model cells, TRPC2 mediates both receptor- and store depletion-triggered Ca2+ entry. TRPC2 is unique among TRPCs in that its complete gene has been lost from the </w:t>
      </w:r>
      <w:proofErr w:type="gramStart"/>
      <w:r>
        <w:rPr>
          <w:rFonts w:ascii="Arial" w:hAnsi="Arial" w:cs="Arial"/>
          <w:color w:val="000000"/>
          <w:sz w:val="20"/>
          <w:szCs w:val="20"/>
          <w:shd w:val="clear" w:color="auto" w:fill="FFFFFF"/>
        </w:rPr>
        <w:t>Old World</w:t>
      </w:r>
      <w:proofErr w:type="gramEnd"/>
      <w:r>
        <w:rPr>
          <w:rFonts w:ascii="Arial" w:hAnsi="Arial" w:cs="Arial"/>
          <w:color w:val="000000"/>
          <w:sz w:val="20"/>
          <w:szCs w:val="20"/>
          <w:shd w:val="clear" w:color="auto" w:fill="FFFFFF"/>
        </w:rPr>
        <w:t xml:space="preserve"> monkey and human genomes, in which its remnants constitute a pseudogene. Physiological roles for TRPC2 have </w:t>
      </w:r>
      <w:proofErr w:type="gramStart"/>
      <w:r>
        <w:rPr>
          <w:rFonts w:ascii="Arial" w:hAnsi="Arial" w:cs="Arial"/>
          <w:color w:val="000000"/>
          <w:sz w:val="20"/>
          <w:szCs w:val="20"/>
          <w:shd w:val="clear" w:color="auto" w:fill="FFFFFF"/>
        </w:rPr>
        <w:t>been studied</w:t>
      </w:r>
      <w:proofErr w:type="gramEnd"/>
      <w:r>
        <w:rPr>
          <w:rFonts w:ascii="Arial" w:hAnsi="Arial" w:cs="Arial"/>
          <w:color w:val="000000"/>
          <w:sz w:val="20"/>
          <w:szCs w:val="20"/>
          <w:shd w:val="clear" w:color="auto" w:fill="FFFFFF"/>
        </w:rPr>
        <w:t xml:space="preserve"> in mature sperm and the vomeronasal sensory system. In sperm, TRPC2 </w:t>
      </w:r>
      <w:proofErr w:type="gramStart"/>
      <w:r>
        <w:rPr>
          <w:rFonts w:ascii="Arial" w:hAnsi="Arial" w:cs="Arial"/>
          <w:color w:val="000000"/>
          <w:sz w:val="20"/>
          <w:szCs w:val="20"/>
          <w:shd w:val="clear" w:color="auto" w:fill="FFFFFF"/>
        </w:rPr>
        <w:t>is activated</w:t>
      </w:r>
      <w:proofErr w:type="gramEnd"/>
      <w:r>
        <w:rPr>
          <w:rFonts w:ascii="Arial" w:hAnsi="Arial" w:cs="Arial"/>
          <w:color w:val="000000"/>
          <w:sz w:val="20"/>
          <w:szCs w:val="20"/>
          <w:shd w:val="clear" w:color="auto" w:fill="FFFFFF"/>
        </w:rPr>
        <w:t xml:space="preserve"> by the sperm's interaction with the oocyte's zona pellucida, leading to entry of Ca2+ and activation of the acrosome reaction. In the vomeronasal sensory organ (VNO), TRPC2 </w:t>
      </w:r>
      <w:proofErr w:type="gramStart"/>
      <w:r>
        <w:rPr>
          <w:rFonts w:ascii="Arial" w:hAnsi="Arial" w:cs="Arial"/>
          <w:color w:val="000000"/>
          <w:sz w:val="20"/>
          <w:szCs w:val="20"/>
          <w:shd w:val="clear" w:color="auto" w:fill="FFFFFF"/>
        </w:rPr>
        <w:t>was found</w:t>
      </w:r>
      <w:proofErr w:type="gramEnd"/>
      <w:r>
        <w:rPr>
          <w:rFonts w:ascii="Arial" w:hAnsi="Arial" w:cs="Arial"/>
          <w:color w:val="000000"/>
          <w:sz w:val="20"/>
          <w:szCs w:val="20"/>
          <w:shd w:val="clear" w:color="auto" w:fill="FFFFFF"/>
        </w:rPr>
        <w:t xml:space="preserve"> to constitute the transduction channel activated through signaling cascade initiated by the interaction of pheromones with V1R and V2R G protein-coupled receptors on the dendrites of the sensory neurons. V1Rs and V2Rs, the latter working in conjunction with class I MHC molecules, activate G(</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and G(o)-type G proteins which in turn trigger activation of TRPC2, initiating an axon potential that travels to the axonal terminals. The signal </w:t>
      </w:r>
      <w:proofErr w:type="gramStart"/>
      <w:r>
        <w:rPr>
          <w:rFonts w:ascii="Arial" w:hAnsi="Arial" w:cs="Arial"/>
          <w:color w:val="000000"/>
          <w:sz w:val="20"/>
          <w:szCs w:val="20"/>
          <w:shd w:val="clear" w:color="auto" w:fill="FFFFFF"/>
        </w:rPr>
        <w:t>is then projected</w:t>
      </w:r>
      <w:proofErr w:type="gramEnd"/>
      <w:r>
        <w:rPr>
          <w:rFonts w:ascii="Arial" w:hAnsi="Arial" w:cs="Arial"/>
          <w:color w:val="000000"/>
          <w:sz w:val="20"/>
          <w:szCs w:val="20"/>
          <w:shd w:val="clear" w:color="auto" w:fill="FFFFFF"/>
        </w:rPr>
        <w:t xml:space="preserve"> to the glomeruli of the auxiliary olfactory bulb from where it is carried first to the amygdala and then to higher cortical cognition centers. Immunocytochemistry and gene deletion studies have shown that (1) the V2R-G(o)-MHCIb-beta2m pathway mediates male aggressive behavior in response to pheromones; (2) the V1R-G(i2) pathway mediates mating partner recognition, and (3) these differences have an anatomical correlate in that these functional components are located in anatomically distinct compartments of the VNO. Interestingly, these anatomically segregated signaling pathways use a common transduction channel, TRPC2.</w:t>
      </w:r>
    </w:p>
    <w:p w14:paraId="102BC34E" w14:textId="79F02F58" w:rsidR="00835CE8" w:rsidRDefault="00835CE8">
      <w:pPr>
        <w:rPr>
          <w:rFonts w:ascii="Arial" w:hAnsi="Arial" w:cs="Arial"/>
          <w:color w:val="000000"/>
          <w:sz w:val="20"/>
          <w:szCs w:val="20"/>
          <w:shd w:val="clear" w:color="auto" w:fill="FFFFFF"/>
        </w:rPr>
      </w:pPr>
    </w:p>
    <w:p w14:paraId="0E554306" w14:textId="738A53AE" w:rsidR="00835CE8" w:rsidRDefault="009F4DB3">
      <w:pPr>
        <w:rPr>
          <w:rFonts w:ascii="Arial" w:hAnsi="Arial" w:cs="Arial"/>
          <w:color w:val="000000"/>
          <w:sz w:val="20"/>
          <w:szCs w:val="20"/>
          <w:shd w:val="clear" w:color="auto" w:fill="FFFFFF"/>
        </w:rPr>
      </w:pPr>
      <w:hyperlink r:id="rId12" w:history="1">
        <w:r w:rsidR="00835CE8" w:rsidRPr="00B04702">
          <w:rPr>
            <w:rStyle w:val="Hyperlink"/>
            <w:rFonts w:ascii="Arial" w:hAnsi="Arial" w:cs="Arial"/>
            <w:sz w:val="20"/>
            <w:szCs w:val="20"/>
            <w:shd w:val="clear" w:color="auto" w:fill="FFFFFF"/>
          </w:rPr>
          <w:t>https://www.ncbi.nlm.nih.gov/pubmed/17517433</w:t>
        </w:r>
      </w:hyperlink>
    </w:p>
    <w:p w14:paraId="095BC64C" w14:textId="3DD7E4B9" w:rsidR="00835CE8" w:rsidRDefault="00835C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Receptor-activated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is mediated largely by store-operated channels (SOCs). TRPC channels mediate a significant portion of the receptor-activated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However, whether any of the TRPC channels function as a SOC remains controversial. Our understanding of the regulation of TRPC channels and their function as SOCs is being reshaped with the discovery of the role of STIM1 in the regulation of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channels. The findings that STIM1 is an ER resident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binding protein that regulates SOCs allow an expanded and molecular definition of SOCs. SOCs can be considered as channels that are regulated by STIM1 and require the clustering of STIM1 in response to depletion of the ER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2+) stores and its translocation towards the plasma membrane. TRPC1 and other TRPC channels fulfill these criteria. STIM1 binds to TRPC1, TRPC2, TRPC4 and TRPC5 but not to TRPC3, TRPC6 and TRPC7, and STIM1 regulates TRPC1 channel activity. Structure-function analysis reveals that the C-terminus of STIM1 contains the binding and gating function of STIM1. The ERM domain of STIM1 binds to TRPC channels and a lysine-rich region participates in the gating of SOCs and TRPC1. Knock-down of STIM1 by siRNA and prevention of its translocation to the plasma membrane inhibit the activity of native SOCs and TRPC1. These findings support the conclusion that TRPC1 is a SOC. Similar studies with other TRPC channels demonstrate their regulation by STIM1 and indicate that all TRPC channels, except TRPC7, function as SOCs.</w:t>
      </w:r>
    </w:p>
    <w:p w14:paraId="0E7E19EF" w14:textId="77777777" w:rsidR="00835CE8" w:rsidRDefault="00835CE8" w:rsidP="00835C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Pseudogenes</w:t>
      </w:r>
      <w:r>
        <w:rPr>
          <w:rFonts w:ascii="Arial" w:hAnsi="Arial" w:cs="Arial"/>
          <w:color w:val="222222"/>
          <w:sz w:val="21"/>
          <w:szCs w:val="21"/>
        </w:rPr>
        <w:t> are segments of DNA that are related to real </w:t>
      </w:r>
      <w:hyperlink r:id="rId13" w:tooltip="Gene" w:history="1">
        <w:r>
          <w:rPr>
            <w:rStyle w:val="Hyperlink"/>
            <w:rFonts w:ascii="Arial" w:hAnsi="Arial" w:cs="Arial"/>
            <w:color w:val="0B0080"/>
            <w:sz w:val="21"/>
            <w:szCs w:val="21"/>
          </w:rPr>
          <w:t>genes</w:t>
        </w:r>
      </w:hyperlink>
      <w:r>
        <w:rPr>
          <w:rFonts w:ascii="Arial" w:hAnsi="Arial" w:cs="Arial"/>
          <w:color w:val="222222"/>
          <w:sz w:val="21"/>
          <w:szCs w:val="21"/>
        </w:rPr>
        <w:t>. Pseudogenes have lost at least some functionality, relative to the complete gene, in </w:t>
      </w:r>
      <w:hyperlink r:id="rId14" w:tooltip="Cell (biology)" w:history="1">
        <w:r>
          <w:rPr>
            <w:rStyle w:val="Hyperlink"/>
            <w:rFonts w:ascii="Arial" w:hAnsi="Arial" w:cs="Arial"/>
            <w:color w:val="0B0080"/>
            <w:sz w:val="21"/>
            <w:szCs w:val="21"/>
          </w:rPr>
          <w:t>cellular</w:t>
        </w:r>
      </w:hyperlink>
      <w:r>
        <w:rPr>
          <w:rFonts w:ascii="Arial" w:hAnsi="Arial" w:cs="Arial"/>
          <w:color w:val="222222"/>
          <w:sz w:val="21"/>
          <w:szCs w:val="21"/>
        </w:rPr>
        <w:t> </w:t>
      </w:r>
      <w:hyperlink r:id="rId15" w:tooltip="Gene expression" w:history="1">
        <w:r>
          <w:rPr>
            <w:rStyle w:val="Hyperlink"/>
            <w:rFonts w:ascii="Arial" w:hAnsi="Arial" w:cs="Arial"/>
            <w:color w:val="0B0080"/>
            <w:sz w:val="21"/>
            <w:szCs w:val="21"/>
          </w:rPr>
          <w:t>gene expression</w:t>
        </w:r>
      </w:hyperlink>
      <w:r>
        <w:rPr>
          <w:rFonts w:ascii="Arial" w:hAnsi="Arial" w:cs="Arial"/>
          <w:color w:val="222222"/>
          <w:sz w:val="21"/>
          <w:szCs w:val="21"/>
        </w:rPr>
        <w:t> or </w:t>
      </w:r>
      <w:hyperlink r:id="rId16" w:tooltip="Protein" w:history="1">
        <w:r>
          <w:rPr>
            <w:rStyle w:val="Hyperlink"/>
            <w:rFonts w:ascii="Arial" w:hAnsi="Arial" w:cs="Arial"/>
            <w:color w:val="0B0080"/>
            <w:sz w:val="21"/>
            <w:szCs w:val="21"/>
          </w:rPr>
          <w:t>protein</w:t>
        </w:r>
      </w:hyperlink>
      <w:r>
        <w:rPr>
          <w:rFonts w:ascii="Arial" w:hAnsi="Arial" w:cs="Arial"/>
          <w:color w:val="222222"/>
          <w:sz w:val="21"/>
          <w:szCs w:val="21"/>
        </w:rPr>
        <w:t>-coding ability.</w:t>
      </w:r>
      <w:hyperlink r:id="rId17" w:anchor="cite_note-Biomed10.1186-3" w:history="1">
        <w:r>
          <w:rPr>
            <w:rStyle w:val="Hyperlink"/>
            <w:rFonts w:ascii="Arial" w:hAnsi="Arial" w:cs="Arial"/>
            <w:color w:val="0B0080"/>
            <w:sz w:val="17"/>
            <w:szCs w:val="17"/>
            <w:vertAlign w:val="superscript"/>
          </w:rPr>
          <w:t>[3]</w:t>
        </w:r>
      </w:hyperlink>
      <w:r>
        <w:rPr>
          <w:rFonts w:ascii="Arial" w:hAnsi="Arial" w:cs="Arial"/>
          <w:color w:val="222222"/>
          <w:sz w:val="21"/>
          <w:szCs w:val="21"/>
        </w:rPr>
        <w:t>Pseudogenes often result from the accumulation of multiple </w:t>
      </w:r>
      <w:hyperlink r:id="rId18" w:tooltip="Mutation" w:history="1">
        <w:r>
          <w:rPr>
            <w:rStyle w:val="Hyperlink"/>
            <w:rFonts w:ascii="Arial" w:hAnsi="Arial" w:cs="Arial"/>
            <w:color w:val="0B0080"/>
            <w:sz w:val="21"/>
            <w:szCs w:val="21"/>
          </w:rPr>
          <w:t>mutations</w:t>
        </w:r>
      </w:hyperlink>
      <w:r>
        <w:rPr>
          <w:rFonts w:ascii="Arial" w:hAnsi="Arial" w:cs="Arial"/>
          <w:color w:val="222222"/>
          <w:sz w:val="21"/>
          <w:szCs w:val="21"/>
        </w:rPr>
        <w:t> within a gene whose product is not required for the survival of the organism, but can also be caused by genomic </w:t>
      </w:r>
      <w:hyperlink r:id="rId19" w:tooltip="Copy-number variation" w:history="1">
        <w:r>
          <w:rPr>
            <w:rStyle w:val="Hyperlink"/>
            <w:rFonts w:ascii="Arial" w:hAnsi="Arial" w:cs="Arial"/>
            <w:color w:val="0B0080"/>
            <w:sz w:val="21"/>
            <w:szCs w:val="21"/>
          </w:rPr>
          <w:t>copy number variation (CNV)</w:t>
        </w:r>
      </w:hyperlink>
      <w:r>
        <w:rPr>
          <w:rFonts w:ascii="Arial" w:hAnsi="Arial" w:cs="Arial"/>
          <w:color w:val="222222"/>
          <w:sz w:val="21"/>
          <w:szCs w:val="21"/>
        </w:rPr>
        <w:t> where segments of 1+ kb are duplicated or deleted.</w:t>
      </w:r>
      <w:hyperlink r:id="rId20"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Although not </w:t>
      </w:r>
      <w:r>
        <w:rPr>
          <w:rFonts w:ascii="Arial" w:hAnsi="Arial" w:cs="Arial"/>
          <w:i/>
          <w:iCs/>
          <w:color w:val="222222"/>
          <w:sz w:val="21"/>
          <w:szCs w:val="21"/>
        </w:rPr>
        <w:t>fully</w:t>
      </w:r>
      <w:r>
        <w:rPr>
          <w:rFonts w:ascii="Arial" w:hAnsi="Arial" w:cs="Arial"/>
          <w:color w:val="222222"/>
          <w:sz w:val="21"/>
          <w:szCs w:val="21"/>
        </w:rPr>
        <w:t> functional, pseudogenes may be functional, similar to other kinds of </w:t>
      </w:r>
      <w:hyperlink r:id="rId21" w:tooltip="Noncoding DNA" w:history="1">
        <w:r>
          <w:rPr>
            <w:rStyle w:val="Hyperlink"/>
            <w:rFonts w:ascii="Arial" w:hAnsi="Arial" w:cs="Arial"/>
            <w:color w:val="0B0080"/>
            <w:sz w:val="21"/>
            <w:szCs w:val="21"/>
          </w:rPr>
          <w:t>noncoding DNA</w:t>
        </w:r>
      </w:hyperlink>
      <w:r>
        <w:rPr>
          <w:rFonts w:ascii="Arial" w:hAnsi="Arial" w:cs="Arial"/>
          <w:color w:val="222222"/>
          <w:sz w:val="21"/>
          <w:szCs w:val="21"/>
        </w:rPr>
        <w:t>, which can perform </w:t>
      </w:r>
      <w:hyperlink r:id="rId22" w:tooltip="Regulation of gene expression" w:history="1">
        <w:r>
          <w:rPr>
            <w:rStyle w:val="Hyperlink"/>
            <w:rFonts w:ascii="Arial" w:hAnsi="Arial" w:cs="Arial"/>
            <w:color w:val="0B0080"/>
            <w:sz w:val="21"/>
            <w:szCs w:val="21"/>
          </w:rPr>
          <w:t>regulatory functions</w:t>
        </w:r>
      </w:hyperlink>
      <w:r>
        <w:rPr>
          <w:rFonts w:ascii="Arial" w:hAnsi="Arial" w:cs="Arial"/>
          <w:color w:val="222222"/>
          <w:sz w:val="21"/>
          <w:szCs w:val="21"/>
        </w:rPr>
        <w:t xml:space="preserve">. The "pseudo" in "pseudogene" implies a variation in sequence relative to the parent coding </w:t>
      </w:r>
      <w:proofErr w:type="gramStart"/>
      <w:r>
        <w:rPr>
          <w:rFonts w:ascii="Arial" w:hAnsi="Arial" w:cs="Arial"/>
          <w:color w:val="222222"/>
          <w:sz w:val="21"/>
          <w:szCs w:val="21"/>
        </w:rPr>
        <w:t>gene, but</w:t>
      </w:r>
      <w:proofErr w:type="gramEnd"/>
      <w:r>
        <w:rPr>
          <w:rFonts w:ascii="Arial" w:hAnsi="Arial" w:cs="Arial"/>
          <w:color w:val="222222"/>
          <w:sz w:val="21"/>
          <w:szCs w:val="21"/>
        </w:rPr>
        <w:t xml:space="preserve"> does not necessarily indicate pseudo-function. Despite being </w:t>
      </w:r>
      <w:r>
        <w:rPr>
          <w:rFonts w:ascii="Arial" w:hAnsi="Arial" w:cs="Arial"/>
          <w:color w:val="222222"/>
          <w:sz w:val="21"/>
          <w:szCs w:val="21"/>
        </w:rPr>
        <w:lastRenderedPageBreak/>
        <w:t>non-coding, many pseudogenes have important roles in normal physiology and abnormal pathology.</w:t>
      </w:r>
      <w:hyperlink r:id="rId23" w:anchor="cite_note-pmid25391452-5" w:history="1">
        <w:r>
          <w:rPr>
            <w:rStyle w:val="Hyperlink"/>
            <w:rFonts w:ascii="Arial" w:hAnsi="Arial" w:cs="Arial"/>
            <w:color w:val="0B0080"/>
            <w:sz w:val="17"/>
            <w:szCs w:val="17"/>
            <w:vertAlign w:val="superscript"/>
          </w:rPr>
          <w:t>[5]</w:t>
        </w:r>
      </w:hyperlink>
    </w:p>
    <w:p w14:paraId="16B58D2A" w14:textId="77777777" w:rsidR="00835CE8" w:rsidRDefault="00835CE8" w:rsidP="00835C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some pseudogenes do not have </w:t>
      </w:r>
      <w:hyperlink r:id="rId24" w:tooltip="Intron" w:history="1">
        <w:r>
          <w:rPr>
            <w:rStyle w:val="Hyperlink"/>
            <w:rFonts w:ascii="Arial" w:hAnsi="Arial" w:cs="Arial"/>
            <w:color w:val="0B0080"/>
            <w:sz w:val="21"/>
            <w:szCs w:val="21"/>
          </w:rPr>
          <w:t>introns</w:t>
        </w:r>
      </w:hyperlink>
      <w:r>
        <w:rPr>
          <w:rFonts w:ascii="Arial" w:hAnsi="Arial" w:cs="Arial"/>
          <w:color w:val="222222"/>
          <w:sz w:val="21"/>
          <w:szCs w:val="21"/>
        </w:rPr>
        <w:t> or </w:t>
      </w:r>
      <w:hyperlink r:id="rId25" w:tooltip="Promoter (genetics)" w:history="1">
        <w:r>
          <w:rPr>
            <w:rStyle w:val="Hyperlink"/>
            <w:rFonts w:ascii="Arial" w:hAnsi="Arial" w:cs="Arial"/>
            <w:color w:val="0B0080"/>
            <w:sz w:val="21"/>
            <w:szCs w:val="21"/>
          </w:rPr>
          <w:t>promoters</w:t>
        </w:r>
      </w:hyperlink>
      <w:r>
        <w:rPr>
          <w:rFonts w:ascii="Arial" w:hAnsi="Arial" w:cs="Arial"/>
          <w:color w:val="222222"/>
          <w:sz w:val="21"/>
          <w:szCs w:val="21"/>
        </w:rPr>
        <w:t> (such pseudogenes are copied from </w:t>
      </w:r>
      <w:hyperlink r:id="rId26" w:tooltip="Messenger RNA" w:history="1">
        <w:r>
          <w:rPr>
            <w:rStyle w:val="Hyperlink"/>
            <w:rFonts w:ascii="Arial" w:hAnsi="Arial" w:cs="Arial"/>
            <w:color w:val="0B0080"/>
            <w:sz w:val="21"/>
            <w:szCs w:val="21"/>
          </w:rPr>
          <w:t>messenger RNA</w:t>
        </w:r>
      </w:hyperlink>
      <w:r>
        <w:rPr>
          <w:rFonts w:ascii="Arial" w:hAnsi="Arial" w:cs="Arial"/>
          <w:color w:val="222222"/>
          <w:sz w:val="21"/>
          <w:szCs w:val="21"/>
        </w:rPr>
        <w:t> and incorporated into the </w:t>
      </w:r>
      <w:hyperlink r:id="rId27" w:tooltip="Chromosome" w:history="1">
        <w:r>
          <w:rPr>
            <w:rStyle w:val="Hyperlink"/>
            <w:rFonts w:ascii="Arial" w:hAnsi="Arial" w:cs="Arial"/>
            <w:color w:val="0B0080"/>
            <w:sz w:val="21"/>
            <w:szCs w:val="21"/>
          </w:rPr>
          <w:t>chromosome</w:t>
        </w:r>
      </w:hyperlink>
      <w:r>
        <w:rPr>
          <w:rFonts w:ascii="Arial" w:hAnsi="Arial" w:cs="Arial"/>
          <w:color w:val="222222"/>
          <w:sz w:val="21"/>
          <w:szCs w:val="21"/>
        </w:rPr>
        <w:t>, and are called "processed pseudogenes"),</w:t>
      </w:r>
      <w:hyperlink r:id="rId28" w:anchor="cite_note-6" w:history="1">
        <w:r>
          <w:rPr>
            <w:rStyle w:val="Hyperlink"/>
            <w:rFonts w:ascii="Arial" w:hAnsi="Arial" w:cs="Arial"/>
            <w:color w:val="0B0080"/>
            <w:sz w:val="17"/>
            <w:szCs w:val="17"/>
            <w:vertAlign w:val="superscript"/>
          </w:rPr>
          <w:t>[6]</w:t>
        </w:r>
      </w:hyperlink>
      <w:r>
        <w:rPr>
          <w:rFonts w:ascii="Arial" w:hAnsi="Arial" w:cs="Arial"/>
          <w:color w:val="222222"/>
          <w:sz w:val="21"/>
          <w:szCs w:val="21"/>
        </w:rPr>
        <w:t> others have some gene-like features such as promoters, </w:t>
      </w:r>
      <w:hyperlink r:id="rId29" w:tooltip="CpG island" w:history="1">
        <w:r>
          <w:rPr>
            <w:rStyle w:val="Hyperlink"/>
            <w:rFonts w:ascii="Arial" w:hAnsi="Arial" w:cs="Arial"/>
            <w:color w:val="0B0080"/>
            <w:sz w:val="21"/>
            <w:szCs w:val="21"/>
          </w:rPr>
          <w:t>CpG islands</w:t>
        </w:r>
      </w:hyperlink>
      <w:r>
        <w:rPr>
          <w:rFonts w:ascii="Arial" w:hAnsi="Arial" w:cs="Arial"/>
          <w:color w:val="222222"/>
          <w:sz w:val="21"/>
          <w:szCs w:val="21"/>
        </w:rPr>
        <w:t>, and </w:t>
      </w:r>
      <w:hyperlink r:id="rId30" w:tooltip="RNA splicing" w:history="1">
        <w:r>
          <w:rPr>
            <w:rStyle w:val="Hyperlink"/>
            <w:rFonts w:ascii="Arial" w:hAnsi="Arial" w:cs="Arial"/>
            <w:color w:val="0B0080"/>
            <w:sz w:val="21"/>
            <w:szCs w:val="21"/>
          </w:rPr>
          <w:t>splice sites</w:t>
        </w:r>
      </w:hyperlink>
      <w:r>
        <w:rPr>
          <w:rFonts w:ascii="Arial" w:hAnsi="Arial" w:cs="Arial"/>
          <w:color w:val="222222"/>
          <w:sz w:val="21"/>
          <w:szCs w:val="21"/>
        </w:rPr>
        <w:t>. They are different from normal genes due to either a lack of protein-coding ability resulting from a variety of disabling mutations (e.g. premature </w:t>
      </w:r>
      <w:hyperlink r:id="rId31" w:tooltip="Stop codon" w:history="1">
        <w:r>
          <w:rPr>
            <w:rStyle w:val="Hyperlink"/>
            <w:rFonts w:ascii="Arial" w:hAnsi="Arial" w:cs="Arial"/>
            <w:color w:val="0B0080"/>
            <w:sz w:val="21"/>
            <w:szCs w:val="21"/>
          </w:rPr>
          <w:t>stop codons</w:t>
        </w:r>
      </w:hyperlink>
      <w:r>
        <w:rPr>
          <w:rFonts w:ascii="Arial" w:hAnsi="Arial" w:cs="Arial"/>
          <w:color w:val="222222"/>
          <w:sz w:val="21"/>
          <w:szCs w:val="21"/>
        </w:rPr>
        <w:t> or </w:t>
      </w:r>
      <w:hyperlink r:id="rId32" w:tooltip="Frameshift" w:history="1">
        <w:r>
          <w:rPr>
            <w:rStyle w:val="Hyperlink"/>
            <w:rFonts w:ascii="Arial" w:hAnsi="Arial" w:cs="Arial"/>
            <w:color w:val="0B0080"/>
            <w:sz w:val="21"/>
            <w:szCs w:val="21"/>
          </w:rPr>
          <w:t>frameshifts</w:t>
        </w:r>
      </w:hyperlink>
      <w:r>
        <w:rPr>
          <w:rFonts w:ascii="Arial" w:hAnsi="Arial" w:cs="Arial"/>
          <w:color w:val="222222"/>
          <w:sz w:val="21"/>
          <w:szCs w:val="21"/>
        </w:rPr>
        <w:t>), a lack of </w:t>
      </w:r>
      <w:hyperlink r:id="rId33" w:tooltip="Transcription (genetics)" w:history="1">
        <w:r>
          <w:rPr>
            <w:rStyle w:val="Hyperlink"/>
            <w:rFonts w:ascii="Arial" w:hAnsi="Arial" w:cs="Arial"/>
            <w:color w:val="0B0080"/>
            <w:sz w:val="21"/>
            <w:szCs w:val="21"/>
          </w:rPr>
          <w:t>transcription</w:t>
        </w:r>
      </w:hyperlink>
      <w:r>
        <w:rPr>
          <w:rFonts w:ascii="Arial" w:hAnsi="Arial" w:cs="Arial"/>
          <w:color w:val="222222"/>
          <w:sz w:val="21"/>
          <w:szCs w:val="21"/>
        </w:rPr>
        <w:t>, or their inability to encode RNA (such as with </w:t>
      </w:r>
      <w:hyperlink r:id="rId34" w:tooltip="Ribosomal RNA" w:history="1">
        <w:r>
          <w:rPr>
            <w:rStyle w:val="Hyperlink"/>
            <w:rFonts w:ascii="Arial" w:hAnsi="Arial" w:cs="Arial"/>
            <w:color w:val="0B0080"/>
            <w:sz w:val="21"/>
            <w:szCs w:val="21"/>
          </w:rPr>
          <w:t>ribosomal RNA</w:t>
        </w:r>
      </w:hyperlink>
      <w:r>
        <w:rPr>
          <w:rFonts w:ascii="Arial" w:hAnsi="Arial" w:cs="Arial"/>
          <w:color w:val="222222"/>
          <w:sz w:val="21"/>
          <w:szCs w:val="21"/>
        </w:rPr>
        <w:t> pseudogenes). The term "pseudogene" was coined in 1977 by Jacq </w:t>
      </w:r>
      <w:r>
        <w:rPr>
          <w:rFonts w:ascii="Arial" w:hAnsi="Arial" w:cs="Arial"/>
          <w:i/>
          <w:iCs/>
          <w:color w:val="222222"/>
          <w:sz w:val="21"/>
          <w:szCs w:val="21"/>
        </w:rPr>
        <w:t>et al.</w:t>
      </w:r>
      <w:hyperlink r:id="rId35" w:anchor="cite_note-pmid561661-7" w:history="1">
        <w:r>
          <w:rPr>
            <w:rStyle w:val="Hyperlink"/>
            <w:rFonts w:ascii="Arial" w:hAnsi="Arial" w:cs="Arial"/>
            <w:color w:val="0B0080"/>
            <w:sz w:val="17"/>
            <w:szCs w:val="17"/>
            <w:vertAlign w:val="superscript"/>
          </w:rPr>
          <w:t>[7]</w:t>
        </w:r>
      </w:hyperlink>
    </w:p>
    <w:p w14:paraId="4DF54598" w14:textId="671F6D82" w:rsidR="00835CE8" w:rsidRDefault="00835CE8" w:rsidP="00835C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Because pseudogenes were initially thought of as the last stop for genomic material that could be removed from the genome,</w:t>
      </w:r>
      <w:hyperlink r:id="rId36" w:anchor="cite_note-Zheng-8" w:history="1">
        <w:r>
          <w:rPr>
            <w:rStyle w:val="Hyperlink"/>
            <w:rFonts w:ascii="Arial" w:hAnsi="Arial" w:cs="Arial"/>
            <w:color w:val="0B0080"/>
            <w:sz w:val="17"/>
            <w:szCs w:val="17"/>
            <w:vertAlign w:val="superscript"/>
          </w:rPr>
          <w:t>[8]</w:t>
        </w:r>
      </w:hyperlink>
      <w:r>
        <w:rPr>
          <w:rFonts w:ascii="Arial" w:hAnsi="Arial" w:cs="Arial"/>
          <w:color w:val="222222"/>
          <w:sz w:val="21"/>
          <w:szCs w:val="21"/>
        </w:rPr>
        <w:t> they were often labeled as </w:t>
      </w:r>
      <w:hyperlink r:id="rId37" w:tooltip="Junk DNA" w:history="1">
        <w:r>
          <w:rPr>
            <w:rStyle w:val="Hyperlink"/>
            <w:rFonts w:ascii="Arial" w:hAnsi="Arial" w:cs="Arial"/>
            <w:color w:val="0B0080"/>
            <w:sz w:val="21"/>
            <w:szCs w:val="21"/>
          </w:rPr>
          <w:t>junk DNA</w:t>
        </w:r>
      </w:hyperlink>
      <w:r>
        <w:rPr>
          <w:rFonts w:ascii="Arial" w:hAnsi="Arial" w:cs="Arial"/>
          <w:color w:val="222222"/>
          <w:sz w:val="21"/>
          <w:szCs w:val="21"/>
        </w:rPr>
        <w:t>. Nonetheless, pseudogenes contain biological and </w:t>
      </w:r>
      <w:hyperlink r:id="rId38" w:tooltip="Evolution" w:history="1">
        <w:r>
          <w:rPr>
            <w:rStyle w:val="Hyperlink"/>
            <w:rFonts w:ascii="Arial" w:hAnsi="Arial" w:cs="Arial"/>
            <w:color w:val="0B0080"/>
            <w:sz w:val="21"/>
            <w:szCs w:val="21"/>
          </w:rPr>
          <w:t>evolutionary</w:t>
        </w:r>
      </w:hyperlink>
      <w:r>
        <w:rPr>
          <w:rFonts w:ascii="Arial" w:hAnsi="Arial" w:cs="Arial"/>
          <w:color w:val="222222"/>
          <w:sz w:val="21"/>
          <w:szCs w:val="21"/>
        </w:rPr>
        <w:t> histories within their sequences. This is due to a pseudogene's shared ancestry with a functional gene: in the same way that </w:t>
      </w:r>
      <w:hyperlink r:id="rId39" w:tooltip="Charles Darwin" w:history="1">
        <w:r>
          <w:rPr>
            <w:rStyle w:val="Hyperlink"/>
            <w:rFonts w:ascii="Arial" w:hAnsi="Arial" w:cs="Arial"/>
            <w:color w:val="0B0080"/>
            <w:sz w:val="21"/>
            <w:szCs w:val="21"/>
          </w:rPr>
          <w:t>Darwin</w:t>
        </w:r>
      </w:hyperlink>
      <w:r>
        <w:rPr>
          <w:rFonts w:ascii="Arial" w:hAnsi="Arial" w:cs="Arial"/>
          <w:color w:val="222222"/>
          <w:sz w:val="21"/>
          <w:szCs w:val="21"/>
        </w:rPr>
        <w:t> thought of two species as possibly having a shared </w:t>
      </w:r>
      <w:hyperlink r:id="rId40" w:tooltip="Common descent" w:history="1">
        <w:r>
          <w:rPr>
            <w:rStyle w:val="Hyperlink"/>
            <w:rFonts w:ascii="Arial" w:hAnsi="Arial" w:cs="Arial"/>
            <w:color w:val="0B0080"/>
            <w:sz w:val="21"/>
            <w:szCs w:val="21"/>
          </w:rPr>
          <w:t xml:space="preserve">common </w:t>
        </w:r>
        <w:proofErr w:type="spellStart"/>
        <w:r>
          <w:rPr>
            <w:rStyle w:val="Hyperlink"/>
            <w:rFonts w:ascii="Arial" w:hAnsi="Arial" w:cs="Arial"/>
            <w:color w:val="0B0080"/>
            <w:sz w:val="21"/>
            <w:szCs w:val="21"/>
          </w:rPr>
          <w:t>ancestry</w:t>
        </w:r>
      </w:hyperlink>
      <w:r>
        <w:rPr>
          <w:rFonts w:ascii="Arial" w:hAnsi="Arial" w:cs="Arial"/>
          <w:color w:val="222222"/>
          <w:sz w:val="21"/>
          <w:szCs w:val="21"/>
        </w:rPr>
        <w:t>followed</w:t>
      </w:r>
      <w:proofErr w:type="spellEnd"/>
      <w:r>
        <w:rPr>
          <w:rFonts w:ascii="Arial" w:hAnsi="Arial" w:cs="Arial"/>
          <w:color w:val="222222"/>
          <w:sz w:val="21"/>
          <w:szCs w:val="21"/>
        </w:rPr>
        <w:t xml:space="preserve"> by </w:t>
      </w:r>
      <w:hyperlink r:id="rId41" w:tooltip="Speciation" w:history="1">
        <w:r>
          <w:rPr>
            <w:rStyle w:val="Hyperlink"/>
            <w:rFonts w:ascii="Arial" w:hAnsi="Arial" w:cs="Arial"/>
            <w:color w:val="0B0080"/>
            <w:sz w:val="21"/>
            <w:szCs w:val="21"/>
          </w:rPr>
          <w:t>millions of years of evolutionary divergence</w:t>
        </w:r>
      </w:hyperlink>
      <w:r>
        <w:rPr>
          <w:rFonts w:ascii="Arial" w:hAnsi="Arial" w:cs="Arial"/>
          <w:color w:val="222222"/>
          <w:sz w:val="21"/>
          <w:szCs w:val="21"/>
        </w:rPr>
        <w:t>, a pseudogene and its associated functional gene also share a common ancestor and have diverged as separate genetic entities over millions of years.</w:t>
      </w:r>
    </w:p>
    <w:p w14:paraId="3BB8F87B" w14:textId="422161DF" w:rsidR="0041222E" w:rsidRDefault="0041222E" w:rsidP="00835CE8">
      <w:pPr>
        <w:pStyle w:val="NormalWeb"/>
        <w:shd w:val="clear" w:color="auto" w:fill="FFFFFF"/>
        <w:spacing w:before="120" w:beforeAutospacing="0" w:after="120" w:afterAutospacing="0"/>
        <w:rPr>
          <w:rFonts w:ascii="Arial" w:hAnsi="Arial" w:cs="Arial"/>
          <w:color w:val="222222"/>
          <w:sz w:val="21"/>
          <w:szCs w:val="21"/>
        </w:rPr>
      </w:pPr>
    </w:p>
    <w:p w14:paraId="15B48407" w14:textId="23812D87" w:rsidR="0041222E" w:rsidRDefault="009F4DB3" w:rsidP="00835CE8">
      <w:pPr>
        <w:pStyle w:val="NormalWeb"/>
        <w:shd w:val="clear" w:color="auto" w:fill="FFFFFF"/>
        <w:spacing w:before="120" w:beforeAutospacing="0" w:after="120" w:afterAutospacing="0"/>
        <w:rPr>
          <w:rFonts w:ascii="Arial" w:hAnsi="Arial" w:cs="Arial"/>
          <w:color w:val="222222"/>
          <w:sz w:val="21"/>
          <w:szCs w:val="21"/>
        </w:rPr>
      </w:pPr>
      <w:hyperlink r:id="rId42" w:history="1">
        <w:r w:rsidR="0041222E" w:rsidRPr="00B04702">
          <w:rPr>
            <w:rStyle w:val="Hyperlink"/>
            <w:rFonts w:ascii="Arial" w:hAnsi="Arial" w:cs="Arial"/>
            <w:sz w:val="21"/>
            <w:szCs w:val="21"/>
          </w:rPr>
          <w:t>http://www.uniprot.org/uniprot/Q3C1U7</w:t>
        </w:r>
      </w:hyperlink>
    </w:p>
    <w:p w14:paraId="51696D60" w14:textId="1C801DA4" w:rsidR="0041222E" w:rsidRDefault="009F4DB3" w:rsidP="00835CE8">
      <w:pPr>
        <w:pStyle w:val="NormalWeb"/>
        <w:shd w:val="clear" w:color="auto" w:fill="FFFFFF"/>
        <w:spacing w:before="120" w:beforeAutospacing="0" w:after="120" w:afterAutospacing="0"/>
      </w:pPr>
      <w:hyperlink r:id="rId43" w:history="1">
        <w:r w:rsidR="0041222E">
          <w:rPr>
            <w:rStyle w:val="Hyperlink"/>
            <w:rFonts w:ascii="Verdana" w:hAnsi="Verdana"/>
            <w:color w:val="004965"/>
            <w:sz w:val="20"/>
            <w:szCs w:val="20"/>
          </w:rPr>
          <w:t>calcium channel activity</w:t>
        </w:r>
      </w:hyperlink>
    </w:p>
    <w:p w14:paraId="79FDE302" w14:textId="3A06093D" w:rsidR="0041222E" w:rsidRDefault="0041222E" w:rsidP="00835CE8">
      <w:pPr>
        <w:pStyle w:val="NormalWeb"/>
        <w:shd w:val="clear" w:color="auto" w:fill="FFFFFF"/>
        <w:spacing w:before="120" w:beforeAutospacing="0" w:after="120" w:afterAutospacing="0"/>
        <w:rPr>
          <w:rFonts w:ascii="Arial" w:hAnsi="Arial" w:cs="Arial"/>
          <w:color w:val="222222"/>
          <w:sz w:val="21"/>
          <w:szCs w:val="21"/>
        </w:rPr>
      </w:pPr>
    </w:p>
    <w:p w14:paraId="731769CA" w14:textId="24C80472" w:rsidR="00A42B3B" w:rsidRPr="00A42B3B" w:rsidRDefault="009F4DB3" w:rsidP="00FE01EA">
      <w:pPr>
        <w:pStyle w:val="NormalWeb"/>
        <w:shd w:val="clear" w:color="auto" w:fill="FFFFFF"/>
        <w:spacing w:before="120" w:beforeAutospacing="0" w:after="120" w:afterAutospacing="0"/>
        <w:rPr>
          <w:rFonts w:ascii="Arial" w:hAnsi="Arial" w:cs="Arial"/>
          <w:color w:val="222222"/>
          <w:sz w:val="21"/>
          <w:szCs w:val="21"/>
        </w:rPr>
      </w:pPr>
      <w:hyperlink r:id="rId44" w:history="1">
        <w:r w:rsidR="00A42B3B" w:rsidRPr="00B04702">
          <w:rPr>
            <w:rStyle w:val="Hyperlink"/>
            <w:rFonts w:ascii="Arial" w:hAnsi="Arial" w:cs="Arial"/>
            <w:sz w:val="21"/>
            <w:szCs w:val="21"/>
          </w:rPr>
          <w:t>https://www.ncbi.nlm.nih.gov/pubmed/27099524</w:t>
        </w:r>
      </w:hyperlink>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781"/>
        <w:gridCol w:w="470"/>
        <w:gridCol w:w="1037"/>
        <w:gridCol w:w="992"/>
        <w:gridCol w:w="402"/>
        <w:gridCol w:w="742"/>
        <w:gridCol w:w="842"/>
        <w:gridCol w:w="402"/>
        <w:gridCol w:w="642"/>
        <w:gridCol w:w="642"/>
        <w:gridCol w:w="842"/>
      </w:tblGrid>
      <w:tr w:rsidR="00A42B3B" w:rsidRPr="00A42B3B" w14:paraId="062B2B03" w14:textId="77777777" w:rsidTr="00A42B3B">
        <w:trPr>
          <w:tblHeader/>
        </w:trPr>
        <w:tc>
          <w:tcPr>
            <w:tcW w:w="0" w:type="auto"/>
            <w:tcBorders>
              <w:top w:val="nil"/>
              <w:left w:val="nil"/>
              <w:bottom w:val="nil"/>
              <w:right w:val="nil"/>
            </w:tcBorders>
            <w:tcMar>
              <w:top w:w="48" w:type="dxa"/>
              <w:left w:w="96" w:type="dxa"/>
              <w:bottom w:w="48" w:type="dxa"/>
              <w:right w:w="96" w:type="dxa"/>
            </w:tcMar>
            <w:hideMark/>
          </w:tcPr>
          <w:p w14:paraId="6442615E"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619E3E12"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0EC01A19"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7AB5F796"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BPs</w:t>
            </w:r>
          </w:p>
        </w:tc>
        <w:tc>
          <w:tcPr>
            <w:tcW w:w="0" w:type="auto"/>
            <w:tcBorders>
              <w:top w:val="nil"/>
              <w:left w:val="nil"/>
              <w:bottom w:val="nil"/>
              <w:right w:val="nil"/>
            </w:tcBorders>
            <w:tcMar>
              <w:top w:w="48" w:type="dxa"/>
              <w:left w:w="96" w:type="dxa"/>
              <w:bottom w:w="48" w:type="dxa"/>
              <w:right w:w="96" w:type="dxa"/>
            </w:tcMar>
            <w:hideMark/>
          </w:tcPr>
          <w:p w14:paraId="31E832C6"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A</w:t>
            </w:r>
            <w:r w:rsidRPr="00A42B3B">
              <w:rPr>
                <w:rFonts w:ascii="Times New Roman" w:eastAsia="Times New Roman" w:hAnsi="Times New Roman" w:cs="Times New Roman"/>
                <w:b/>
                <w:bCs/>
                <w:sz w:val="20"/>
                <w:szCs w:val="20"/>
                <w:vertAlign w:val="subscript"/>
              </w:rPr>
              <w:t>1</w:t>
            </w:r>
          </w:p>
        </w:tc>
        <w:tc>
          <w:tcPr>
            <w:tcW w:w="0" w:type="auto"/>
            <w:tcBorders>
              <w:top w:val="nil"/>
              <w:left w:val="nil"/>
              <w:bottom w:val="nil"/>
              <w:right w:val="nil"/>
            </w:tcBorders>
            <w:tcMar>
              <w:top w:w="48" w:type="dxa"/>
              <w:left w:w="96" w:type="dxa"/>
              <w:bottom w:w="48" w:type="dxa"/>
              <w:right w:w="96" w:type="dxa"/>
            </w:tcMar>
            <w:hideMark/>
          </w:tcPr>
          <w:p w14:paraId="33F0A461"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FM</w:t>
            </w:r>
          </w:p>
        </w:tc>
        <w:tc>
          <w:tcPr>
            <w:tcW w:w="0" w:type="auto"/>
            <w:tcBorders>
              <w:top w:val="nil"/>
              <w:left w:val="nil"/>
              <w:bottom w:val="nil"/>
              <w:right w:val="nil"/>
            </w:tcBorders>
            <w:tcMar>
              <w:top w:w="48" w:type="dxa"/>
              <w:left w:w="96" w:type="dxa"/>
              <w:bottom w:w="48" w:type="dxa"/>
              <w:right w:w="96" w:type="dxa"/>
            </w:tcMar>
            <w:hideMark/>
          </w:tcPr>
          <w:p w14:paraId="31DEFDE6"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FC</w:t>
            </w:r>
          </w:p>
        </w:tc>
        <w:tc>
          <w:tcPr>
            <w:tcW w:w="0" w:type="auto"/>
            <w:tcBorders>
              <w:top w:val="nil"/>
              <w:left w:val="nil"/>
              <w:bottom w:val="nil"/>
              <w:right w:val="nil"/>
            </w:tcBorders>
            <w:tcMar>
              <w:top w:w="48" w:type="dxa"/>
              <w:left w:w="96" w:type="dxa"/>
              <w:bottom w:w="48" w:type="dxa"/>
              <w:right w:w="96" w:type="dxa"/>
            </w:tcMar>
            <w:hideMark/>
          </w:tcPr>
          <w:p w14:paraId="52BF202B"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A</w:t>
            </w:r>
            <w:r w:rsidRPr="00A42B3B">
              <w:rPr>
                <w:rFonts w:ascii="Times New Roman" w:eastAsia="Times New Roman" w:hAnsi="Times New Roman" w:cs="Times New Roman"/>
                <w:b/>
                <w:bCs/>
                <w:sz w:val="20"/>
                <w:szCs w:val="20"/>
                <w:vertAlign w:val="subscript"/>
              </w:rPr>
              <w:t>2</w:t>
            </w:r>
          </w:p>
        </w:tc>
        <w:tc>
          <w:tcPr>
            <w:tcW w:w="0" w:type="auto"/>
            <w:tcBorders>
              <w:top w:val="nil"/>
              <w:left w:val="nil"/>
              <w:bottom w:val="nil"/>
              <w:right w:val="nil"/>
            </w:tcBorders>
            <w:tcMar>
              <w:top w:w="48" w:type="dxa"/>
              <w:left w:w="96" w:type="dxa"/>
              <w:bottom w:w="48" w:type="dxa"/>
              <w:right w:w="96" w:type="dxa"/>
            </w:tcMar>
            <w:hideMark/>
          </w:tcPr>
          <w:p w14:paraId="0941F3A2"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i/>
                <w:iCs/>
                <w:sz w:val="20"/>
                <w:szCs w:val="20"/>
              </w:rPr>
              <w:t>χ</w:t>
            </w:r>
            <w:r w:rsidRPr="00A42B3B">
              <w:rPr>
                <w:rFonts w:ascii="Times New Roman" w:eastAsia="Times New Roman" w:hAnsi="Times New Roman" w:cs="Times New Roman"/>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422C3171"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OR</w:t>
            </w:r>
          </w:p>
        </w:tc>
        <w:tc>
          <w:tcPr>
            <w:tcW w:w="0" w:type="auto"/>
            <w:tcBorders>
              <w:top w:val="nil"/>
              <w:left w:val="nil"/>
              <w:bottom w:val="nil"/>
              <w:right w:val="nil"/>
            </w:tcBorders>
            <w:tcMar>
              <w:top w:w="48" w:type="dxa"/>
              <w:left w:w="96" w:type="dxa"/>
              <w:bottom w:w="48" w:type="dxa"/>
              <w:right w:w="96" w:type="dxa"/>
            </w:tcMar>
            <w:hideMark/>
          </w:tcPr>
          <w:p w14:paraId="3471A09B"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i/>
                <w:iCs/>
                <w:sz w:val="20"/>
                <w:szCs w:val="20"/>
              </w:rPr>
              <w:t>P</w:t>
            </w:r>
            <w:r w:rsidRPr="00A42B3B">
              <w:rPr>
                <w:rFonts w:ascii="Times New Roman" w:eastAsia="Times New Roman" w:hAnsi="Times New Roman" w:cs="Times New Roman"/>
                <w:b/>
                <w:bCs/>
                <w:sz w:val="20"/>
                <w:szCs w:val="20"/>
              </w:rPr>
              <w:t>-value</w:t>
            </w:r>
          </w:p>
        </w:tc>
      </w:tr>
      <w:tr w:rsidR="00A42B3B" w:rsidRPr="00A42B3B" w14:paraId="1D9BA8B6" w14:textId="77777777" w:rsidTr="00A42B3B">
        <w:tc>
          <w:tcPr>
            <w:tcW w:w="0" w:type="auto"/>
            <w:tcBorders>
              <w:top w:val="nil"/>
              <w:left w:val="nil"/>
              <w:bottom w:val="nil"/>
              <w:right w:val="nil"/>
            </w:tcBorders>
            <w:shd w:val="clear" w:color="auto" w:fill="FFFCF0"/>
            <w:tcMar>
              <w:top w:w="48" w:type="dxa"/>
              <w:left w:w="96" w:type="dxa"/>
              <w:bottom w:w="48" w:type="dxa"/>
              <w:right w:w="96" w:type="dxa"/>
            </w:tcMar>
            <w:hideMark/>
          </w:tcPr>
          <w:p w14:paraId="411DB741" w14:textId="74EF9AD8"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i/>
                <w:iCs/>
                <w:color w:val="000000"/>
                <w:sz w:val="20"/>
                <w:szCs w:val="20"/>
              </w:rPr>
              <w:t>TRPC2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0C160D" w14:textId="4D9C13F1"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6B6B79A" w14:textId="19E1B451"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rs7108612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AAE88B5" w14:textId="66F0551A"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3,628,856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BF4199" w14:textId="192EB6D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8446D1E" w14:textId="5E54051C"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0.1923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1AC5E8" w14:textId="4A8FEF2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0.06667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2271CFC" w14:textId="05B1726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8FE93C" w14:textId="54DFE4C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4.509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8F355AC" w14:textId="0BEDCD80"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3.333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A2A8E24" w14:textId="14B73DEA"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0.03372</w:t>
            </w:r>
          </w:p>
        </w:tc>
      </w:tr>
      <w:tr w:rsidR="00A42B3B" w:rsidRPr="00A42B3B" w14:paraId="5AEA7699" w14:textId="77777777" w:rsidTr="00A42B3B">
        <w:tc>
          <w:tcPr>
            <w:tcW w:w="0" w:type="auto"/>
            <w:tcBorders>
              <w:top w:val="nil"/>
              <w:left w:val="nil"/>
              <w:bottom w:val="nil"/>
              <w:right w:val="nil"/>
            </w:tcBorders>
            <w:shd w:val="clear" w:color="auto" w:fill="FFFCF0"/>
            <w:tcMar>
              <w:top w:w="48" w:type="dxa"/>
              <w:left w:w="96" w:type="dxa"/>
              <w:bottom w:w="48" w:type="dxa"/>
              <w:right w:w="96" w:type="dxa"/>
            </w:tcMar>
            <w:hideMark/>
          </w:tcPr>
          <w:p w14:paraId="77A41958" w14:textId="22E68F4C"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i/>
                <w:iCs/>
                <w:color w:val="000000"/>
                <w:sz w:val="20"/>
                <w:szCs w:val="20"/>
              </w:rPr>
              <w:t>TRPC2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6D2CE4" w14:textId="57D088C6"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06024A3" w14:textId="285828ED"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rs6578398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36A33CA" w14:textId="3F6AB23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3,616,831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51BD87" w14:textId="1E6AA0E2"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6E0A228" w14:textId="623120FB"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0.3462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B9C8A1" w14:textId="3C69575D"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0.1833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5271C6" w14:textId="08337BFE"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E395FE" w14:textId="3F1CE686"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4.506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FE12AE" w14:textId="54DEA386"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2.358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1F7C26" w14:textId="7AA98D4B"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0.03378</w:t>
            </w:r>
          </w:p>
        </w:tc>
      </w:tr>
    </w:tbl>
    <w:p w14:paraId="6C3E5071" w14:textId="0CD382BE" w:rsidR="00835CE8" w:rsidRDefault="00835CE8"/>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781"/>
        <w:gridCol w:w="470"/>
        <w:gridCol w:w="1037"/>
        <w:gridCol w:w="1015"/>
        <w:gridCol w:w="1542"/>
        <w:gridCol w:w="2481"/>
        <w:gridCol w:w="542"/>
        <w:gridCol w:w="542"/>
        <w:gridCol w:w="837"/>
      </w:tblGrid>
      <w:tr w:rsidR="00FE01EA" w:rsidRPr="00FE01EA" w14:paraId="696F8DA5" w14:textId="77777777" w:rsidTr="00FE01EA">
        <w:trPr>
          <w:tblHeader/>
        </w:trPr>
        <w:tc>
          <w:tcPr>
            <w:tcW w:w="0" w:type="auto"/>
            <w:tcBorders>
              <w:top w:val="nil"/>
              <w:left w:val="nil"/>
              <w:bottom w:val="nil"/>
              <w:right w:val="nil"/>
            </w:tcBorders>
            <w:tcMar>
              <w:top w:w="48" w:type="dxa"/>
              <w:left w:w="96" w:type="dxa"/>
              <w:bottom w:w="48" w:type="dxa"/>
              <w:right w:w="96" w:type="dxa"/>
            </w:tcMar>
            <w:hideMark/>
          </w:tcPr>
          <w:p w14:paraId="1A6C9532"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52A44DB2"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044577CA"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781136DA"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47724B6C"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ME/CFS, n (%)</w:t>
            </w:r>
          </w:p>
        </w:tc>
        <w:tc>
          <w:tcPr>
            <w:tcW w:w="0" w:type="auto"/>
            <w:tcBorders>
              <w:top w:val="nil"/>
              <w:left w:val="nil"/>
              <w:bottom w:val="nil"/>
              <w:right w:val="nil"/>
            </w:tcBorders>
            <w:tcMar>
              <w:top w:w="48" w:type="dxa"/>
              <w:left w:w="96" w:type="dxa"/>
              <w:bottom w:w="48" w:type="dxa"/>
              <w:right w:w="96" w:type="dxa"/>
            </w:tcMar>
            <w:hideMark/>
          </w:tcPr>
          <w:p w14:paraId="06C43C63"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314D66C0"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i/>
                <w:iCs/>
                <w:sz w:val="20"/>
                <w:szCs w:val="20"/>
              </w:rPr>
              <w:t>χ</w:t>
            </w:r>
            <w:r w:rsidRPr="00FE01EA">
              <w:rPr>
                <w:rFonts w:ascii="Times New Roman" w:eastAsia="Times New Roman" w:hAnsi="Times New Roman" w:cs="Times New Roman"/>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016BA3DA"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OR</w:t>
            </w:r>
          </w:p>
        </w:tc>
        <w:tc>
          <w:tcPr>
            <w:tcW w:w="0" w:type="auto"/>
            <w:tcBorders>
              <w:top w:val="nil"/>
              <w:left w:val="nil"/>
              <w:bottom w:val="nil"/>
              <w:right w:val="nil"/>
            </w:tcBorders>
            <w:tcMar>
              <w:top w:w="48" w:type="dxa"/>
              <w:left w:w="96" w:type="dxa"/>
              <w:bottom w:w="48" w:type="dxa"/>
              <w:right w:w="96" w:type="dxa"/>
            </w:tcMar>
            <w:hideMark/>
          </w:tcPr>
          <w:p w14:paraId="19799C58"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i/>
                <w:iCs/>
                <w:sz w:val="20"/>
                <w:szCs w:val="20"/>
              </w:rPr>
              <w:t>P</w:t>
            </w:r>
            <w:r w:rsidRPr="00FE01EA">
              <w:rPr>
                <w:rFonts w:ascii="Times New Roman" w:eastAsia="Times New Roman" w:hAnsi="Times New Roman" w:cs="Times New Roman"/>
                <w:b/>
                <w:bCs/>
                <w:sz w:val="20"/>
                <w:szCs w:val="20"/>
              </w:rPr>
              <w:t>-value</w:t>
            </w:r>
          </w:p>
        </w:tc>
      </w:tr>
      <w:tr w:rsidR="00FE01EA" w:rsidRPr="00FE01EA" w14:paraId="2ECDCDEC" w14:textId="77777777" w:rsidTr="00FE01EA">
        <w:tc>
          <w:tcPr>
            <w:tcW w:w="0" w:type="auto"/>
            <w:tcBorders>
              <w:top w:val="nil"/>
              <w:left w:val="nil"/>
              <w:bottom w:val="nil"/>
              <w:right w:val="nil"/>
            </w:tcBorders>
            <w:tcMar>
              <w:top w:w="48" w:type="dxa"/>
              <w:left w:w="96" w:type="dxa"/>
              <w:bottom w:w="48" w:type="dxa"/>
              <w:right w:w="96" w:type="dxa"/>
            </w:tcMar>
            <w:hideMark/>
          </w:tcPr>
          <w:p w14:paraId="1F4630A8"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i/>
                <w:iCs/>
                <w:sz w:val="20"/>
                <w:szCs w:val="20"/>
              </w:rPr>
              <w:t>TRPC2</w:t>
            </w:r>
          </w:p>
        </w:tc>
        <w:tc>
          <w:tcPr>
            <w:tcW w:w="0" w:type="auto"/>
            <w:tcBorders>
              <w:top w:val="nil"/>
              <w:left w:val="nil"/>
              <w:bottom w:val="nil"/>
              <w:right w:val="nil"/>
            </w:tcBorders>
            <w:tcMar>
              <w:top w:w="48" w:type="dxa"/>
              <w:left w:w="96" w:type="dxa"/>
              <w:bottom w:w="48" w:type="dxa"/>
              <w:right w:w="96" w:type="dxa"/>
            </w:tcMar>
            <w:hideMark/>
          </w:tcPr>
          <w:p w14:paraId="62C5597F"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48074D61"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rs7108612</w:t>
            </w:r>
          </w:p>
        </w:tc>
        <w:tc>
          <w:tcPr>
            <w:tcW w:w="0" w:type="auto"/>
            <w:tcBorders>
              <w:top w:val="nil"/>
              <w:left w:val="nil"/>
              <w:bottom w:val="nil"/>
              <w:right w:val="nil"/>
            </w:tcBorders>
            <w:tcMar>
              <w:top w:w="48" w:type="dxa"/>
              <w:left w:w="96" w:type="dxa"/>
              <w:bottom w:w="48" w:type="dxa"/>
              <w:right w:w="96" w:type="dxa"/>
            </w:tcMar>
            <w:hideMark/>
          </w:tcPr>
          <w:p w14:paraId="5B305FD3"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GT</w:t>
            </w:r>
          </w:p>
        </w:tc>
        <w:tc>
          <w:tcPr>
            <w:tcW w:w="0" w:type="auto"/>
            <w:tcBorders>
              <w:top w:val="nil"/>
              <w:left w:val="nil"/>
              <w:bottom w:val="nil"/>
              <w:right w:val="nil"/>
            </w:tcBorders>
            <w:tcMar>
              <w:top w:w="48" w:type="dxa"/>
              <w:left w:w="96" w:type="dxa"/>
              <w:bottom w:w="48" w:type="dxa"/>
              <w:right w:w="96" w:type="dxa"/>
            </w:tcMar>
            <w:hideMark/>
          </w:tcPr>
          <w:p w14:paraId="69D8F678"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15 (78.9)</w:t>
            </w:r>
          </w:p>
        </w:tc>
        <w:tc>
          <w:tcPr>
            <w:tcW w:w="0" w:type="auto"/>
            <w:tcBorders>
              <w:top w:val="nil"/>
              <w:left w:val="nil"/>
              <w:bottom w:val="nil"/>
              <w:right w:val="nil"/>
            </w:tcBorders>
            <w:tcMar>
              <w:top w:w="48" w:type="dxa"/>
              <w:left w:w="96" w:type="dxa"/>
              <w:bottom w:w="48" w:type="dxa"/>
              <w:right w:w="96" w:type="dxa"/>
            </w:tcMar>
            <w:hideMark/>
          </w:tcPr>
          <w:p w14:paraId="43744B1C"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5F725221"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3FC5977A"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4.06</w:t>
            </w:r>
          </w:p>
        </w:tc>
        <w:tc>
          <w:tcPr>
            <w:tcW w:w="0" w:type="auto"/>
            <w:tcBorders>
              <w:top w:val="nil"/>
              <w:left w:val="nil"/>
              <w:bottom w:val="nil"/>
              <w:right w:val="nil"/>
            </w:tcBorders>
            <w:tcMar>
              <w:top w:w="48" w:type="dxa"/>
              <w:left w:w="96" w:type="dxa"/>
              <w:bottom w:w="48" w:type="dxa"/>
              <w:right w:w="96" w:type="dxa"/>
            </w:tcMar>
            <w:hideMark/>
          </w:tcPr>
          <w:p w14:paraId="1A50F4D8"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0.021</w:t>
            </w:r>
          </w:p>
        </w:tc>
      </w:tr>
    </w:tbl>
    <w:p w14:paraId="56CD80D2" w14:textId="77777777" w:rsidR="00FE01EA" w:rsidRPr="00FE01EA" w:rsidRDefault="00FE01EA" w:rsidP="00FE01EA">
      <w:pPr>
        <w:spacing w:after="0" w:line="240" w:lineRule="auto"/>
        <w:rPr>
          <w:rFonts w:ascii="Times New Roman" w:eastAsia="Times New Roman" w:hAnsi="Times New Roman" w:cs="Times New Roman"/>
          <w:color w:val="000000"/>
          <w:sz w:val="20"/>
          <w:szCs w:val="20"/>
        </w:rPr>
      </w:pPr>
      <w:r w:rsidRPr="00FE01EA">
        <w:rPr>
          <w:rFonts w:ascii="Times New Roman" w:eastAsia="Times New Roman" w:hAnsi="Times New Roman" w:cs="Times New Roman"/>
          <w:b/>
          <w:bCs/>
          <w:color w:val="000000"/>
          <w:sz w:val="20"/>
          <w:szCs w:val="20"/>
        </w:rPr>
        <w:t>Notes:</w:t>
      </w:r>
      <w:r w:rsidRPr="00FE01EA">
        <w:rPr>
          <w:rFonts w:ascii="Times New Roman" w:eastAsia="Times New Roman" w:hAnsi="Times New Roman" w:cs="Times New Roman"/>
          <w:color w:val="000000"/>
          <w:sz w:val="20"/>
          <w:szCs w:val="20"/>
        </w:rPr>
        <w:t> Genotypes from 39 ME/CFS patients and 30 unfatigued controls. Data presented all </w:t>
      </w:r>
      <w:r w:rsidRPr="00FE01EA">
        <w:rPr>
          <w:rFonts w:ascii="Times New Roman" w:eastAsia="Times New Roman" w:hAnsi="Times New Roman" w:cs="Times New Roman"/>
          <w:i/>
          <w:iCs/>
          <w:color w:val="000000"/>
          <w:sz w:val="20"/>
          <w:szCs w:val="20"/>
        </w:rPr>
        <w:t>P</w:t>
      </w:r>
      <w:r w:rsidRPr="00FE01EA">
        <w:rPr>
          <w:rFonts w:ascii="Times New Roman" w:eastAsia="Times New Roman" w:hAnsi="Times New Roman" w:cs="Times New Roman"/>
          <w:color w:val="000000"/>
          <w:sz w:val="20"/>
          <w:szCs w:val="20"/>
        </w:rPr>
        <w:t>&lt;0.05; </w:t>
      </w:r>
      <w:r w:rsidRPr="00FE01EA">
        <w:rPr>
          <w:rFonts w:ascii="Times New Roman" w:eastAsia="Times New Roman" w:hAnsi="Times New Roman" w:cs="Times New Roman"/>
          <w:i/>
          <w:iCs/>
          <w:color w:val="000000"/>
          <w:sz w:val="20"/>
          <w:szCs w:val="20"/>
        </w:rPr>
        <w:t>df</w:t>
      </w:r>
      <w:r w:rsidRPr="00FE01EA">
        <w:rPr>
          <w:rFonts w:ascii="Times New Roman" w:eastAsia="Times New Roman" w:hAnsi="Times New Roman" w:cs="Times New Roman"/>
          <w:color w:val="000000"/>
          <w:sz w:val="20"/>
          <w:szCs w:val="20"/>
        </w:rPr>
        <w:t>=1 for basic allelic test.</w:t>
      </w:r>
    </w:p>
    <w:p w14:paraId="294B75A3" w14:textId="3D7012E5" w:rsidR="00FE01EA" w:rsidRDefault="00A668E7">
      <w:r>
        <w:t>NKC</w:t>
      </w:r>
    </w:p>
    <w:p w14:paraId="5A801D21" w14:textId="66630B2B" w:rsidR="00A668E7" w:rsidRDefault="00A668E7">
      <w:pPr>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rs6578398</w:t>
      </w:r>
      <w:r>
        <w:rPr>
          <w:rFonts w:ascii="Times New Roman" w:eastAsia="Times New Roman" w:hAnsi="Times New Roman" w:cs="Times New Roman"/>
          <w:color w:val="000000"/>
          <w:sz w:val="20"/>
          <w:szCs w:val="20"/>
        </w:rPr>
        <w:t xml:space="preserve"> AG</w:t>
      </w:r>
    </w:p>
    <w:p w14:paraId="00B06570" w14:textId="76470A29" w:rsidR="00A668E7" w:rsidRDefault="00A668E7"/>
    <w:p w14:paraId="1E5DB468" w14:textId="0BDEAC10" w:rsidR="00A668E7" w:rsidRDefault="00A668E7"/>
    <w:p w14:paraId="23191CB3" w14:textId="24BA3484" w:rsidR="00A668E7" w:rsidRDefault="00A668E7" w:rsidP="002E6C40">
      <w:pPr>
        <w:pStyle w:val="NormalWeb"/>
        <w:shd w:val="clear" w:color="auto" w:fill="FFFFFF"/>
        <w:spacing w:before="120" w:beforeAutospacing="0" w:after="120" w:afterAutospacing="0"/>
      </w:pPr>
      <w:r>
        <w:t xml:space="preserve">Natural killer cells (NKC) are a type of white blood cells found in the blood, bone marrow, spleen, and lymph nodes. They kill viral infected cells and tumorous cells. Many patients with ME/CFS have NK cells with lower functional ability to fight infections, and [this impairment is associated with illness </w:t>
      </w:r>
      <w:proofErr w:type="gramStart"/>
      <w:r>
        <w:t>severity](</w:t>
      </w:r>
      <w:proofErr w:type="gramEnd"/>
      <w:r>
        <w:t xml:space="preserve">https://www.cdc.gov/me-cfs/about/possible-causes.html). Compared with the general population, CFS patients have half the cellular efficiency with a [17% cellular death </w:t>
      </w:r>
      <w:proofErr w:type="gramStart"/>
      <w:r>
        <w:t>rate](</w:t>
      </w:r>
      <w:proofErr w:type="gramEnd"/>
      <w:r>
        <w:t xml:space="preserve">https://www.ncbi.nlm.nih.gov/pubmed/27099524). In </w:t>
      </w:r>
      <w:r w:rsidR="002E6C40">
        <w:t xml:space="preserve">people, TRPC2 </w:t>
      </w:r>
      <w:r w:rsidR="002E6C40">
        <w:lastRenderedPageBreak/>
        <w:t xml:space="preserve">is considered a pseudogene, which is a segment of DNA that has lost some functionality due to loss of segments. Also known as “junk DNA,” pseudogenes may perform some regulatory functions and contain evolutionary histories. </w:t>
      </w:r>
    </w:p>
    <w:p w14:paraId="156EC610" w14:textId="5ACF0664" w:rsidR="00A668E7" w:rsidRDefault="00A668E7" w:rsidP="00A668E7">
      <w:r>
        <w:t xml:space="preserve">The following variants </w:t>
      </w:r>
      <w:r w:rsidR="00DF0173">
        <w:t>may be related to a d</w:t>
      </w:r>
      <w:r>
        <w:t>ecrease gene expression in both the DNA and RNA, causing significant reduction in NKC activity.</w:t>
      </w:r>
    </w:p>
    <w:p w14:paraId="0490E6A0" w14:textId="61A147BA" w:rsidR="00A668E7" w:rsidRDefault="00A668E7" w:rsidP="00A668E7">
      <w:r>
        <w:t>- [</w:t>
      </w:r>
      <w:r w:rsidR="00DF0173">
        <w:t>G3628856T (</w:t>
      </w:r>
      <w:proofErr w:type="gramStart"/>
      <w:r w:rsidR="00DF0173">
        <w:t>G;T</w:t>
      </w:r>
      <w:proofErr w:type="gramEnd"/>
      <w:r>
        <w:t>](https://www.ncbi.nlm.nih.gov/pubmed/27099524) is [</w:t>
      </w:r>
      <w:r w:rsidR="00DF0173">
        <w:t>3.76X</w:t>
      </w:r>
      <w:r>
        <w:t xml:space="preserve">] more common in CFS patients. </w:t>
      </w:r>
    </w:p>
    <w:p w14:paraId="45EC450B" w14:textId="08A52DE7" w:rsidR="00A668E7" w:rsidRDefault="00A668E7" w:rsidP="00A668E7">
      <w:r>
        <w:t>- [</w:t>
      </w:r>
      <w:r w:rsidR="00DF0173">
        <w:t>G3638061A (</w:t>
      </w:r>
      <w:proofErr w:type="gramStart"/>
      <w:r w:rsidR="00DF0173">
        <w:t>A;A</w:t>
      </w:r>
      <w:proofErr w:type="gramEnd"/>
      <w:r w:rsidR="00DF0173">
        <w:t>)</w:t>
      </w:r>
      <w:r>
        <w:t>](https://www.ncbi.nlm.nih.gov/pubmed/27099524) is [1.</w:t>
      </w:r>
      <w:r w:rsidR="00DF0173">
        <w:t>9</w:t>
      </w:r>
      <w:r>
        <w:t xml:space="preserve">X] more common in CFS patients. </w:t>
      </w:r>
    </w:p>
    <w:p w14:paraId="6173C495" w14:textId="3149784C" w:rsidR="00A668E7" w:rsidRDefault="00A668E7" w:rsidP="00A668E7"/>
    <w:p w14:paraId="06C6A342" w14:textId="77777777" w:rsidR="00A668E7" w:rsidRDefault="00A668E7" w:rsidP="00A668E7">
      <w:r>
        <w:t>Some pharmaceuticals may increase or decrease natural killer cell function:</w:t>
      </w:r>
    </w:p>
    <w:p w14:paraId="5FF361DE" w14:textId="77777777" w:rsidR="00A668E7" w:rsidRDefault="00A668E7" w:rsidP="00A668E7">
      <w:r>
        <w:t>- [Histone deacetylase inhibitors (</w:t>
      </w:r>
      <w:proofErr w:type="spellStart"/>
      <w:r>
        <w:t>HDACi</w:t>
      </w:r>
      <w:proofErr w:type="spellEnd"/>
      <w:r>
        <w:t xml:space="preserve">), including </w:t>
      </w:r>
      <w:proofErr w:type="spellStart"/>
      <w:r>
        <w:t>suberoylanilide</w:t>
      </w:r>
      <w:proofErr w:type="spellEnd"/>
      <w:r>
        <w:t xml:space="preserve"> hydroxamic acid and valproic acid</w:t>
      </w:r>
      <w:proofErr w:type="gramStart"/>
      <w:r>
        <w:t>,](</w:t>
      </w:r>
      <w:proofErr w:type="gramEnd"/>
      <w:r>
        <w:t xml:space="preserve">https://www.ncbi.nlm.nih.gov/pubmed/17349632/) impair NKC function and should be avoided. </w:t>
      </w:r>
    </w:p>
    <w:p w14:paraId="16FE5A4B" w14:textId="77777777" w:rsidR="00A668E7" w:rsidRDefault="00A668E7" w:rsidP="00A668E7">
      <w:r>
        <w:t xml:space="preserve">- [Acyclovir, ganciclovir, and related prophylactic antiviral </w:t>
      </w:r>
      <w:proofErr w:type="gramStart"/>
      <w:r>
        <w:t>drugs](</w:t>
      </w:r>
      <w:proofErr w:type="gramEnd"/>
      <w:r>
        <w:t xml:space="preserve">https://www.ncbi.nlm.nih.gov/pubmed/23993353) may improve cellular function. </w:t>
      </w:r>
    </w:p>
    <w:p w14:paraId="36DA9E27" w14:textId="77777777" w:rsidR="00A668E7" w:rsidRDefault="00A668E7" w:rsidP="00A668E7">
      <w:r>
        <w:t>- [Therapies for papillomaviruses, topical agents, physical approaches and immunostimulants</w:t>
      </w:r>
      <w:proofErr w:type="gramStart"/>
      <w:r>
        <w:t>,](</w:t>
      </w:r>
      <w:proofErr w:type="gramEnd"/>
      <w:r>
        <w:t xml:space="preserve">https://www.ncbi.nlm.nih.gov/pubmed/23993353) may activate NK cells. </w:t>
      </w:r>
    </w:p>
    <w:p w14:paraId="38DED4D8" w14:textId="142DEB41" w:rsidR="00A668E7" w:rsidRDefault="00A668E7" w:rsidP="00A668E7">
      <w:r>
        <w:t xml:space="preserve">- [Cytokine </w:t>
      </w:r>
      <w:proofErr w:type="gramStart"/>
      <w:r>
        <w:t>therapies](</w:t>
      </w:r>
      <w:proofErr w:type="gramEnd"/>
      <w:r>
        <w:t xml:space="preserve">https://www.ncbi.nlm.nih.gov/pubmed/23993353), such as [IFN-α](https://www.cancer.gov/about-cancer/treatment/types/immunotherapy/bio-therapies-fact-sheet) in CNKD1, may induce higher levels of NKC cytotoxic activity by [activating white blood cells](https://www.cancer.gov/about-cancer/treatment/types/immunotherapy/bio-therapies-fact-sheet). </w:t>
      </w:r>
    </w:p>
    <w:p w14:paraId="40A6C959" w14:textId="77777777" w:rsidR="002E6C40" w:rsidRDefault="002E6C40" w:rsidP="00A668E7"/>
    <w:p w14:paraId="57984539" w14:textId="77777777" w:rsidR="00A668E7" w:rsidRDefault="00A668E7" w:rsidP="00A668E7">
      <w:r>
        <w:t xml:space="preserve">Many dietary supplements have </w:t>
      </w:r>
      <w:proofErr w:type="gramStart"/>
      <w:r>
        <w:t>been found</w:t>
      </w:r>
      <w:proofErr w:type="gramEnd"/>
      <w:r>
        <w:t xml:space="preserve"> to increase natural killer cell function:</w:t>
      </w:r>
    </w:p>
    <w:p w14:paraId="4D8E72E4" w14:textId="77777777" w:rsidR="00A668E7" w:rsidRDefault="00A668E7" w:rsidP="00A668E7">
      <w:r>
        <w:t xml:space="preserve">- [Resveratrol](https://www.ncbi.nlm.nih.gov/pmc/articles/PMC4855330/) stimulates the immune system by increasing NKC activity, but sufficient body concentration can only </w:t>
      </w:r>
      <w:proofErr w:type="gramStart"/>
      <w:r>
        <w:t>be achieved</w:t>
      </w:r>
      <w:proofErr w:type="gramEnd"/>
      <w:r>
        <w:t xml:space="preserve"> through supplementation. </w:t>
      </w:r>
    </w:p>
    <w:p w14:paraId="6CDA6945" w14:textId="77777777" w:rsidR="00A668E7" w:rsidRDefault="00A668E7" w:rsidP="00A668E7">
      <w:r>
        <w:t xml:space="preserve">- [Myricetin](https://www.ncbi.nlm.nih.gov/pubmed/25075019), a flavonoid found in food and red wine, can increase NKC activity. </w:t>
      </w:r>
    </w:p>
    <w:p w14:paraId="1205711C" w14:textId="77777777" w:rsidR="00A668E7" w:rsidRDefault="00A668E7" w:rsidP="00A668E7">
      <w:r>
        <w:t xml:space="preserve">- [Quercetin](https://www.ncbi.nlm.nih.gov/pubmed/19449452), a flavonoid in onions and fruits, may improve NKC and T cell function. </w:t>
      </w:r>
    </w:p>
    <w:p w14:paraId="75D0E828" w14:textId="77777777" w:rsidR="00A668E7" w:rsidRDefault="00A668E7" w:rsidP="00A668E7">
      <w:r>
        <w:t xml:space="preserve">- [Bulgarian yogurt fermented with L. </w:t>
      </w:r>
      <w:proofErr w:type="spellStart"/>
      <w:r>
        <w:t>delbrueckii</w:t>
      </w:r>
      <w:proofErr w:type="spellEnd"/>
      <w:r>
        <w:t xml:space="preserve"> ssp. Bulgaricus augments NKC activity</w:t>
      </w:r>
      <w:proofErr w:type="gramStart"/>
      <w:r>
        <w:t>.](</w:t>
      </w:r>
      <w:proofErr w:type="gramEnd"/>
      <w:r>
        <w:t xml:space="preserve">https://www.ncbi.nlm.nih.gov/pubmed/26686726) </w:t>
      </w:r>
    </w:p>
    <w:p w14:paraId="6A672E14" w14:textId="77777777" w:rsidR="00A668E7" w:rsidRDefault="00A668E7" w:rsidP="00A668E7">
      <w:r>
        <w:t xml:space="preserve">- [Zinc](https://www.ncbi.nlm.nih.gov/pubmed/27021581) helps to improve immune system activity and response. </w:t>
      </w:r>
    </w:p>
    <w:p w14:paraId="135FB6AB" w14:textId="77777777" w:rsidR="00A668E7" w:rsidRDefault="00A668E7" w:rsidP="00A668E7">
      <w:r>
        <w:lastRenderedPageBreak/>
        <w:t xml:space="preserve">- [Inositol </w:t>
      </w:r>
      <w:proofErr w:type="spellStart"/>
      <w:r>
        <w:t>hexaphosphate</w:t>
      </w:r>
      <w:proofErr w:type="spellEnd"/>
      <w:r>
        <w:t xml:space="preserve"> (IP6), found in germ, bran, and whole kernel </w:t>
      </w:r>
      <w:proofErr w:type="gramStart"/>
      <w:r>
        <w:t>corn](</w:t>
      </w:r>
      <w:proofErr w:type="gramEnd"/>
      <w:r>
        <w:t xml:space="preserve">https://www.ncbi.nlm.nih.gov/pubmed/11366552) may activate the immune system and help fight bacterial and fungal infections. </w:t>
      </w:r>
    </w:p>
    <w:p w14:paraId="6A98D239" w14:textId="59EF8C32" w:rsidR="00A668E7" w:rsidRDefault="00A668E7" w:rsidP="00A668E7">
      <w:r>
        <w:t>- [Arabinoxylan rice bran (MGN-3/</w:t>
      </w:r>
      <w:proofErr w:type="spellStart"/>
      <w:proofErr w:type="gramStart"/>
      <w:r>
        <w:t>Biobran</w:t>
      </w:r>
      <w:proofErr w:type="spellEnd"/>
      <w:r>
        <w:t>](</w:t>
      </w:r>
      <w:proofErr w:type="gramEnd"/>
      <w:r>
        <w:t>https://www.ncbi.nlm.nih.gov/pubmed/25541298) increases activation and stimulates cell killing activity.</w:t>
      </w:r>
    </w:p>
    <w:sectPr w:rsidR="00A66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94"/>
    <w:rsid w:val="002E6C40"/>
    <w:rsid w:val="00314F94"/>
    <w:rsid w:val="003F5C46"/>
    <w:rsid w:val="0041222E"/>
    <w:rsid w:val="00835CE8"/>
    <w:rsid w:val="009F4DB3"/>
    <w:rsid w:val="00A42B3B"/>
    <w:rsid w:val="00A668E7"/>
    <w:rsid w:val="00DF0173"/>
    <w:rsid w:val="00FE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F0E4"/>
  <w15:chartTrackingRefBased/>
  <w15:docId w15:val="{02FB13AC-E0DC-41C2-8B12-A7DAF99D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42B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F94"/>
    <w:rPr>
      <w:color w:val="0000FF"/>
      <w:u w:val="single"/>
    </w:rPr>
  </w:style>
  <w:style w:type="character" w:styleId="UnresolvedMention">
    <w:name w:val="Unresolved Mention"/>
    <w:basedOn w:val="DefaultParagraphFont"/>
    <w:uiPriority w:val="99"/>
    <w:semiHidden/>
    <w:unhideWhenUsed/>
    <w:rsid w:val="00835CE8"/>
    <w:rPr>
      <w:color w:val="808080"/>
      <w:shd w:val="clear" w:color="auto" w:fill="E6E6E6"/>
    </w:rPr>
  </w:style>
  <w:style w:type="paragraph" w:styleId="NormalWeb">
    <w:name w:val="Normal (Web)"/>
    <w:basedOn w:val="Normal"/>
    <w:uiPriority w:val="99"/>
    <w:unhideWhenUsed/>
    <w:rsid w:val="00835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2B3B"/>
    <w:rPr>
      <w:rFonts w:ascii="Times New Roman" w:eastAsia="Times New Roman" w:hAnsi="Times New Roman" w:cs="Times New Roman"/>
      <w:b/>
      <w:bCs/>
      <w:sz w:val="27"/>
      <w:szCs w:val="27"/>
    </w:rPr>
  </w:style>
  <w:style w:type="character" w:styleId="Emphasis">
    <w:name w:val="Emphasis"/>
    <w:basedOn w:val="DefaultParagraphFont"/>
    <w:uiPriority w:val="20"/>
    <w:qFormat/>
    <w:rsid w:val="00A42B3B"/>
    <w:rPr>
      <w:i/>
      <w:iCs/>
    </w:rPr>
  </w:style>
  <w:style w:type="paragraph" w:customStyle="1" w:styleId="p">
    <w:name w:val="p"/>
    <w:basedOn w:val="Normal"/>
    <w:rsid w:val="00FE01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081487">
      <w:bodyDiv w:val="1"/>
      <w:marLeft w:val="0"/>
      <w:marRight w:val="0"/>
      <w:marTop w:val="0"/>
      <w:marBottom w:val="0"/>
      <w:divBdr>
        <w:top w:val="none" w:sz="0" w:space="0" w:color="auto"/>
        <w:left w:val="none" w:sz="0" w:space="0" w:color="auto"/>
        <w:bottom w:val="none" w:sz="0" w:space="0" w:color="auto"/>
        <w:right w:val="none" w:sz="0" w:space="0" w:color="auto"/>
      </w:divBdr>
      <w:divsChild>
        <w:div w:id="1222403701">
          <w:marLeft w:val="0"/>
          <w:marRight w:val="0"/>
          <w:marTop w:val="332"/>
          <w:marBottom w:val="332"/>
          <w:divBdr>
            <w:top w:val="none" w:sz="0" w:space="0" w:color="auto"/>
            <w:left w:val="none" w:sz="0" w:space="0" w:color="auto"/>
            <w:bottom w:val="none" w:sz="0" w:space="0" w:color="auto"/>
            <w:right w:val="none" w:sz="0" w:space="0" w:color="auto"/>
          </w:divBdr>
          <w:divsChild>
            <w:div w:id="647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770">
      <w:bodyDiv w:val="1"/>
      <w:marLeft w:val="0"/>
      <w:marRight w:val="0"/>
      <w:marTop w:val="0"/>
      <w:marBottom w:val="0"/>
      <w:divBdr>
        <w:top w:val="none" w:sz="0" w:space="0" w:color="auto"/>
        <w:left w:val="none" w:sz="0" w:space="0" w:color="auto"/>
        <w:bottom w:val="none" w:sz="0" w:space="0" w:color="auto"/>
        <w:right w:val="none" w:sz="0" w:space="0" w:color="auto"/>
      </w:divBdr>
      <w:divsChild>
        <w:div w:id="1198589423">
          <w:marLeft w:val="0"/>
          <w:marRight w:val="0"/>
          <w:marTop w:val="332"/>
          <w:marBottom w:val="332"/>
          <w:divBdr>
            <w:top w:val="none" w:sz="0" w:space="0" w:color="auto"/>
            <w:left w:val="none" w:sz="0" w:space="0" w:color="auto"/>
            <w:bottom w:val="none" w:sz="0" w:space="0" w:color="auto"/>
            <w:right w:val="none" w:sz="0" w:space="0" w:color="auto"/>
          </w:divBdr>
          <w:divsChild>
            <w:div w:id="20338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638">
      <w:bodyDiv w:val="1"/>
      <w:marLeft w:val="0"/>
      <w:marRight w:val="0"/>
      <w:marTop w:val="0"/>
      <w:marBottom w:val="0"/>
      <w:divBdr>
        <w:top w:val="none" w:sz="0" w:space="0" w:color="auto"/>
        <w:left w:val="none" w:sz="0" w:space="0" w:color="auto"/>
        <w:bottom w:val="none" w:sz="0" w:space="0" w:color="auto"/>
        <w:right w:val="none" w:sz="0" w:space="0" w:color="auto"/>
      </w:divBdr>
    </w:div>
    <w:div w:id="1409303985">
      <w:bodyDiv w:val="1"/>
      <w:marLeft w:val="0"/>
      <w:marRight w:val="0"/>
      <w:marTop w:val="0"/>
      <w:marBottom w:val="0"/>
      <w:divBdr>
        <w:top w:val="none" w:sz="0" w:space="0" w:color="auto"/>
        <w:left w:val="none" w:sz="0" w:space="0" w:color="auto"/>
        <w:bottom w:val="none" w:sz="0" w:space="0" w:color="auto"/>
        <w:right w:val="none" w:sz="0" w:space="0" w:color="auto"/>
      </w:divBdr>
      <w:divsChild>
        <w:div w:id="2141073249">
          <w:marLeft w:val="0"/>
          <w:marRight w:val="0"/>
          <w:marTop w:val="0"/>
          <w:marBottom w:val="0"/>
          <w:divBdr>
            <w:top w:val="none" w:sz="0" w:space="0" w:color="auto"/>
            <w:left w:val="none" w:sz="0" w:space="0" w:color="auto"/>
            <w:bottom w:val="none" w:sz="0" w:space="0" w:color="auto"/>
            <w:right w:val="none" w:sz="0" w:space="0" w:color="auto"/>
          </w:divBdr>
        </w:div>
        <w:div w:id="1275407645">
          <w:marLeft w:val="0"/>
          <w:marRight w:val="0"/>
          <w:marTop w:val="0"/>
          <w:marBottom w:val="0"/>
          <w:divBdr>
            <w:top w:val="none" w:sz="0" w:space="0" w:color="auto"/>
            <w:left w:val="none" w:sz="0" w:space="0" w:color="auto"/>
            <w:bottom w:val="none" w:sz="0" w:space="0" w:color="auto"/>
            <w:right w:val="none" w:sz="0" w:space="0" w:color="auto"/>
          </w:divBdr>
        </w:div>
      </w:divsChild>
    </w:div>
    <w:div w:id="141296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tein" TargetMode="External"/><Relationship Id="rId13" Type="http://schemas.openxmlformats.org/officeDocument/2006/relationships/hyperlink" Target="https://en.wikipedia.org/wiki/Gene" TargetMode="External"/><Relationship Id="rId18" Type="http://schemas.openxmlformats.org/officeDocument/2006/relationships/hyperlink" Target="https://en.wikipedia.org/wiki/Mutation" TargetMode="External"/><Relationship Id="rId26" Type="http://schemas.openxmlformats.org/officeDocument/2006/relationships/hyperlink" Target="https://en.wikipedia.org/wiki/Messenger_RNA" TargetMode="External"/><Relationship Id="rId39" Type="http://schemas.openxmlformats.org/officeDocument/2006/relationships/hyperlink" Target="https://en.wikipedia.org/wiki/Charles_Darwin" TargetMode="External"/><Relationship Id="rId3" Type="http://schemas.openxmlformats.org/officeDocument/2006/relationships/webSettings" Target="webSettings.xml"/><Relationship Id="rId21" Type="http://schemas.openxmlformats.org/officeDocument/2006/relationships/hyperlink" Target="https://en.wikipedia.org/wiki/Noncoding_DNA" TargetMode="External"/><Relationship Id="rId34" Type="http://schemas.openxmlformats.org/officeDocument/2006/relationships/hyperlink" Target="https://en.wikipedia.org/wiki/Ribosomal_RNA" TargetMode="External"/><Relationship Id="rId42" Type="http://schemas.openxmlformats.org/officeDocument/2006/relationships/hyperlink" Target="http://www.uniprot.org/uniprot/Q3C1U7" TargetMode="External"/><Relationship Id="rId7" Type="http://schemas.openxmlformats.org/officeDocument/2006/relationships/hyperlink" Target="https://www.ncbi.nlm.nih.gov/pubmed/17517433" TargetMode="External"/><Relationship Id="rId12" Type="http://schemas.openxmlformats.org/officeDocument/2006/relationships/hyperlink" Target="https://www.ncbi.nlm.nih.gov/pubmed/17517433" TargetMode="External"/><Relationship Id="rId17" Type="http://schemas.openxmlformats.org/officeDocument/2006/relationships/hyperlink" Target="https://en.wikipedia.org/wiki/Pseudogene" TargetMode="External"/><Relationship Id="rId25" Type="http://schemas.openxmlformats.org/officeDocument/2006/relationships/hyperlink" Target="https://en.wikipedia.org/wiki/Promoter_(genetics)" TargetMode="External"/><Relationship Id="rId33" Type="http://schemas.openxmlformats.org/officeDocument/2006/relationships/hyperlink" Target="https://en.wikipedia.org/wiki/Transcription_(genetics)" TargetMode="External"/><Relationship Id="rId38" Type="http://schemas.openxmlformats.org/officeDocument/2006/relationships/hyperlink" Target="https://en.wikipedia.org/wiki/Evolution"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Protein" TargetMode="External"/><Relationship Id="rId20" Type="http://schemas.openxmlformats.org/officeDocument/2006/relationships/hyperlink" Target="https://en.wikipedia.org/wiki/Pseudogene" TargetMode="External"/><Relationship Id="rId29" Type="http://schemas.openxmlformats.org/officeDocument/2006/relationships/hyperlink" Target="https://en.wikipedia.org/wiki/CpG_island" TargetMode="External"/><Relationship Id="rId41" Type="http://schemas.openxmlformats.org/officeDocument/2006/relationships/hyperlink" Target="https://en.wikipedia.org/wiki/Speciation" TargetMode="External"/><Relationship Id="rId1" Type="http://schemas.openxmlformats.org/officeDocument/2006/relationships/styles" Target="styles.xml"/><Relationship Id="rId6" Type="http://schemas.openxmlformats.org/officeDocument/2006/relationships/hyperlink" Target="https://www.ncbi.nlm.nih.gov/pubmed/17217050" TargetMode="External"/><Relationship Id="rId11" Type="http://schemas.openxmlformats.org/officeDocument/2006/relationships/hyperlink" Target="https://www.ncbi.nlm.nih.gov/pubmed/17217050" TargetMode="External"/><Relationship Id="rId24" Type="http://schemas.openxmlformats.org/officeDocument/2006/relationships/hyperlink" Target="https://en.wikipedia.org/wiki/Intron" TargetMode="External"/><Relationship Id="rId32" Type="http://schemas.openxmlformats.org/officeDocument/2006/relationships/hyperlink" Target="https://en.wikipedia.org/wiki/Frameshift" TargetMode="External"/><Relationship Id="rId37" Type="http://schemas.openxmlformats.org/officeDocument/2006/relationships/hyperlink" Target="https://en.wikipedia.org/wiki/Junk_DNA" TargetMode="External"/><Relationship Id="rId40" Type="http://schemas.openxmlformats.org/officeDocument/2006/relationships/hyperlink" Target="https://en.wikipedia.org/wiki/Common_descent" TargetMode="External"/><Relationship Id="rId45" Type="http://schemas.openxmlformats.org/officeDocument/2006/relationships/fontTable" Target="fontTable.xml"/><Relationship Id="rId5" Type="http://schemas.openxmlformats.org/officeDocument/2006/relationships/hyperlink" Target="https://www.ncbi.nlm.nih.gov/pubmed/17517433" TargetMode="External"/><Relationship Id="rId15" Type="http://schemas.openxmlformats.org/officeDocument/2006/relationships/hyperlink" Target="https://en.wikipedia.org/wiki/Gene_expression" TargetMode="External"/><Relationship Id="rId23" Type="http://schemas.openxmlformats.org/officeDocument/2006/relationships/hyperlink" Target="https://en.wikipedia.org/wiki/Pseudogene" TargetMode="External"/><Relationship Id="rId28" Type="http://schemas.openxmlformats.org/officeDocument/2006/relationships/hyperlink" Target="https://en.wikipedia.org/wiki/Pseudogene" TargetMode="External"/><Relationship Id="rId36" Type="http://schemas.openxmlformats.org/officeDocument/2006/relationships/hyperlink" Target="https://en.wikipedia.org/wiki/Pseudogene" TargetMode="External"/><Relationship Id="rId10" Type="http://schemas.openxmlformats.org/officeDocument/2006/relationships/hyperlink" Target="https://www.ncbi.nlm.nih.gov/gene/7221" TargetMode="External"/><Relationship Id="rId19" Type="http://schemas.openxmlformats.org/officeDocument/2006/relationships/hyperlink" Target="https://en.wikipedia.org/wiki/Copy-number_variation" TargetMode="External"/><Relationship Id="rId31" Type="http://schemas.openxmlformats.org/officeDocument/2006/relationships/hyperlink" Target="https://en.wikipedia.org/wiki/Stop_codon" TargetMode="External"/><Relationship Id="rId44" Type="http://schemas.openxmlformats.org/officeDocument/2006/relationships/hyperlink" Target="https://www.ncbi.nlm.nih.gov/pubmed/27099524" TargetMode="External"/><Relationship Id="rId4" Type="http://schemas.openxmlformats.org/officeDocument/2006/relationships/hyperlink" Target="https://www.ncbi.nlm.nih.gov/gene/7221" TargetMode="External"/><Relationship Id="rId9" Type="http://schemas.openxmlformats.org/officeDocument/2006/relationships/hyperlink" Target="https://en.wikipedia.org/wiki/Pseudogene" TargetMode="External"/><Relationship Id="rId14" Type="http://schemas.openxmlformats.org/officeDocument/2006/relationships/hyperlink" Target="https://en.wikipedia.org/wiki/Cell_(biology)" TargetMode="External"/><Relationship Id="rId22" Type="http://schemas.openxmlformats.org/officeDocument/2006/relationships/hyperlink" Target="https://en.wikipedia.org/wiki/Regulation_of_gene_expression" TargetMode="External"/><Relationship Id="rId27" Type="http://schemas.openxmlformats.org/officeDocument/2006/relationships/hyperlink" Target="https://en.wikipedia.org/wiki/Chromosome" TargetMode="External"/><Relationship Id="rId30" Type="http://schemas.openxmlformats.org/officeDocument/2006/relationships/hyperlink" Target="https://en.wikipedia.org/wiki/RNA_splicing" TargetMode="External"/><Relationship Id="rId35" Type="http://schemas.openxmlformats.org/officeDocument/2006/relationships/hyperlink" Target="https://en.wikipedia.org/wiki/Pseudogene" TargetMode="External"/><Relationship Id="rId43" Type="http://schemas.openxmlformats.org/officeDocument/2006/relationships/hyperlink" Target="https://www.ebi.ac.uk/QuickGO/term/GO:0005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6</cp:revision>
  <dcterms:created xsi:type="dcterms:W3CDTF">2018-05-11T09:09:00Z</dcterms:created>
  <dcterms:modified xsi:type="dcterms:W3CDTF">2018-05-12T11:22:00Z</dcterms:modified>
</cp:coreProperties>
</file>