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 Display" w:hAnsi="Aptos Display"/>
          <w:b/>
          <w:sz w:val="40"/>
        </w:rPr>
        <w:t>CMS Proactive Program Integrity</w:t>
      </w:r>
    </w:p>
    <w:p>
      <w:r>
        <w:rPr>
          <w:rFonts w:ascii="Aptos" w:hAnsi="Aptos"/>
          <w:i/>
          <w:color w:val="4A5568"/>
          <w:sz w:val="22"/>
        </w:rPr>
        <w:t>Team Kickoff Brief | March 12, 2026</w:t>
      </w:r>
    </w:p>
    <w:p>
      <w:r>
        <w:rPr>
          <w:rFonts w:ascii="Aptos" w:hAnsi="Aptos"/>
          <w:sz w:val="22"/>
        </w:rPr>
        <w:t>Purpose: align the team on the problem, the recommended MVP, the current data assets, and the execution plan for a judge-ready demo.</w:t>
      </w:r>
    </w:p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Executive Summary</w:t>
      </w:r>
    </w:p>
    <w:p>
      <w:r>
        <w:rPr>
          <w:rFonts w:ascii="Aptos" w:hAnsi="Aptos"/>
          <w:sz w:val="22"/>
        </w:rPr>
        <w:t>CMS needs a more proactive and explainable way to identify suspicious provider payment patterns before they scale. Our hackathon solution will use official public CMS and HHS data to create evidence-backed provider risk cases that show both suspicious signals and stabilizing signals.</w:t>
      </w:r>
    </w:p>
    <w:p>
      <w:r>
        <w:rPr>
          <w:rFonts w:ascii="Aptos" w:hAnsi="Aptos"/>
          <w:sz w:val="22"/>
        </w:rPr>
        <w:t>The recommended MVP centers on ProviderServiceCase scoring using Part B provider and service data, enrollment context, revocation context, and peer baselines. We already have a demo-ready CSV with 13,225 scored provider-service cases and enough public data staged locally to continue into graph and UI development immediately.</w:t>
      </w:r>
    </w:p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Problem Statement</w:t>
      </w:r>
    </w:p>
    <w:p>
      <w:r>
        <w:rPr>
          <w:rFonts w:ascii="Aptos" w:hAnsi="Aptos"/>
          <w:sz w:val="22"/>
        </w:rPr>
        <w:t>CMS processes massive payment volume across Medicare and Medicaid, but suspicious provider behavior is often identified only after payments have already been made. That creates a costly pay-and-chase cycle, delays intervention, and makes it harder for reviewers to understand why a billing pattern looks suspicious or why it may still be legitimate.</w:t>
      </w:r>
    </w:p>
    <w:p>
      <w:r>
        <w:rPr>
          <w:rFonts w:ascii="Aptos" w:hAnsi="Aptos"/>
          <w:sz w:val="22"/>
        </w:rPr>
        <w:t>Our opportunity is to build a transparent decision-support system that connects fragmented public billing, enrollment, sanctions, and financial-relationship data into evidence-backed risk cases. The system should help analysts focus faster, justify review decisions clearly, and provide a credible path from public-data MVP to future pre-payment screening.</w:t>
      </w:r>
    </w:p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What We Are Building</w:t>
      </w:r>
    </w:p>
    <w:p>
      <w:r>
        <w:rPr>
          <w:rFonts w:ascii="Aptos" w:hAnsi="Aptos"/>
          <w:sz w:val="22"/>
        </w:rPr>
        <w:t>We are treating the public data honestly. The public CMS files are aggregate provider and provider-service datasets, so the core unit in the demo is a ProviderServiceCase rather than a raw adjudicated claim line.</w:t>
      </w:r>
    </w:p>
    <w:p>
      <w:pPr>
        <w:pStyle w:val="ListParagraph"/>
        <w:numPr>
          <w:ilvl w:val="0"/>
          <w:numId w:val="1"/>
        </w:numPr>
      </w:pPr>
      <w:r>
        <w:t>ProviderServiceCase = NPI + HCPCS + place of service + year</w:t>
      </w:r>
    </w:p>
    <w:p>
      <w:pPr>
        <w:pStyle w:val="ListParagraph"/>
        <w:numPr>
          <w:ilvl w:val="0"/>
          <w:numId w:val="1"/>
        </w:numPr>
      </w:pPr>
      <w:r>
        <w:t>Each case gets a risk score, review band, risk reasons, legitimacy reasons, peer context, and source provenance</w:t>
      </w:r>
    </w:p>
    <w:p>
      <w:pPr>
        <w:pStyle w:val="ListParagraph"/>
        <w:numPr>
          <w:ilvl w:val="0"/>
          <w:numId w:val="1"/>
        </w:numPr>
      </w:pPr>
      <w:r>
        <w:t>The experience should feel like explainable provider evidence intelligence, not a black-box anomaly score</w:t>
      </w:r>
    </w:p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Recommended MVP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7FAFC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880"/>
            <w:shd w:val="clear" w:color="auto" w:fill="F7FAFC"/>
          </w:tcPr>
          <w:p>
            <w:r>
              <w:rPr>
                <w:b/>
                <w:color w:val="FFFFFF"/>
              </w:rPr>
              <w:t>Data Asset</w:t>
            </w:r>
          </w:p>
        </w:tc>
        <w:tc>
          <w:tcPr>
            <w:tcW w:type="dxa" w:w="2880"/>
            <w:shd w:val="clear" w:color="auto" w:fill="F7FAFC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  <w:shd w:val="clear" w:color="auto" w:fill="EDF2F7"/>
          </w:tcPr>
          <w:p>
            <w:r>
              <w:t>Must-have</w:t>
            </w:r>
          </w:p>
        </w:tc>
        <w:tc>
          <w:tcPr>
            <w:tcW w:type="dxa" w:w="2880"/>
            <w:shd w:val="clear" w:color="auto" w:fill="EDF2F7"/>
          </w:tcPr>
          <w:p>
            <w:r>
              <w:t>Part B provider and service, Part B provider, enrollment, revoked providers, NPPES, geographic baselines</w:t>
            </w:r>
          </w:p>
        </w:tc>
        <w:tc>
          <w:tcPr>
            <w:tcW w:type="dxa" w:w="2880"/>
            <w:shd w:val="clear" w:color="auto" w:fill="EDF2F7"/>
          </w:tcPr>
          <w:p>
            <w:r>
              <w:t>Core scoring and identity spine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Strong enrichment</w:t>
            </w:r>
          </w:p>
        </w:tc>
        <w:tc>
          <w:tcPr>
            <w:tcW w:type="dxa" w:w="2880"/>
            <w:shd w:val="clear" w:color="auto" w:fill="F7FAFC"/>
          </w:tcPr>
          <w:p>
            <w:r>
              <w:t>Part D provider and drug, DME referring provider and service, Open Payments physician profile and general payments</w:t>
            </w:r>
          </w:p>
        </w:tc>
        <w:tc>
          <w:tcPr>
            <w:tcW w:type="dxa" w:w="2880"/>
            <w:shd w:val="clear" w:color="auto" w:fill="F7FAFC"/>
          </w:tcPr>
          <w:p>
            <w:r>
              <w:t>Behavior and relationship enrichment</w:t>
            </w:r>
          </w:p>
        </w:tc>
      </w:tr>
      <w:tr>
        <w:tc>
          <w:tcPr>
            <w:tcW w:type="dxa" w:w="2880"/>
            <w:shd w:val="clear" w:color="auto" w:fill="EDF2F7"/>
          </w:tcPr>
          <w:p>
            <w:r>
              <w:t>Use with caution</w:t>
            </w:r>
          </w:p>
        </w:tc>
        <w:tc>
          <w:tcPr>
            <w:tcW w:type="dxa" w:w="2880"/>
            <w:shd w:val="clear" w:color="auto" w:fill="EDF2F7"/>
          </w:tcPr>
          <w:p>
            <w:r>
              <w:t>OIG LEIE</w:t>
            </w:r>
          </w:p>
        </w:tc>
        <w:tc>
          <w:tcPr>
            <w:tcW w:type="dxa" w:w="2880"/>
            <w:shd w:val="clear" w:color="auto" w:fill="EDF2F7"/>
          </w:tcPr>
          <w:p>
            <w:r>
              <w:t>Screening and retrospective validation, not the main label source</w:t>
            </w:r>
          </w:p>
        </w:tc>
      </w:tr>
    </w:tbl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Architecture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7FAFC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F7FAFC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val="clear" w:color="auto" w:fill="F7FAFC"/>
          </w:tcPr>
          <w:p>
            <w:r>
              <w:rPr>
                <w:b/>
                <w:color w:val="FFFFFF"/>
              </w:rPr>
              <w:t>Planned Tooling</w:t>
            </w:r>
          </w:p>
        </w:tc>
      </w:tr>
      <w:tr>
        <w:tc>
          <w:tcPr>
            <w:tcW w:type="dxa" w:w="2880"/>
            <w:shd w:val="clear" w:color="auto" w:fill="EDF2F7"/>
          </w:tcPr>
          <w:p>
            <w:r>
              <w:t>Ingestion</w:t>
            </w:r>
          </w:p>
        </w:tc>
        <w:tc>
          <w:tcPr>
            <w:tcW w:type="dxa" w:w="2880"/>
            <w:shd w:val="clear" w:color="auto" w:fill="EDF2F7"/>
          </w:tcPr>
          <w:p>
            <w:r>
              <w:t>Profile and standardize public CMS and HHS files</w:t>
            </w:r>
          </w:p>
        </w:tc>
        <w:tc>
          <w:tcPr>
            <w:tcW w:type="dxa" w:w="2880"/>
            <w:shd w:val="clear" w:color="auto" w:fill="EDF2F7"/>
          </w:tcPr>
          <w:p>
            <w:r>
              <w:t>DuckDB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Canonical data</w:t>
            </w:r>
          </w:p>
        </w:tc>
        <w:tc>
          <w:tcPr>
            <w:tcW w:type="dxa" w:w="2880"/>
            <w:shd w:val="clear" w:color="auto" w:fill="F7FAFC"/>
          </w:tcPr>
          <w:p>
            <w:r>
              <w:t>Store reusable intermediate outputs</w:t>
            </w:r>
          </w:p>
        </w:tc>
        <w:tc>
          <w:tcPr>
            <w:tcW w:type="dxa" w:w="2880"/>
            <w:shd w:val="clear" w:color="auto" w:fill="F7FAFC"/>
          </w:tcPr>
          <w:p>
            <w:r>
              <w:t>Parquet and curated CSV</w:t>
            </w:r>
          </w:p>
        </w:tc>
      </w:tr>
      <w:tr>
        <w:tc>
          <w:tcPr>
            <w:tcW w:type="dxa" w:w="2880"/>
            <w:shd w:val="clear" w:color="auto" w:fill="EDF2F7"/>
          </w:tcPr>
          <w:p>
            <w:r>
              <w:t>Scoring</w:t>
            </w:r>
          </w:p>
        </w:tc>
        <w:tc>
          <w:tcPr>
            <w:tcW w:type="dxa" w:w="2880"/>
            <w:shd w:val="clear" w:color="auto" w:fill="EDF2F7"/>
          </w:tcPr>
          <w:p>
            <w:r>
              <w:t>Create explainable risk and legitimacy signals</w:t>
            </w:r>
          </w:p>
        </w:tc>
        <w:tc>
          <w:tcPr>
            <w:tcW w:type="dxa" w:w="2880"/>
            <w:shd w:val="clear" w:color="auto" w:fill="EDF2F7"/>
          </w:tcPr>
          <w:p>
            <w:r>
              <w:t>Feature rules and anomaly scoring</w:t>
            </w:r>
          </w:p>
        </w:tc>
      </w:tr>
      <w:tr>
        <w:tc>
          <w:tcPr>
            <w:tcW w:type="dxa" w:w="2880"/>
            <w:shd w:val="clear" w:color="auto" w:fill="F7FAFC"/>
          </w:tcPr>
          <w:p>
            <w:r>
              <w:t>Graph</w:t>
            </w:r>
          </w:p>
        </w:tc>
        <w:tc>
          <w:tcPr>
            <w:tcW w:type="dxa" w:w="2880"/>
            <w:shd w:val="clear" w:color="auto" w:fill="F7FAFC"/>
          </w:tcPr>
          <w:p>
            <w:r>
              <w:t>Project entities and relationships for drill-down</w:t>
            </w:r>
          </w:p>
        </w:tc>
        <w:tc>
          <w:tcPr>
            <w:tcW w:type="dxa" w:w="2880"/>
            <w:shd w:val="clear" w:color="auto" w:fill="F7FAFC"/>
          </w:tcPr>
          <w:p>
            <w:r>
              <w:t>Graph projection and investigation view</w:t>
            </w:r>
          </w:p>
        </w:tc>
      </w:tr>
      <w:tr>
        <w:tc>
          <w:tcPr>
            <w:tcW w:type="dxa" w:w="2880"/>
            <w:shd w:val="clear" w:color="auto" w:fill="EDF2F7"/>
          </w:tcPr>
          <w:p>
            <w:r>
              <w:t>Experience</w:t>
            </w:r>
          </w:p>
        </w:tc>
        <w:tc>
          <w:tcPr>
            <w:tcW w:type="dxa" w:w="2880"/>
            <w:shd w:val="clear" w:color="auto" w:fill="EDF2F7"/>
          </w:tcPr>
          <w:p>
            <w:r>
              <w:t>Show ranked cases, evidence, and peer context</w:t>
            </w:r>
          </w:p>
        </w:tc>
        <w:tc>
          <w:tcPr>
            <w:tcW w:type="dxa" w:w="2880"/>
            <w:shd w:val="clear" w:color="auto" w:fill="EDF2F7"/>
          </w:tcPr>
          <w:p>
            <w:r>
              <w:t>Explainable case API and UI</w:t>
            </w:r>
          </w:p>
        </w:tc>
      </w:tr>
    </w:tbl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Current Demo Dataset Snapshot</w:t>
      </w:r>
    </w:p>
    <w:p>
      <w:r>
        <w:rPr>
          <w:rFonts w:ascii="Aptos" w:hAnsi="Aptos"/>
          <w:sz w:val="22"/>
        </w:rPr>
        <w:t>The current export was built from Part B provider and service, Part B provider, public provider enrollment, and revoked providers. It is intended as a judge-ready seed dataset for ranking and storytelling, not as a final production model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7FAF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val="clear" w:color="auto" w:fill="F7FAFC"/>
          </w:tcPr>
          <w:p>
            <w:r>
              <w:rPr>
                <w:b/>
                <w:color w:val="FFFFFF"/>
              </w:rPr>
              <w:t>Current Output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t>Rows</w:t>
            </w:r>
          </w:p>
        </w:tc>
        <w:tc>
          <w:tcPr>
            <w:tcW w:type="dxa" w:w="4320"/>
            <w:shd w:val="clear" w:color="auto" w:fill="EDF2F7"/>
          </w:tcPr>
          <w:p>
            <w:r>
              <w:t>13,225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Unique NPIs</w:t>
            </w:r>
          </w:p>
        </w:tc>
        <w:tc>
          <w:tcPr>
            <w:tcW w:type="dxa" w:w="4320"/>
            <w:shd w:val="clear" w:color="auto" w:fill="F7FAFC"/>
          </w:tcPr>
          <w:p>
            <w:r>
              <w:t>10,282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t>Case bands</w:t>
            </w:r>
          </w:p>
        </w:tc>
        <w:tc>
          <w:tcPr>
            <w:tcW w:type="dxa" w:w="4320"/>
            <w:shd w:val="clear" w:color="auto" w:fill="EDF2F7"/>
          </w:tcPr>
          <w:p>
            <w:r>
              <w:t>225 high_risk | 7,000 review | 6,000 stable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Key explanation columns</w:t>
            </w:r>
          </w:p>
        </w:tc>
        <w:tc>
          <w:tcPr>
            <w:tcW w:type="dxa" w:w="4320"/>
            <w:shd w:val="clear" w:color="auto" w:fill="F7FAFC"/>
          </w:tcPr>
          <w:p>
            <w:r>
              <w:t>seed_risk_reasons | seed_legitimacy_reasons | peer z-scores | enrollment and revocation context</w:t>
            </w:r>
          </w:p>
        </w:tc>
      </w:tr>
    </w:tbl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How We Win With Judges</w:t>
      </w:r>
    </w:p>
    <w:p>
      <w:r>
        <w:rPr>
          <w:rFonts w:ascii="Aptos" w:hAnsi="Aptos"/>
          <w:sz w:val="22"/>
        </w:rPr>
        <w:t>The strongest position is not that we built a black-box fraud model. The strongest position is that we built explainable provider evidence intelligence using official public data and a credible path to pilot adoption.</w:t>
      </w:r>
    </w:p>
    <w:p>
      <w:pPr>
        <w:pStyle w:val="ListParagraph"/>
        <w:numPr>
          <w:ilvl w:val="0"/>
          <w:numId w:val="1"/>
        </w:numPr>
      </w:pPr>
      <w:r>
        <w:t>Use official public CMS and HHS data</w:t>
      </w:r>
    </w:p>
    <w:p>
      <w:pPr>
        <w:pStyle w:val="ListParagraph"/>
        <w:numPr>
          <w:ilvl w:val="0"/>
          <w:numId w:val="1"/>
        </w:numPr>
      </w:pPr>
      <w:r>
        <w:t>Connect behavior, identity, enrollment, sanctions, and financial relationships</w:t>
      </w:r>
    </w:p>
    <w:p>
      <w:pPr>
        <w:pStyle w:val="ListParagraph"/>
        <w:numPr>
          <w:ilvl w:val="0"/>
          <w:numId w:val="1"/>
        </w:numPr>
      </w:pPr>
      <w:r>
        <w:t>Show both suspicion signals and legitimacy signals</w:t>
      </w:r>
    </w:p>
    <w:p>
      <w:pPr>
        <w:pStyle w:val="ListParagraph"/>
        <w:numPr>
          <w:ilvl w:val="0"/>
          <w:numId w:val="1"/>
        </w:numPr>
      </w:pPr>
      <w:r>
        <w:t>Preserve explainability and source provenance</w:t>
      </w:r>
    </w:p>
    <w:p>
      <w:pPr>
        <w:pStyle w:val="ListParagraph"/>
        <w:numPr>
          <w:ilvl w:val="0"/>
          <w:numId w:val="1"/>
        </w:numPr>
      </w:pPr>
      <w:r>
        <w:t>Tell a clear path from MVP to future pre-payment review</w:t>
      </w:r>
    </w:p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Team Workstreams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7FAFC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4320"/>
            <w:shd w:val="clear" w:color="auto" w:fill="F7FAFC"/>
          </w:tcPr>
          <w:p>
            <w:r>
              <w:rPr>
                <w:b/>
                <w:color w:val="FFFFFF"/>
              </w:rPr>
              <w:t>Primary Focus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t>Data and scoring</w:t>
            </w:r>
          </w:p>
        </w:tc>
        <w:tc>
          <w:tcPr>
            <w:tcW w:type="dxa" w:w="4320"/>
            <w:shd w:val="clear" w:color="auto" w:fill="EDF2F7"/>
          </w:tcPr>
          <w:p>
            <w:r>
              <w:t>Stabilize the provider identity spine, enrich the case file, and refine signal logic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Graph and backend</w:t>
            </w:r>
          </w:p>
        </w:tc>
        <w:tc>
          <w:tcPr>
            <w:tcW w:type="dxa" w:w="4320"/>
            <w:shd w:val="clear" w:color="auto" w:fill="F7FAFC"/>
          </w:tcPr>
          <w:p>
            <w:r>
              <w:t>Define entities and edges, load curated data, and expose drill-down APIs</w:t>
            </w:r>
          </w:p>
        </w:tc>
      </w:tr>
      <w:tr>
        <w:tc>
          <w:tcPr>
            <w:tcW w:type="dxa" w:w="4320"/>
            <w:shd w:val="clear" w:color="auto" w:fill="EDF2F7"/>
          </w:tcPr>
          <w:p>
            <w:r>
              <w:t>Frontend and demo</w:t>
            </w:r>
          </w:p>
        </w:tc>
        <w:tc>
          <w:tcPr>
            <w:tcW w:type="dxa" w:w="4320"/>
            <w:shd w:val="clear" w:color="auto" w:fill="EDF2F7"/>
          </w:tcPr>
          <w:p>
            <w:r>
              <w:t>Build ranked queue, case detail, peer comparison, and graph views</w:t>
            </w:r>
          </w:p>
        </w:tc>
      </w:tr>
      <w:tr>
        <w:tc>
          <w:tcPr>
            <w:tcW w:type="dxa" w:w="4320"/>
            <w:shd w:val="clear" w:color="auto" w:fill="F7FAFC"/>
          </w:tcPr>
          <w:p>
            <w:r>
              <w:t>Deck and narrative</w:t>
            </w:r>
          </w:p>
        </w:tc>
        <w:tc>
          <w:tcPr>
            <w:tcW w:type="dxa" w:w="4320"/>
            <w:shd w:val="clear" w:color="auto" w:fill="F7FAFC"/>
          </w:tcPr>
          <w:p>
            <w:r>
              <w:t>Finalize the story, architecture, responsible AI framing, and path-to-pilot pitch</w:t>
            </w:r>
          </w:p>
        </w:tc>
      </w:tr>
    </w:tbl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Decisions Needed Today</w:t>
      </w:r>
    </w:p>
    <w:p>
      <w:pPr>
        <w:pStyle w:val="ListParagraph"/>
        <w:numPr>
          <w:ilvl w:val="0"/>
          <w:numId w:val="2"/>
        </w:numPr>
      </w:pPr>
      <w:r>
        <w:t>Approve ProviderServiceCase as the main scored unit</w:t>
      </w:r>
    </w:p>
    <w:p>
      <w:pPr>
        <w:pStyle w:val="ListParagraph"/>
        <w:numPr>
          <w:ilvl w:val="0"/>
          <w:numId w:val="2"/>
        </w:numPr>
      </w:pPr>
      <w:r>
        <w:t>Approve DuckDB plus Parquet plus graph projection as the technical direction</w:t>
      </w:r>
    </w:p>
    <w:p>
      <w:pPr>
        <w:pStyle w:val="ListParagraph"/>
        <w:numPr>
          <w:ilvl w:val="0"/>
          <w:numId w:val="2"/>
        </w:numPr>
      </w:pPr>
      <w:r>
        <w:t>Decide whether Open Payments is phase 1 enrichment or phase 2 enrichment</w:t>
      </w:r>
    </w:p>
    <w:p>
      <w:pPr>
        <w:pStyle w:val="ListParagraph"/>
        <w:numPr>
          <w:ilvl w:val="0"/>
          <w:numId w:val="2"/>
        </w:numPr>
      </w:pPr>
      <w:r>
        <w:t>Decide whether the first demo uses only the generated CSV or also includes live graph data</w:t>
      </w:r>
    </w:p>
    <w:p>
      <w:pPr>
        <w:pStyle w:val="ListParagraph"/>
        <w:numPr>
          <w:ilvl w:val="0"/>
          <w:numId w:val="2"/>
        </w:numPr>
      </w:pPr>
      <w:r>
        <w:t>Assign owners for data, UI, graph and backend, and deck and demo</w:t>
      </w:r>
    </w:p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Recommended Next 24 Hours</w:t>
      </w:r>
    </w:p>
    <w:p>
      <w:pPr>
        <w:pStyle w:val="ListParagraph"/>
        <w:numPr>
          <w:ilvl w:val="0"/>
          <w:numId w:val="2"/>
        </w:numPr>
      </w:pPr>
      <w:r>
        <w:t>Lock the demo storyline around high risk, review, and stable cases</w:t>
      </w:r>
    </w:p>
    <w:p>
      <w:pPr>
        <w:pStyle w:val="ListParagraph"/>
        <w:numPr>
          <w:ilvl w:val="0"/>
          <w:numId w:val="2"/>
        </w:numPr>
      </w:pPr>
      <w:r>
        <w:t>Add Part D and Open Payments enrichment to the demo case file</w:t>
      </w:r>
    </w:p>
    <w:p>
      <w:pPr>
        <w:pStyle w:val="ListParagraph"/>
        <w:numPr>
          <w:ilvl w:val="0"/>
          <w:numId w:val="2"/>
        </w:numPr>
      </w:pPr>
      <w:r>
        <w:t>Pick 10 to 15 showcase cases for the live demo</w:t>
      </w:r>
    </w:p>
    <w:p>
      <w:pPr>
        <w:pStyle w:val="ListParagraph"/>
        <w:numPr>
          <w:ilvl w:val="0"/>
          <w:numId w:val="2"/>
        </w:numPr>
      </w:pPr>
      <w:r>
        <w:t>Draft the UI wireframe and the architecture slide</w:t>
      </w:r>
    </w:p>
    <w:p>
      <w:pPr>
        <w:pStyle w:val="ListParagraph"/>
        <w:numPr>
          <w:ilvl w:val="0"/>
          <w:numId w:val="2"/>
        </w:numPr>
      </w:pPr>
      <w:r>
        <w:t>Split implementation ownership across the team</w:t>
      </w:r>
    </w:p>
    <w:p>
      <w:pPr>
        <w:pStyle w:val="Heading2"/>
        <w:pBdr>
          <w:bottom w:val="single" w:sz="4" w:space="0" w:color="000000"/>
        </w:pBdr>
      </w:pPr>
      <w:r>
        <w:rPr>
          <w:rFonts w:ascii="Aptos" w:hAnsi="Aptos"/>
          <w:b/>
          <w:sz w:val="28"/>
        </w:rPr>
        <w:t>Bottom Line</w:t>
      </w:r>
    </w:p>
    <w:p>
      <w:r>
        <w:rPr>
          <w:rFonts w:ascii="Aptos" w:hAnsi="Aptos"/>
          <w:b/>
          <w:color w:val="1F2937"/>
          <w:sz w:val="22"/>
        </w:rPr>
        <w:t>We already have enough public data and one working demo dataset to start building immediately. The highest-leverage path is to keep the system explainable, provider-centered, and evidence-backed, then turn that into a polished case-review experience for judges.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CMS Proactive Program Integrity Team Kickoff Brief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