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Material</w:t>
      </w:r>
    </w:p>
    <w:p>
      <w:pPr>
        <w:jc w:val="center"/>
      </w:pPr>
      <w:r>
        <w:rPr>
          <w:i/>
          <w:sz w:val="22"/>
        </w:rPr>
        <w:t>BCS-StackNet: Stacking Ensemble Prediction of BCS Properties with Conformal Uncertainty Quantification</w:t>
      </w:r>
    </w:p>
    <w:p/>
    <w:p>
      <w:r>
        <w:rPr>
          <w:b/>
          <w:sz w:val="20"/>
        </w:rPr>
        <w:t>Table A1. Ablation Study: Descriptor Family and Model Architecture Performance</w:t>
      </w:r>
    </w:p>
    <w:p>
      <w:r>
        <w:rPr>
          <w:sz w:val="18"/>
        </w:rPr>
        <w:t>Test-set R² for all seven descriptor combinations (stacking ensemble) and five model architectures (full combined feature set: Morgan ECFP + RDKit 2D + Mordred) across all four BCS-relevant endpoints. Bold values indicate the best-performing configuration per endpoint. Stacking ensemble = LightGBM + XGBoost + CatBoost + Random Forest with ElasticNet meta-learner.</w:t>
      </w:r>
    </w:p>
    <w:p/>
    <w:p>
      <w:r>
        <w:rPr>
          <w:b/>
          <w:sz w:val="20"/>
          <w:u w:val="single"/>
        </w:rPr>
        <w:t>Part A: Descriptor Family Ablation (Stacking Ensemble)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Descriptor Set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S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D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Papp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S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D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Papp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S</w:t>
              <w:br/>
              <w:t>MAE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</w:t>
              <w:br/>
              <w:t>MAE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D</w:t>
              <w:br/>
              <w:t>MAE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Papp</w:t>
              <w:br/>
              <w:t>MAE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Morgan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0.6806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0.8171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0.6030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0.7179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1.3103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0.8053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0.6441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0.4003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0.9297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0.5635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0.4864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0.2994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RDKit-2D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0.8280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0.9414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0.7159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0.7300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0.9616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0.4558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0.5449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0.3917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0.6061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0.3105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0.3950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0.2941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Mordred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0.8376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0.9451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0.7443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0.7146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0.9342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0.4411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0.5169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0.4026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0.5929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0.3047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0.3896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Morgan+RDKit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0.8278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0.9423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0.7320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0.7436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0.9621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0.4525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0.5291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0.3817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0.6107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0.3119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0.3861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0.2894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Morgan+Mordred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0.8373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0.9441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0.7523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0.7257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0.9351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0.4452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0.5088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0.3948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0.5968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0.3063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0.3790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0.2969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RDKit+Mordred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0.8384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0.9449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0.7292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0.7155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0.9318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0.4419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0.5320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0.4020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0.5887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0.3001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0.3963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0.2999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6"/>
              </w:rPr>
              <w:t>All (M+R+Mo)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0.8401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0.9438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0.7425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0.7180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0.9269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0.4466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0.5187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0.4003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0.5898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0.3037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0.3840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0.3006</w:t>
            </w:r>
          </w:p>
        </w:tc>
      </w:tr>
    </w:tbl>
    <w:p/>
    <w:p>
      <w:r>
        <w:rPr>
          <w:b/>
          <w:sz w:val="20"/>
          <w:u w:val="single"/>
        </w:rPr>
        <w:t>Part B: Model Architecture Ablation (Full Combined Feature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S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D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Papp</w:t>
              <w:br/>
              <w:t>R²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S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D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Papp</w:t>
              <w:br/>
              <w:t>RMSE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S</w:t>
              <w:br/>
              <w:t>MAE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</w:t>
              <w:br/>
              <w:t>MAE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D</w:t>
              <w:br/>
              <w:t>MAE</w:t>
            </w:r>
          </w:p>
        </w:tc>
        <w:tc>
          <w:tcPr>
            <w:tcW w:type="dxa" w:w="7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Log Papp</w:t>
              <w:br/>
              <w:t>MAE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LightGBM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0.8338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0.9487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0.7453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0.5698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0.9450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0.4265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0.5159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0.4794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0.6132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0.3002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0.3812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0.3591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0.8224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0.9483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0.7566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0.5697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0.9770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0.4284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0.5043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0.4794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0.6440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0.2851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0.3828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0.3537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CatBoost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0.8358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0.9515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0.7517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0.5565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0.9395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0.4149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0.5093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0.4867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0.5947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0.2916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0.3808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0.3618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0.8036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0.9023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0.5586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0.4751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1.0275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0.5886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0.6792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0.5295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0.6863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0.4267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0.5270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0.4019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  <w:sz w:val="16"/>
              </w:rPr>
              <w:t>Stacking Ensemble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0.8388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0.9525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0.7683</w:t>
            </w:r>
          </w:p>
        </w:tc>
        <w:tc>
          <w:tcPr>
            <w:tcW w:type="dxa" w:w="792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sz w:val="16"/>
              </w:rPr>
              <w:t>0.7470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0.9307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0.4105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0.4920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0.3791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0.5883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0.2799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0.3652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16"/>
              </w:rPr>
              <w:t>0.2861</w:t>
            </w:r>
          </w:p>
        </w:tc>
      </w:tr>
    </w:tbl>
    <w:p/>
    <w:p>
      <w:r>
        <w:rPr>
          <w:b/>
          <w:sz w:val="18"/>
        </w:rPr>
        <w:t xml:space="preserve">Note: </w:t>
      </w:r>
      <w:r>
        <w:rPr>
          <w:sz w:val="18"/>
        </w:rPr>
        <w:t>Green highlight = best R² per endpoint. M = Morgan ECFP (2048-bit, r=2); R = RDKit 2D (208 descriptors); Mo = Mordred (~1,400 descriptors after filtering). All (M+R+Mo) = full 1,613-feature combined set. Model ablation uses fixed stacking hyperparameters; final deployed models used Optuna-tuned hyperparameters. All values reported on held-out test set (10% of data, random_state=42).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