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color w:val="1F3A5F"/>
          <w:sz w:val="30"/>
          <w:szCs w:val="30"/>
        </w:rPr>
        <w:t xml:space="preserve">Réponses aux commentaires de Ludovic Marin – Article 1 (MediaPipe vs Vicon)</w:t>
      </w:r>
    </w:p>
    <w:p>
      <w:pPr>
        <w:spacing w:after="120" w:line="300"/>
        <w:jc w:val="both"/>
      </w:pPr>
      <w:r>
        <w:rPr>
          <w:rFonts w:ascii="Calibri" w:cs="Calibri" w:eastAsia="Calibri" w:hAnsi="Calibri"/>
          <w:b/>
          <w:bCs/>
        </w:rPr>
        <w:t xml:space="preserve">Bilan.</w:t>
      </w:r>
      <w:r>
        <w:rPr>
          <w:rFonts w:ascii="Calibri" w:cs="Calibri" w:eastAsia="Calibri" w:hAnsi="Calibri"/>
        </w:rPr>
        <w:t xml:space="preserve"> 51 commentaires : 29 traités dans le texte, 15 traités par une nouvelle analyse, 5 partiellement traités, 2 nécessitant des informations absentes des données (surlignées en jaune dans l'article).</w:t>
      </w:r>
    </w:p>
    <w:p>
      <w:pPr>
        <w:pStyle w:val="Heading2"/>
        <w:spacing w:after="100" w:before="200"/>
      </w:pPr>
      <w:r>
        <w:rPr>
          <w:rFonts w:ascii="Calibri" w:cs="Calibri" w:eastAsia="Calibri" w:hAnsi="Calibri"/>
        </w:rPr>
        <w:t xml:space="preserve">Ce qui a changé dans les résultats</w:t>
      </w:r>
    </w:p>
    <w:p>
      <w:pPr>
        <w:spacing w:after="120" w:line="300"/>
        <w:jc w:val="both"/>
      </w:pPr>
      <w:r>
        <w:rPr>
          <w:rFonts w:ascii="Calibri" w:cs="Calibri" w:eastAsia="Calibri" w:hAnsi="Calibri"/>
          <w:b/>
          <w:bCs/>
        </w:rPr>
        <w:t xml:space="preserve">QoM des poignets :</w:t>
      </w:r>
      <w:r>
        <w:rPr>
          <w:rFonts w:ascii="Calibri" w:cs="Calibri" w:eastAsia="Calibri" w:hAnsi="Calibri"/>
        </w:rPr>
        <w:t xml:space="preserve"> de r = ,93 / ICC = ,86 / biais +28 % à r = ,96 / ICC = ,95 / biais +6 %. Le biais venait des coordonnées normalisées de MediaPipe, et non d'un défaut de MediaPipe.</w:t>
      </w:r>
    </w:p>
    <w:p>
      <w:pPr>
        <w:spacing w:after="120" w:line="300"/>
        <w:jc w:val="both"/>
      </w:pPr>
      <w:r>
        <w:rPr>
          <w:rFonts w:ascii="Calibri" w:cs="Calibri" w:eastAsia="Calibri" w:hAnsi="Calibri"/>
          <w:b/>
          <w:bCs/>
        </w:rPr>
        <w:t xml:space="preserve">QoM de la tête :</w:t>
      </w:r>
      <w:r>
        <w:rPr>
          <w:rFonts w:ascii="Calibri" w:cs="Calibri" w:eastAsia="Calibri" w:hAnsi="Calibri"/>
        </w:rPr>
        <w:t xml:space="preserve"> l'ICC de ,89 de la version précédente était un artefact : les coordonnées normalisées gonflaient les déplacements verticaux et compensaient une sous-estimation réelle de MediaPipe. En pixels, l'association reste forte (r = ,79 à ,92) mais MediaPipe sous-estime le déplacement d'environ 25 % face au milieu des tempes, que la comparaison soit faite en pixels ou après normalisation par la largeur d'épaule. Le nez virtuel, dont la position est supposée, n'est utilisé qu'en analyse de sensibilité.</w:t>
      </w:r>
    </w:p>
    <w:p>
      <w:pPr>
        <w:spacing w:after="120" w:line="300"/>
        <w:jc w:val="both"/>
      </w:pPr>
      <w:r>
        <w:rPr>
          <w:rFonts w:ascii="Calibri" w:cs="Calibri" w:eastAsia="Calibri" w:hAnsi="Calibri"/>
          <w:b/>
          <w:bCs/>
        </w:rPr>
        <w:t xml:space="preserve">Amplitude :</w:t>
      </w:r>
      <w:r>
        <w:rPr>
          <w:rFonts w:ascii="Calibri" w:cs="Calibri" w:eastAsia="Calibri" w:hAnsi="Calibri"/>
        </w:rPr>
        <w:t xml:space="preserve"> l'ICC passe de ,14–,40 à ,82 dans le plan image. Il est excellent debout (,93) et modéré assis (,52).</w:t>
      </w:r>
    </w:p>
    <w:p>
      <w:pPr>
        <w:spacing w:after="120" w:line="300"/>
        <w:jc w:val="both"/>
      </w:pPr>
      <w:r>
        <w:rPr>
          <w:rFonts w:ascii="Calibri" w:cs="Calibri" w:eastAsia="Calibri" w:hAnsi="Calibri"/>
          <w:b/>
          <w:bCs/>
        </w:rPr>
        <w:t xml:space="preserve">Angle du coude :</w:t>
      </w:r>
      <w:r>
        <w:rPr>
          <w:rFonts w:ascii="Calibri" w:cs="Calibri" w:eastAsia="Calibri" w:hAnsi="Calibri"/>
        </w:rPr>
        <w:t xml:space="preserve"> la grille « plans XY/XZ/YZ » est remplacée par la distinction bras proche / bras éloigné de la caméra. Bras proche : r = ,93, RMSE médiane 12°. Bras éloigné : r = ,75, RMSE 46°, ramenée à 21° avec les world landmarks.</w:t>
      </w:r>
    </w:p>
    <w:p>
      <w:pPr>
        <w:pStyle w:val="Heading2"/>
        <w:spacing w:after="100" w:before="200"/>
      </w:pPr>
      <w:r>
        <w:rPr>
          <w:rFonts w:ascii="Calibri" w:cs="Calibri" w:eastAsia="Calibri" w:hAnsi="Calibri"/>
        </w:rPr>
        <w:t xml:space="preserve">Problèmes de données découverts</w:t>
      </w:r>
    </w:p>
    <w:p>
      <w:pPr>
        <w:spacing w:after="120" w:line="300"/>
        <w:jc w:val="both"/>
      </w:pPr>
      <w:r>
        <w:rPr>
          <w:rFonts w:ascii="Calibri" w:cs="Calibri" w:eastAsia="Calibri" w:hAnsi="Calibri"/>
        </w:rPr>
        <w:t xml:space="preserve">(1) </w:t>
      </w:r>
      <w:r>
        <w:rPr>
          <w:rFonts w:ascii="Calibri" w:cs="Calibri" w:eastAsia="Calibri" w:hAnsi="Calibri"/>
          <w:b/>
          <w:bCs/>
        </w:rPr>
        <w:t xml:space="preserve">Vidéos inversées :</w:t>
      </w:r>
      <w:r>
        <w:rPr>
          <w:rFonts w:ascii="Calibri" w:cs="Calibri" w:eastAsia="Calibri" w:hAnsi="Calibri"/>
        </w:rPr>
        <w:t xml:space="preserve"> en D14 semi-debout, la vidéo étiquetée P1 est celle de P2, et inversement (r = ,96 après inversion). (2) </w:t>
      </w:r>
      <w:r>
        <w:rPr>
          <w:rFonts w:ascii="Calibri" w:cs="Calibri" w:eastAsia="Calibri" w:hAnsi="Calibri"/>
          <w:b/>
          <w:bCs/>
        </w:rPr>
        <w:t xml:space="preserve">Pas de synchronisation :</w:t>
      </w:r>
      <w:r>
        <w:rPr>
          <w:rFonts w:ascii="Calibri" w:cs="Calibri" w:eastAsia="Calibri" w:hAnsi="Calibri"/>
        </w:rPr>
        <w:t xml:space="preserve"> les décalages atteignaient 7,4 s, dont 19 enregistrements au-delà de 0,4 s. (3) </w:t>
      </w:r>
      <w:r>
        <w:rPr>
          <w:rFonts w:ascii="Calibri" w:cs="Calibri" w:eastAsia="Calibri" w:hAnsi="Calibri"/>
          <w:b/>
          <w:bCs/>
        </w:rPr>
        <w:t xml:space="preserve">Appariement des images :</w:t>
      </w:r>
      <w:r>
        <w:rPr>
          <w:rFonts w:ascii="Calibri" w:cs="Calibri" w:eastAsia="Calibri" w:hAnsi="Calibri"/>
        </w:rPr>
        <w:t xml:space="preserve"> il se faisait sur l'indice de ligne au lieu du numéro d'image, alors que les images non détectées étaient supprimées. (4) </w:t>
      </w:r>
      <w:r>
        <w:rPr>
          <w:rFonts w:ascii="Calibri" w:cs="Calibri" w:eastAsia="Calibri" w:hAnsi="Calibri"/>
          <w:b/>
          <w:bCs/>
        </w:rPr>
        <w:t xml:space="preserve">Vicon :</w:t>
      </w:r>
      <w:r>
        <w:rPr>
          <w:rFonts w:ascii="Calibri" w:cs="Calibri" w:eastAsia="Calibri" w:hAnsi="Calibri"/>
        </w:rPr>
        <w:t xml:space="preserve"> brèves inversions de labels dans 13 enregistrements. (5) </w:t>
      </w:r>
      <w:r>
        <w:rPr>
          <w:rFonts w:ascii="Calibri" w:cs="Calibri" w:eastAsia="Calibri" w:hAnsi="Calibri"/>
          <w:b/>
          <w:bCs/>
        </w:rPr>
        <w:t xml:space="preserve">Hanches et genoux :</w:t>
      </w:r>
      <w:r>
        <w:rPr>
          <w:rFonts w:ascii="Calibri" w:cs="Calibri" w:eastAsia="Calibri" w:hAnsi="Calibri"/>
        </w:rPr>
        <w:t xml:space="preserve"> marqueurs absents dans 118 des 120 enregistrements. (6) </w:t>
      </w:r>
      <w:r>
        <w:rPr>
          <w:rFonts w:ascii="Calibri" w:cs="Calibri" w:eastAsia="Calibri" w:hAnsi="Calibri"/>
          <w:b/>
          <w:bCs/>
        </w:rPr>
        <w:t xml:space="preserve">Formats d'export Vicon :</w:t>
      </w:r>
      <w:r>
        <w:rPr>
          <w:rFonts w:ascii="Calibri" w:cs="Calibri" w:eastAsia="Calibri" w:hAnsi="Calibri"/>
        </w:rPr>
        <w:t xml:space="preserve"> les dyades 13 à 15 ont un en-tête de 4 lignes au lieu de 5. (7) </w:t>
      </w:r>
      <w:r>
        <w:rPr>
          <w:rFonts w:ascii="Calibri" w:cs="Calibri" w:eastAsia="Calibri" w:hAnsi="Calibri"/>
          <w:b/>
          <w:bCs/>
        </w:rPr>
        <w:t xml:space="preserve">Repère du laboratoire :</w:t>
      </w:r>
      <w:r>
        <w:rPr>
          <w:rFonts w:ascii="Calibri" w:cs="Calibri" w:eastAsia="Calibri" w:hAnsi="Calibri"/>
        </w:rPr>
        <w:t xml:space="preserve"> l'orientation diffère selon les sessions.</w:t>
      </w:r>
    </w:p>
    <w:p>
      <w:pPr>
        <w:pStyle w:val="Heading2"/>
        <w:spacing w:after="100" w:before="200"/>
      </w:pPr>
      <w:r>
        <w:rPr>
          <w:rFonts w:ascii="Calibri" w:cs="Calibri" w:eastAsia="Calibri" w:hAnsi="Calibri"/>
        </w:rPr>
        <w:t xml:space="preserve">Réponses point par point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
        <w:gridCol w:w="2900"/>
        <w:gridCol w:w="1250"/>
        <w:gridCol w:w="4600"/>
      </w:tblGrid>
      <w:tr>
        <w:trPr>
          <w:cantSplit/>
          <w:tblHeader/>
        </w:trPr>
        <w:tc>
          <w:tcPr>
            <w:tcW w:type="dxa" w:w="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w:t>
            </w:r>
          </w:p>
        </w:tc>
        <w:tc>
          <w:tcPr>
            <w:tcW w:type="dxa" w:w="2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Commentaire (résumé)</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Statut</w:t>
            </w:r>
          </w:p>
        </w:tc>
        <w:tc>
          <w:tcPr>
            <w:tcW w:type="dxa" w:w="4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Traitement</w:t>
            </w:r>
          </w:p>
        </w:tc>
      </w:tr>
      <w:tr>
        <w:trPr>
          <w:cantSplit/>
          <w:tblHeader w:val="off"/>
        </w:trPr>
        <w:tc>
          <w:tcPr>
            <w:tcW w:type="dxa" w:w="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w:t>
            </w:r>
          </w:p>
        </w:tc>
        <w:tc>
          <w:tcPr>
            <w:tcW w:type="dxa" w:w="2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Avis général : trois problèmes de fond (valeurs implausibles, géométrie caméra, synchronisation)</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Audit complet de la pipeline. Valeurs implausibles expliquées (inversions de labels Vicon dans 3 enregistrements, conversion d'échelle, coordonnées normalisées) ; calibration des caméras par DLT avec bras exclus ; synchronisation estimée par enregistrement. Titre, auteurs, mots-clés ajoutés ; revue cible : BRM.</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 À tous les niveaux » flou</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Résumé réécrit : niveaux global, local et interactionnel nommés.</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RMSE sans unité ; biais de 24 = ~25 % de surestimation</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Biais exprimés en % et en limites d'accord du log-ratio. Après correction, biais QoM poignet +6 %.</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Résumé trop long, message noyé</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Résumé restructuré en 3 paragraphes (~300 mots, à réduire à 250 pour BRM) avec un message central.</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Style : phrases longues ; revue cible et langue</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Partiel</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Texte entièrement réécrit (une idée par phrase). Revue cible : Behavior Research Methods. La traduction anglaise reste à faire après validation du fond.</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6</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Phrase sur la vidéoradiographie à rallonge</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Supprimée ; nuance ramenée à « pas exempts d'erreur ».</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7</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Détail des 200 ms hors sujet ; situer par rapport aux travaux de l'équipe</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200 ms retirés ; ajout de Marin et al. (2009), Issartel et al. (2007, 2015), Varlet et al. (2011), Fauviaux et al. (2024).</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8</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Revue trop énumérative ; tableau ; vérifier « première évaluation »</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Tableau 1 de synthèse. Koul &amp; Novembre (2025, BRM : OpenPose vs Vicon, mouvements spontanés) trouvé et discuté ; « première » adouci.</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9</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Vatavu seul pour la QoM en conversation</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Ajout de Ramseyer &amp; Tschacher (2011), Tschacher et al. (2014), Paxton &amp; Dale (2017), Hadley et al. (2021).</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10</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Hypothèses non opérationnelles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Seuils de Koo &amp; Li (2016) posés en introduction ; les plans présentés comme une contrainte du dispositif, désormais résolue par la calibration.</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11</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Participants : démographie, éthique, justification de N</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À compléter</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Avis CER-UM UM 2025-101bis ajouté (trouvé dans le README). Âge, sexe, latéralité, taille, relation, recrutement : absents des données → surlignés. Justification de N par précision de l'ICC proposée (à valider).</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12</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 Semi-debout » à définir ; ordre ; table</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Partiel</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Défini d'après les vidéos (appui sur une barre haute, à vérifier) ; absence de table confirmée par les vidéos ; distance interpersonnelle mesurée (1,45 m). Ordre des conditions : à compléter.</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13</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Amorces conversationnelles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À compléter</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Emplacement prévu en Matériel supplémentaire S1.</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Description Vicon et repère du laboratoire</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Partiel</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Liste réelle des marqueurs (lue dans les CSV), axe Z vertical, variation de l'orientation des participants entre sessions (−155° à +101°) documentée. Nombre/modèle de caméras, logiciel, résidu : à compléter.</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Caméra : point critique ; schéma ; estimer la pose a posteriori</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Pose de chaque caméra estimée par DLT (épaules + chevilles ; bras exclus) ; reprojection médiane 2,7 px ; Vicon projeté dans le vrai plan image. Orientation mesurée (34° de l'axe interpersonnel) ; Figure 1 (schéma). « Caméras » : une par participant, précisé. Modèle de caméra : à compléter.</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16</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Coordonnées normalisées anisotropes ; world landmarks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Bug confirmé : il gonflait la QoM du poignet de 28 % et doublait la RMSE du coude. Tout est recalculé en pixels. World landmarks ré-extraits sur 20 enregistrements et comparés (Tableau 6).</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17</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Paramètres MediaPipe à rapporter</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Paramètres par défaut rapportés (dont lissage interne activé) ; taux de détection 99,8 %.</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18</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Fréquence variable (smartphone ?)</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En réalité fréquence constante : 114 vidéos à 25 i/s, 6 à 30 i/s ; résolutions et recadrages documentés. Modèle de caméra à compléter.</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19</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Synchronisation non décrite ; incohérence 100/30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Aucune synchro n'existait. Décalages estimés (corrélation croisée + affinage par reprojection) : médiane 0,17 s, jusqu'à 7,4 s. Bug supplémentaire corrigé : l'appariement utilisait l'indice de ligne et non le numéro d'image (images non détectées supprimées).</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20</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Ne pas survendre l'appariement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Phrase supprimée ; appariement désormais par interpolation sur l'instant Vicon synchronisé.</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21</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Max–min sensible aux outliers ; filtrage des variables locales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P95–P5 (principale) et max–min (sensibilité) ; filtrage 6 Hz appliqué à toutes les variables.</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22</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Conversion mm par largeur d'épaule biaisée</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Confirmé : surestimation de ~30 %. Comparaison principale désormais en pixels dans le plan image ; ancienne conversion en analyse de sensibilité.</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23</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Repère local sans effet sur l'angle</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Étape supprimée de la description (invariance de l'angle par rotation).</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2D = angle apparent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Dit explicitement (Méthode, Discussion) ; Vicon projeté utilisé comme « système 2D parfait ».</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ou MQI</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partout.</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26</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Justifier 6 Hz ; effet 100 vs 30 Hz sur la longueur de trajet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Partiel</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Contrôle fait : 100 Hz vs cadence vidéo = +0,9 % en moyenne. Justification du 6 Hz par Winter (2009) ; analyse résiduelle surlignée comme option.</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27</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Tête : tempes vs nez ; comparaison des définitions absente</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Nez virtuel Vicon reconstruit (4 marqueurs, corps rigide) ; les deux définitions rapportées. Le changement de définition est déclaré explicitement. Résultat : MediaPipe sous-estime la tête d'environ 25 % face au milieu des tempes (résultat principal) ; le nez virtuel (position supposée) n'est utilisé qu'en sensibilité.</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28</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Normalisation par largeur d'épaule 2D dépendante de l'orientation</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Comparaison principale en pixels sans normalisation ; version normalisée en secondaire.</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29</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Pooling ; modèle mixte / rmcorr ; ICC par condition</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Tableau 4 : r et ICC par condition, rmcorr, modèle mixte (dyade, participant).</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30</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Bland-Altman en log</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Bland-Altman en log-ratio pour toutes les variables globales (Figures 2–4).</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31</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Test de permutation peu informatif</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Ramené à une phrase en Matériel supplémentaire.</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32</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Titre « Résultats » et descriptives manquants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Section Résultats + Tableau 2 (descriptives par système et condition).</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33</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IC de l'ICC jusqu'à ,55</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IC rapportés et interprétés ; après correction, ICC poignet ,95 [,90 ; ,97].</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IC bootstrap « conformes » alors que différents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IC analytiques et bootstrap rapportés côte à côte, sans formule d'équivalence.</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Amplitudes Vicon à 2 m : auditer</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Cause : inversions brèves du label du poignet gauche (D02 SEMI P1, D02 STANDING P2, D03 STANDING P1) ; 13 enregistrements corrigés au total.</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36</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Nommage des plans incohérent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Plans de labo abandonnés comme référence (orientation variable selon les sessions) ; conservés en Tableau S4 avec XY = horizontal.</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37</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 négatifs (−0,9) : gauche/droite ?</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Latéralité vérifiée (correcte) ; causes réelles : inversion de vidéos D14 SEMI, décalages temporels, et surtout bras éloigné de la caméra. Analyse bras proche / bras éloigné ajoutée.</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38</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Décomposer la RMSE ; médiane et IQR</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RMSE² = biais² + erreur variable ; médiane, IQR et IC bootstrap (Tableau 5).</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39</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Figure 6 : n incohérent, VI3 absent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Nouvelle Figure 5 : bras proche / éloigné, n = 120 par bras, référence Vicon 3D.</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40</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Légende Figure 7 trop longue ; noms de fichiers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Légendes descriptives, noms de fichiers retirés ; nouvelle Figure 6 (enregistrement médian).</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41</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 Nettement » trop fort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Supprimé.</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42</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Traces « désormais »</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Texte réécrit.</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43</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Tester l'hypothèse du bruit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Jitter MediaPipe mesuré en périodes d'immobilité ; corrélé au biais relatif (r = ,46, p &lt; ,001) ; lien avec Koul &amp; Novembre (2025).</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Chiffres incohérents texte/tableaux</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Chiffres repris directement des sorties du script r05_stats.py.</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Paragraphe contradictoire sur les plans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Raisonnement géométrique réécrit (plan horizontal vu par la tranche) ; remplacé par la projection dans le plan image.</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46</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Correction du fps = bug, pas un résultat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Retiré de la discussion et du résumé ; décrit en Méthode.</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47</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Scores de visibilité : à faire</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 (analyse)</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Fait : aucun effet (visibilité &gt; 0,5 sur 99,7 % des images, même pour le bras éloigné).</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48</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Paragraphe DeepLabCut/ondelettes à supprimer</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Supprimé ; remplacé par des perspectives cohérentes (synchro/calibration, estimateur de pose de tête, cross-wavelet de l'équipe).</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49</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 La première » à adoucir</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 À notre connaissance, l'une des premières ».</w:t>
            </w:r>
          </w:p>
        </w:tc>
      </w:tr>
      <w:tr>
        <w:trPr>
          <w:cantSplit/>
          <w:tblHeader w:val="off"/>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50</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Ajouter la coordination interpersonnelle et un QoM fenêtré</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Partiel</w:t>
            </w:r>
          </w:p>
        </w:tc>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fenêtrée 1 s ajoutée (r médian ,96). L'analyse de coordination interpersonnelle a été réalisée mais volontairement non retenue dans cet article : elle sera l'objet d'un article séparé sur les mêmes données (scripts r06 et r06b conservés).</w:t>
            </w:r>
          </w:p>
        </w:tc>
      </w:tr>
      <w:tr>
        <w:trPr>
          <w:cantSplit/>
          <w:tblHeader w:val="off"/>
        </w:trPr>
        <w:tc>
          <w:tcPr>
            <w:tcW w:type="dxa" w:w="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51</w:t>
            </w:r>
          </w:p>
        </w:tc>
        <w:tc>
          <w:tcPr>
            <w:tcW w:type="dxa" w:w="2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Références incomplètes</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Traité</w:t>
            </w:r>
          </w:p>
        </w:tc>
        <w:tc>
          <w:tcPr>
            <w:tcW w:type="dxa" w:w="4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36 références APA 7 tirées de la bibliothèque Zotero et vérifiées ; 2 entrées à finaliser (surlignées).</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Le numéro correspond à l'ordre des commentaires dans le document annoté (ArticleN1_PhD_MPVICON_relecture_LMarin.docx).</w:t>
      </w:r>
    </w:p>
    <w:p>
      <w:pPr>
        <w:pStyle w:val="Heading2"/>
        <w:spacing w:after="100" w:before="200"/>
      </w:pPr>
      <w:r>
        <w:rPr>
          <w:rFonts w:ascii="Calibri" w:cs="Calibri" w:eastAsia="Calibri" w:hAnsi="Calibri"/>
        </w:rPr>
        <w:t xml:space="preserve">Où trouver le code</w:t>
      </w:r>
    </w:p>
    <w:p>
      <w:pPr>
        <w:spacing w:after="120" w:line="300"/>
        <w:jc w:val="both"/>
      </w:pPr>
      <w:r>
        <w:rPr>
          <w:rFonts w:ascii="Calibri" w:cs="Calibri" w:eastAsia="Calibri" w:hAnsi="Calibri"/>
        </w:rPr>
        <w:t xml:space="preserve">Le dossier </w:t>
      </w:r>
      <w:r>
        <w:rPr>
          <w:rFonts w:ascii="Calibri" w:cs="Calibri" w:eastAsia="Calibri" w:hAnsi="Calibri"/>
          <w:b/>
          <w:bCs/>
        </w:rPr>
        <w:t xml:space="preserve">src/revision/</w:t>
      </w:r>
      <w:r>
        <w:rPr>
          <w:rFonts w:ascii="Calibri" w:cs="Calibri" w:eastAsia="Calibri" w:hAnsi="Calibri"/>
        </w:rPr>
        <w:t xml:space="preserve"> de ton dépôt contient la pipeline de révision ; la pipeline d'origine n'a pas été modifiée. Les scripts sont : r01 (conversion des données brutes), r02 (audit), r03 (vérification de la correspondance des fichiers), r04 (traitement complet : pixels, synchronisation, calibration, variables), r05 (statistiques), r06 et r06b (coordination, réservés à un article ultérieur), r07 (figures), r08 (ré-extraction des world landmarks) et r09 (comparaison des world landmarks). Les tableaux et figures sont dans </w:t>
      </w:r>
      <w:r>
        <w:rPr>
          <w:rFonts w:ascii="Calibri" w:cs="Calibri" w:eastAsia="Calibri" w:hAnsi="Calibri"/>
          <w:b/>
          <w:bCs/>
        </w:rPr>
        <w:t xml:space="preserve">data/final/revision/</w:t>
      </w:r>
      <w:r>
        <w:rPr>
          <w:rFonts w:ascii="Calibri" w:cs="Calibri" w:eastAsia="Calibri" w:hAnsi="Calibri"/>
        </w:rPr>
        <w:t xml:space="preserve">.</w:t>
      </w:r>
    </w:p>
    <w:sectPr>
      <w:footerReference w:type="default" r:id="rId6"/>
      <w:pgSz w:w="11906" w:h="16838" w:orient="portrait"/>
      <w:pgMar w:top="1300" w:right="1400" w:bottom="13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Réponses aux commentaires</dc:title>
  <dc:creator>Matys Precloux</dc:creator>
  <cp:lastModifiedBy>Un-named</cp:lastModifiedBy>
  <cp:revision>1</cp:revision>
  <dcterms:created xsi:type="dcterms:W3CDTF">2026-10-21T14:25:45.015Z</dcterms:created>
  <dcterms:modified xsi:type="dcterms:W3CDTF">2026-10-21T14:25:45.016Z</dcterms:modified>
</cp:coreProperties>
</file>

<file path=docProps/custom.xml><?xml version="1.0" encoding="utf-8"?>
<Properties xmlns="http://schemas.openxmlformats.org/officeDocument/2006/custom-properties" xmlns:vt="http://schemas.openxmlformats.org/officeDocument/2006/docPropsVTypes"/>
</file>