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Industry and market size: </w:t>
      </w:r>
    </w:p>
    <w:p w:rsidR="00000000" w:rsidDel="00000000" w:rsidP="00000000" w:rsidRDefault="00000000" w:rsidRPr="00000000" w14:paraId="0000000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Reports - </w:t>
      </w:r>
      <w:hyperlink r:id="rId7">
        <w:r w:rsidDel="00000000" w:rsidR="00000000" w:rsidRPr="00000000">
          <w:rPr>
            <w:rFonts w:ascii="Times New Roman" w:cs="Times New Roman" w:eastAsia="Times New Roman" w:hAnsi="Times New Roman"/>
            <w:color w:val="1155cc"/>
            <w:u w:val="single"/>
            <w:rtl w:val="0"/>
          </w:rPr>
          <w:t xml:space="preserve">Market Size</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Others</w:t>
        </w:r>
      </w:hyperlink>
      <w:r w:rsidDel="00000000" w:rsidR="00000000" w:rsidRPr="00000000">
        <w:rPr>
          <w:rtl w:val="0"/>
        </w:rPr>
      </w:r>
    </w:p>
    <w:p w:rsidR="00000000" w:rsidDel="00000000" w:rsidP="00000000" w:rsidRDefault="00000000" w:rsidRPr="00000000" w14:paraId="0000000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Reports- </w:t>
      </w:r>
      <w:hyperlink r:id="rId9">
        <w:r w:rsidDel="00000000" w:rsidR="00000000" w:rsidRPr="00000000">
          <w:rPr>
            <w:rFonts w:ascii="Times New Roman" w:cs="Times New Roman" w:eastAsia="Times New Roman" w:hAnsi="Times New Roman"/>
            <w:color w:val="1155cc"/>
            <w:u w:val="single"/>
            <w:rtl w:val="0"/>
          </w:rPr>
          <w:t xml:space="preserve">Food Innovation with AI</w:t>
        </w:r>
      </w:hyperlink>
      <w:r w:rsidDel="00000000" w:rsidR="00000000" w:rsidRPr="00000000">
        <w:rPr>
          <w:rFonts w:ascii="Times New Roman" w:cs="Times New Roman" w:eastAsia="Times New Roman" w:hAnsi="Times New Roman"/>
          <w:rtl w:val="0"/>
        </w:rPr>
        <w:t xml:space="preserve"> , </w:t>
      </w:r>
      <w:hyperlink r:id="rId10">
        <w:r w:rsidDel="00000000" w:rsidR="00000000" w:rsidRPr="00000000">
          <w:rPr>
            <w:rFonts w:ascii="Times New Roman" w:cs="Times New Roman" w:eastAsia="Times New Roman" w:hAnsi="Times New Roman"/>
            <w:color w:val="1155cc"/>
            <w:u w:val="single"/>
            <w:rtl w:val="0"/>
          </w:rPr>
          <w:t xml:space="preserve">AI in Ops</w:t>
        </w:r>
      </w:hyperlink>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AI in CPG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neq02nwv5lfd" w:id="0"/>
      <w:bookmarkEnd w:id="0"/>
      <w:r w:rsidDel="00000000" w:rsidR="00000000" w:rsidRPr="00000000">
        <w:rPr>
          <w:rFonts w:ascii="Times New Roman" w:cs="Times New Roman" w:eastAsia="Times New Roman" w:hAnsi="Times New Roman"/>
          <w:b w:val="1"/>
          <w:color w:val="000000"/>
          <w:sz w:val="22"/>
          <w:szCs w:val="22"/>
          <w:rtl w:val="0"/>
        </w:rPr>
        <w:t xml:space="preserve">Revenue Streams</w:t>
      </w:r>
    </w:p>
    <w:p w:rsidR="00000000" w:rsidDel="00000000" w:rsidP="00000000" w:rsidRDefault="00000000" w:rsidRPr="00000000" w14:paraId="00000005">
      <w:pPr>
        <w:numPr>
          <w:ilvl w:val="0"/>
          <w:numId w:val="6"/>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define all sources of revenue. For each stream, include:</w:t>
      </w:r>
    </w:p>
    <w:p w:rsidR="00000000" w:rsidDel="00000000" w:rsidP="00000000" w:rsidRDefault="00000000" w:rsidRPr="00000000" w14:paraId="00000006">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the Revenue Stream</w:t>
      </w:r>
      <w:r w:rsidDel="00000000" w:rsidR="00000000" w:rsidRPr="00000000">
        <w:rPr>
          <w:rFonts w:ascii="Times New Roman" w:cs="Times New Roman" w:eastAsia="Times New Roman" w:hAnsi="Times New Roman"/>
          <w:rtl w:val="0"/>
        </w:rPr>
        <w:t xml:space="preserve">: Product Sales </w:t>
      </w:r>
    </w:p>
    <w:p w:rsidR="00000000" w:rsidDel="00000000" w:rsidP="00000000" w:rsidRDefault="00000000" w:rsidRPr="00000000" w14:paraId="00000007">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numPr>
          <w:ilvl w:val="2"/>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it? - B2B, B2C, B2B2C</w:t>
      </w:r>
    </w:p>
    <w:p w:rsidR="00000000" w:rsidDel="00000000" w:rsidP="00000000" w:rsidRDefault="00000000" w:rsidRPr="00000000" w14:paraId="00000009">
      <w:pPr>
        <w:numPr>
          <w:ilvl w:val="2"/>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it work? - B2C means Business to Customer Product Sales via E Commerce Sites, our Women Microdistributors or Website. B2B2C includes business that we sell goods in bulk to, who then make it available to their customers like Meta, and B2B incldues bulk purchase of the products from HORECA</w:t>
      </w:r>
    </w:p>
    <w:p w:rsidR="00000000" w:rsidDel="00000000" w:rsidP="00000000" w:rsidRDefault="00000000" w:rsidRPr="00000000" w14:paraId="0000000A">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 Audience</w:t>
      </w:r>
      <w:r w:rsidDel="00000000" w:rsidR="00000000" w:rsidRPr="00000000">
        <w:rPr>
          <w:rFonts w:ascii="Times New Roman" w:cs="Times New Roman" w:eastAsia="Times New Roman" w:hAnsi="Times New Roman"/>
          <w:rtl w:val="0"/>
        </w:rPr>
        <w:t xml:space="preserve">: Who is paying? - Our Target Audience for B2C is women 35 years and above, educated,  living in metro/T1 cities, with kids, and a household income north of 10LPA. </w:t>
      </w:r>
    </w:p>
    <w:p w:rsidR="00000000" w:rsidDel="00000000" w:rsidP="00000000" w:rsidRDefault="00000000" w:rsidRPr="00000000" w14:paraId="0000000B">
      <w:pPr>
        <w:numPr>
          <w:ilvl w:val="1"/>
          <w:numId w:val="6"/>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Percentage Contribution</w:t>
      </w:r>
      <w:r w:rsidDel="00000000" w:rsidR="00000000" w:rsidRPr="00000000">
        <w:rPr>
          <w:rFonts w:ascii="Times New Roman" w:cs="Times New Roman" w:eastAsia="Times New Roman" w:hAnsi="Times New Roman"/>
          <w:rtl w:val="0"/>
        </w:rPr>
        <w:t xml:space="preserve">: Share of total revenue (if available). B2B- 35%, B2C- 65% of which 40% is Amazon, 40% is Microdistributors and 10% is D2C. </w:t>
      </w:r>
    </w:p>
    <w:p w:rsidR="00000000" w:rsidDel="00000000" w:rsidP="00000000" w:rsidRDefault="00000000" w:rsidRPr="00000000" w14:paraId="0000000C">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1abqxh9yv36t" w:id="1"/>
      <w:bookmarkEnd w:id="1"/>
      <w:r w:rsidDel="00000000" w:rsidR="00000000" w:rsidRPr="00000000">
        <w:rPr>
          <w:rFonts w:ascii="Times New Roman" w:cs="Times New Roman" w:eastAsia="Times New Roman" w:hAnsi="Times New Roman"/>
          <w:b w:val="1"/>
          <w:color w:val="000000"/>
          <w:sz w:val="22"/>
          <w:szCs w:val="22"/>
          <w:rtl w:val="0"/>
        </w:rPr>
        <w:t xml:space="preserve">Pricing Strategy</w:t>
      </w:r>
    </w:p>
    <w:p w:rsidR="00000000" w:rsidDel="00000000" w:rsidP="00000000" w:rsidRDefault="00000000" w:rsidRPr="00000000" w14:paraId="0000000D">
      <w:pPr>
        <w:numPr>
          <w:ilvl w:val="0"/>
          <w:numId w:val="9"/>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 the pricing models and tiers.</w:t>
      </w:r>
    </w:p>
    <w:p w:rsidR="00000000" w:rsidDel="00000000" w:rsidP="00000000" w:rsidRDefault="00000000" w:rsidRPr="00000000" w14:paraId="0000000E">
      <w:pPr>
        <w:numPr>
          <w:ilvl w:val="1"/>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Flat Rate</w:t>
      </w:r>
      <w:r w:rsidDel="00000000" w:rsidR="00000000" w:rsidRPr="00000000">
        <w:rPr>
          <w:rFonts w:ascii="Times New Roman" w:cs="Times New Roman" w:eastAsia="Times New Roman" w:hAnsi="Times New Roman"/>
          <w:rtl w:val="0"/>
        </w:rPr>
        <w:t xml:space="preserve">: Fixed pricing for all end customers. </w:t>
      </w:r>
    </w:p>
    <w:p w:rsidR="00000000" w:rsidDel="00000000" w:rsidP="00000000" w:rsidRDefault="00000000" w:rsidRPr="00000000" w14:paraId="0000000F">
      <w:pPr>
        <w:numPr>
          <w:ilvl w:val="1"/>
          <w:numId w:val="9"/>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behind pricing (market research, competitor analysis). - a mix of both plus qualitative price sensitivity research via naario community </w:t>
      </w:r>
    </w:p>
    <w:p w:rsidR="00000000" w:rsidDel="00000000" w:rsidP="00000000" w:rsidRDefault="00000000" w:rsidRPr="00000000" w14:paraId="00000010">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pasotbpida6a" w:id="2"/>
      <w:bookmarkEnd w:id="2"/>
      <w:r w:rsidDel="00000000" w:rsidR="00000000" w:rsidRPr="00000000">
        <w:rPr>
          <w:rFonts w:ascii="Times New Roman" w:cs="Times New Roman" w:eastAsia="Times New Roman" w:hAnsi="Times New Roman"/>
          <w:b w:val="1"/>
          <w:color w:val="000000"/>
          <w:sz w:val="22"/>
          <w:szCs w:val="22"/>
          <w:rtl w:val="0"/>
        </w:rPr>
        <w:t xml:space="preserve">Unit Economics</w:t>
      </w:r>
    </w:p>
    <w:p w:rsidR="00000000" w:rsidDel="00000000" w:rsidP="00000000" w:rsidRDefault="00000000" w:rsidRPr="00000000" w14:paraId="00000011">
      <w:pPr>
        <w:numPr>
          <w:ilvl w:val="0"/>
          <w:numId w:val="12"/>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metrics for revenue generation.</w:t>
      </w:r>
    </w:p>
    <w:p w:rsidR="00000000" w:rsidDel="00000000" w:rsidP="00000000" w:rsidRDefault="00000000" w:rsidRPr="00000000" w14:paraId="00000012">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Acquisition Cost (CAC)</w:t>
      </w:r>
      <w:r w:rsidDel="00000000" w:rsidR="00000000" w:rsidRPr="00000000">
        <w:rPr>
          <w:rFonts w:ascii="Times New Roman" w:cs="Times New Roman" w:eastAsia="Times New Roman" w:hAnsi="Times New Roman"/>
          <w:rtl w:val="0"/>
        </w:rPr>
        <w:t xml:space="preserve">: How much it costs to acquire a customer. - varies from channel to channel- D2C is Rs 380, Partners at about Rs 50</w:t>
      </w:r>
    </w:p>
    <w:p w:rsidR="00000000" w:rsidDel="00000000" w:rsidP="00000000" w:rsidRDefault="00000000" w:rsidRPr="00000000" w14:paraId="00000013">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Lifetime Value (LTV)</w:t>
      </w:r>
      <w:r w:rsidDel="00000000" w:rsidR="00000000" w:rsidRPr="00000000">
        <w:rPr>
          <w:rFonts w:ascii="Times New Roman" w:cs="Times New Roman" w:eastAsia="Times New Roman" w:hAnsi="Times New Roman"/>
          <w:rtl w:val="0"/>
        </w:rPr>
        <w:t xml:space="preserve">: Revenue generated from a customer during their relationship.- We generate close to Rs 1100 in LTV in 6 months time. </w:t>
      </w:r>
    </w:p>
    <w:p w:rsidR="00000000" w:rsidDel="00000000" w:rsidP="00000000" w:rsidRDefault="00000000" w:rsidRPr="00000000" w14:paraId="00000014">
      <w:pPr>
        <w:numPr>
          <w:ilvl w:val="1"/>
          <w:numId w:val="12"/>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LTV: CAC Ratio</w:t>
      </w:r>
      <w:r w:rsidDel="00000000" w:rsidR="00000000" w:rsidRPr="00000000">
        <w:rPr>
          <w:rFonts w:ascii="Times New Roman" w:cs="Times New Roman" w:eastAsia="Times New Roman" w:hAnsi="Times New Roman"/>
          <w:rtl w:val="0"/>
        </w:rPr>
        <w:t xml:space="preserve">: Indicator of profitability. - 2.9</w:t>
      </w:r>
    </w:p>
    <w:p w:rsidR="00000000" w:rsidDel="00000000" w:rsidP="00000000" w:rsidRDefault="00000000" w:rsidRPr="00000000" w14:paraId="00000015">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x7h9iy5i6lcy" w:id="3"/>
      <w:bookmarkEnd w:id="3"/>
      <w:r w:rsidDel="00000000" w:rsidR="00000000" w:rsidRPr="00000000">
        <w:rPr>
          <w:rFonts w:ascii="Times New Roman" w:cs="Times New Roman" w:eastAsia="Times New Roman" w:hAnsi="Times New Roman"/>
          <w:b w:val="1"/>
          <w:color w:val="000000"/>
          <w:sz w:val="22"/>
          <w:szCs w:val="22"/>
          <w:rtl w:val="0"/>
        </w:rPr>
        <w:t xml:space="preserve">Recurring vs. One-Time Revenue</w:t>
      </w:r>
    </w:p>
    <w:p w:rsidR="00000000" w:rsidDel="00000000" w:rsidP="00000000" w:rsidRDefault="00000000" w:rsidRPr="00000000" w14:paraId="00000016">
      <w:pPr>
        <w:numPr>
          <w:ilvl w:val="0"/>
          <w:numId w:val="16"/>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Segregate revenue into:</w:t>
      </w:r>
    </w:p>
    <w:p w:rsidR="00000000" w:rsidDel="00000000" w:rsidP="00000000" w:rsidRDefault="00000000" w:rsidRPr="00000000" w14:paraId="00000017">
      <w:pPr>
        <w:numPr>
          <w:ilvl w:val="1"/>
          <w:numId w:val="1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Recurring Revenue</w:t>
      </w:r>
      <w:r w:rsidDel="00000000" w:rsidR="00000000" w:rsidRPr="00000000">
        <w:rPr>
          <w:rFonts w:ascii="Times New Roman" w:cs="Times New Roman" w:eastAsia="Times New Roman" w:hAnsi="Times New Roman"/>
          <w:rtl w:val="0"/>
        </w:rPr>
        <w:t xml:space="preserve">: Subscription fees, memberships. - NA</w:t>
      </w:r>
    </w:p>
    <w:p w:rsidR="00000000" w:rsidDel="00000000" w:rsidP="00000000" w:rsidRDefault="00000000" w:rsidRPr="00000000" w14:paraId="00000018">
      <w:pPr>
        <w:numPr>
          <w:ilvl w:val="1"/>
          <w:numId w:val="1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One-Time Revenue</w:t>
      </w:r>
      <w:r w:rsidDel="00000000" w:rsidR="00000000" w:rsidRPr="00000000">
        <w:rPr>
          <w:rFonts w:ascii="Times New Roman" w:cs="Times New Roman" w:eastAsia="Times New Roman" w:hAnsi="Times New Roman"/>
          <w:rtl w:val="0"/>
        </w:rPr>
        <w:t xml:space="preserve">: Single purchases, setup fees. - ~14L per month</w:t>
      </w:r>
    </w:p>
    <w:p w:rsidR="00000000" w:rsidDel="00000000" w:rsidP="00000000" w:rsidRDefault="00000000" w:rsidRPr="00000000" w14:paraId="00000019">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eifcpotmnlhr" w:id="4"/>
      <w:bookmarkEnd w:id="4"/>
      <w:r w:rsidDel="00000000" w:rsidR="00000000" w:rsidRPr="00000000">
        <w:rPr>
          <w:rFonts w:ascii="Times New Roman" w:cs="Times New Roman" w:eastAsia="Times New Roman" w:hAnsi="Times New Roman"/>
          <w:b w:val="1"/>
          <w:color w:val="000000"/>
          <w:sz w:val="22"/>
          <w:szCs w:val="22"/>
          <w:rtl w:val="0"/>
        </w:rPr>
        <w:t xml:space="preserve">Payment Flow and Terms</w:t>
      </w:r>
    </w:p>
    <w:p w:rsidR="00000000" w:rsidDel="00000000" w:rsidP="00000000" w:rsidRDefault="00000000" w:rsidRPr="00000000" w14:paraId="0000001A">
      <w:pPr>
        <w:numPr>
          <w:ilvl w:val="0"/>
          <w:numId w:val="21"/>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payments are collected and processed.</w:t>
      </w:r>
    </w:p>
    <w:p w:rsidR="00000000" w:rsidDel="00000000" w:rsidP="00000000" w:rsidRDefault="00000000" w:rsidRPr="00000000" w14:paraId="0000001B">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payments, online gateways, invoicing. - All </w:t>
      </w:r>
    </w:p>
    <w:p w:rsidR="00000000" w:rsidDel="00000000" w:rsidP="00000000" w:rsidRDefault="00000000" w:rsidRPr="00000000" w14:paraId="0000001C">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frequency (monthly, annual, one-time). - One time </w:t>
      </w:r>
    </w:p>
    <w:p w:rsidR="00000000" w:rsidDel="00000000" w:rsidP="00000000" w:rsidRDefault="00000000" w:rsidRPr="00000000" w14:paraId="0000001D">
      <w:pPr>
        <w:numPr>
          <w:ilvl w:val="1"/>
          <w:numId w:val="21"/>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Refund and cancellation policies (if applicable). - No questions asked RTO</w:t>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3i8c2drntcpe" w:id="5"/>
      <w:bookmarkEnd w:id="5"/>
      <w:r w:rsidDel="00000000" w:rsidR="00000000" w:rsidRPr="00000000">
        <w:rPr>
          <w:rFonts w:ascii="Times New Roman" w:cs="Times New Roman" w:eastAsia="Times New Roman" w:hAnsi="Times New Roman"/>
          <w:b w:val="1"/>
          <w:color w:val="000000"/>
          <w:sz w:val="22"/>
          <w:szCs w:val="22"/>
          <w:rtl w:val="0"/>
        </w:rPr>
        <w:t xml:space="preserve">Scalability of Revenue Model</w:t>
      </w:r>
    </w:p>
    <w:p w:rsidR="00000000" w:rsidDel="00000000" w:rsidP="00000000" w:rsidRDefault="00000000" w:rsidRPr="00000000" w14:paraId="0000001F">
      <w:pPr>
        <w:numPr>
          <w:ilvl w:val="0"/>
          <w:numId w:val="3"/>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revenue model will scale as the business grows. </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Naario’s revenue model is designed to scale through a self-reinforcing </w:t>
      </w:r>
      <w:r w:rsidDel="00000000" w:rsidR="00000000" w:rsidRPr="00000000">
        <w:rPr>
          <w:rFonts w:ascii="Times New Roman" w:cs="Times New Roman" w:eastAsia="Times New Roman" w:hAnsi="Times New Roman"/>
          <w:b w:val="1"/>
          <w:rtl w:val="0"/>
        </w:rPr>
        <w:t xml:space="preserve">flywheel effect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numPr>
          <w:ilvl w:val="0"/>
          <w:numId w:val="22"/>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Community-first approach</w:t>
      </w:r>
      <w:r w:rsidDel="00000000" w:rsidR="00000000" w:rsidRPr="00000000">
        <w:rPr>
          <w:rFonts w:ascii="Times New Roman" w:cs="Times New Roman" w:eastAsia="Times New Roman" w:hAnsi="Times New Roman"/>
          <w:rtl w:val="0"/>
        </w:rPr>
        <w:t xml:space="preserve">: We began by building a highly engaged women-led community that not only consumes but also advocates for our products. This reduces customer acquisition costs over time.</w:t>
        <w:br w:type="textWrapping"/>
      </w:r>
    </w:p>
    <w:p w:rsidR="00000000" w:rsidDel="00000000" w:rsidP="00000000" w:rsidRDefault="00000000" w:rsidRPr="00000000" w14:paraId="00000022">
      <w:pPr>
        <w:numPr>
          <w:ilvl w:val="0"/>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adoption &amp; repeat purchases</w:t>
      </w:r>
      <w:r w:rsidDel="00000000" w:rsidR="00000000" w:rsidRPr="00000000">
        <w:rPr>
          <w:rFonts w:ascii="Times New Roman" w:cs="Times New Roman" w:eastAsia="Times New Roman" w:hAnsi="Times New Roman"/>
          <w:rtl w:val="0"/>
        </w:rPr>
        <w:t xml:space="preserve">: With categories neatly spread across snacks (for trials) and staples that fit into daily consumption habits, our model benefits from high repeat rates, ensuring revenue compounding without proportionate increase in marketing spend.</w:t>
        <w:br w:type="textWrapping"/>
      </w:r>
    </w:p>
    <w:p w:rsidR="00000000" w:rsidDel="00000000" w:rsidP="00000000" w:rsidRDefault="00000000" w:rsidRPr="00000000" w14:paraId="00000023">
      <w:pPr>
        <w:numPr>
          <w:ilvl w:val="0"/>
          <w:numId w:val="22"/>
        </w:numPr>
        <w:spacing w:after="0" w:afterAutospacing="0" w:before="0" w:beforeAutospacing="0" w:lineRule="auto"/>
        <w:ind w:left="1440" w:hanging="360"/>
        <w:rPr>
          <w:rFonts w:ascii="Times New Roman" w:cs="Times New Roman" w:eastAsia="Times New Roman" w:hAnsi="Times New Roman"/>
        </w:rPr>
      </w:pPr>
      <w:sdt>
        <w:sdtPr>
          <w:id w:val="-1436403103"/>
          <w:tag w:val="goog_rdk_0"/>
        </w:sdtPr>
        <w:sdtContent>
          <w:r w:rsidDel="00000000" w:rsidR="00000000" w:rsidRPr="00000000">
            <w:rPr>
              <w:rFonts w:ascii="Cardo" w:cs="Cardo" w:eastAsia="Cardo" w:hAnsi="Cardo"/>
              <w:b w:val="1"/>
              <w:rtl w:val="0"/>
            </w:rPr>
            <w:t xml:space="preserve">Word-of-mouth → Lower CAC</w:t>
          </w:r>
        </w:sdtContent>
      </w:sdt>
      <w:r w:rsidDel="00000000" w:rsidR="00000000" w:rsidRPr="00000000">
        <w:rPr>
          <w:rFonts w:ascii="Times New Roman" w:cs="Times New Roman" w:eastAsia="Times New Roman" w:hAnsi="Times New Roman"/>
          <w:rtl w:val="0"/>
        </w:rPr>
        <w:t xml:space="preserve">: Each satisfied customer becomes a micro-distributor of trust, amplifying reach in both digital and offline networks, especially among women-driven households.</w:t>
        <w:br w:type="textWrapping"/>
      </w:r>
    </w:p>
    <w:p w:rsidR="00000000" w:rsidDel="00000000" w:rsidP="00000000" w:rsidRDefault="00000000" w:rsidRPr="00000000" w14:paraId="00000024">
      <w:pPr>
        <w:numPr>
          <w:ilvl w:val="0"/>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Expansion through distribution</w:t>
      </w:r>
      <w:r w:rsidDel="00000000" w:rsidR="00000000" w:rsidRPr="00000000">
        <w:rPr>
          <w:rFonts w:ascii="Times New Roman" w:cs="Times New Roman" w:eastAsia="Times New Roman" w:hAnsi="Times New Roman"/>
          <w:rtl w:val="0"/>
        </w:rPr>
        <w:t xml:space="preserve">: As brand awareness grows, we expand from D2C to Quick Comm, and B2B tieups- cafés, and institutional (e.g., Blue Tokai). This expands revenue streams without overdependence on any single channel.</w:t>
        <w:br w:type="textWrapping"/>
      </w:r>
    </w:p>
    <w:p w:rsidR="00000000" w:rsidDel="00000000" w:rsidP="00000000" w:rsidRDefault="00000000" w:rsidRPr="00000000" w14:paraId="00000025">
      <w:pPr>
        <w:numPr>
          <w:ilvl w:val="0"/>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Flywheel momentum</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6">
      <w:pPr>
        <w:numPr>
          <w:ilvl w:val="1"/>
          <w:numId w:val="22"/>
        </w:numPr>
        <w:spacing w:after="0" w:afterAutospacing="0" w:before="0" w:beforeAutospacing="0" w:lineRule="auto"/>
        <w:ind w:left="2160" w:hanging="360"/>
        <w:rPr>
          <w:rFonts w:ascii="Times New Roman" w:cs="Times New Roman" w:eastAsia="Times New Roman" w:hAnsi="Times New Roman"/>
        </w:rPr>
      </w:pPr>
      <w:sdt>
        <w:sdtPr>
          <w:id w:val="-1174148210"/>
          <w:tag w:val="goog_rdk_1"/>
        </w:sdtPr>
        <w:sdtContent>
          <w:r w:rsidDel="00000000" w:rsidR="00000000" w:rsidRPr="00000000">
            <w:rPr>
              <w:rFonts w:ascii="Cardo" w:cs="Cardo" w:eastAsia="Cardo" w:hAnsi="Cardo"/>
              <w:rtl w:val="0"/>
            </w:rPr>
            <w:t xml:space="preserve">More community → more feedback + advocacy → more adoption</w:t>
          </w:r>
        </w:sdtContent>
      </w:sdt>
    </w:p>
    <w:p w:rsidR="00000000" w:rsidDel="00000000" w:rsidP="00000000" w:rsidRDefault="00000000" w:rsidRPr="00000000" w14:paraId="00000027">
      <w:pPr>
        <w:numPr>
          <w:ilvl w:val="1"/>
          <w:numId w:val="22"/>
        </w:numPr>
        <w:spacing w:after="0" w:afterAutospacing="0" w:before="0" w:beforeAutospacing="0" w:lineRule="auto"/>
        <w:ind w:left="2160" w:hanging="360"/>
        <w:rPr>
          <w:rFonts w:ascii="Times New Roman" w:cs="Times New Roman" w:eastAsia="Times New Roman" w:hAnsi="Times New Roman"/>
        </w:rPr>
      </w:pPr>
      <w:sdt>
        <w:sdtPr>
          <w:id w:val="2103995305"/>
          <w:tag w:val="goog_rdk_2"/>
        </w:sdtPr>
        <w:sdtContent>
          <w:r w:rsidDel="00000000" w:rsidR="00000000" w:rsidRPr="00000000">
            <w:rPr>
              <w:rFonts w:ascii="Cardo" w:cs="Cardo" w:eastAsia="Cardo" w:hAnsi="Cardo"/>
              <w:rtl w:val="0"/>
            </w:rPr>
            <w:t xml:space="preserve">More adoption → higher repeat purchases → stronger revenue base</w:t>
          </w:r>
        </w:sdtContent>
      </w:sdt>
    </w:p>
    <w:p w:rsidR="00000000" w:rsidDel="00000000" w:rsidP="00000000" w:rsidRDefault="00000000" w:rsidRPr="00000000" w14:paraId="00000028">
      <w:pPr>
        <w:numPr>
          <w:ilvl w:val="1"/>
          <w:numId w:val="22"/>
        </w:numPr>
        <w:spacing w:after="0" w:afterAutospacing="0" w:before="0" w:beforeAutospacing="0" w:lineRule="auto"/>
        <w:ind w:left="2160" w:hanging="360"/>
        <w:rPr>
          <w:rFonts w:ascii="Times New Roman" w:cs="Times New Roman" w:eastAsia="Times New Roman" w:hAnsi="Times New Roman"/>
        </w:rPr>
      </w:pPr>
      <w:sdt>
        <w:sdtPr>
          <w:id w:val="601366362"/>
          <w:tag w:val="goog_rdk_3"/>
        </w:sdtPr>
        <w:sdtContent>
          <w:r w:rsidDel="00000000" w:rsidR="00000000" w:rsidRPr="00000000">
            <w:rPr>
              <w:rFonts w:ascii="Cardo" w:cs="Cardo" w:eastAsia="Cardo" w:hAnsi="Cardo"/>
              <w:rtl w:val="0"/>
            </w:rPr>
            <w:t xml:space="preserve">Stronger revenue → scale new categories + distribution → more community touchpoints</w:t>
            <w:br w:type="textWrapping"/>
          </w:r>
        </w:sdtContent>
      </w:sdt>
    </w:p>
    <w:p w:rsidR="00000000" w:rsidDel="00000000" w:rsidP="00000000" w:rsidRDefault="00000000" w:rsidRPr="00000000" w14:paraId="00000029">
      <w:pPr>
        <w:numPr>
          <w:ilvl w:val="0"/>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Long-term scalability</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A">
      <w:pPr>
        <w:numPr>
          <w:ilvl w:val="1"/>
          <w:numId w:val="2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b w:val="1"/>
          <w:rtl w:val="0"/>
        </w:rPr>
        <w:t xml:space="preserve">core categories (atta, muesli, snacks)</w:t>
      </w:r>
      <w:sdt>
        <w:sdtPr>
          <w:id w:val="-1828941830"/>
          <w:tag w:val="goog_rdk_4"/>
        </w:sdtPr>
        <w:sdtContent>
          <w:r w:rsidDel="00000000" w:rsidR="00000000" w:rsidRPr="00000000">
            <w:rPr>
              <w:rFonts w:ascii="Cardo" w:cs="Cardo" w:eastAsia="Cardo" w:hAnsi="Cardo"/>
              <w:rtl w:val="0"/>
            </w:rPr>
            <w:t xml:space="preserve"> → expansion into adjacent staples &amp; functional foods</w:t>
          </w:r>
        </w:sdtContent>
      </w:sdt>
    </w:p>
    <w:p w:rsidR="00000000" w:rsidDel="00000000" w:rsidP="00000000" w:rsidRDefault="00000000" w:rsidRPr="00000000" w14:paraId="0000002B">
      <w:pPr>
        <w:numPr>
          <w:ilvl w:val="1"/>
          <w:numId w:val="2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b w:val="1"/>
          <w:rtl w:val="0"/>
        </w:rPr>
        <w:t xml:space="preserve">India’s Tier 1 + NCR</w:t>
      </w:r>
      <w:sdt>
        <w:sdtPr>
          <w:id w:val="540854771"/>
          <w:tag w:val="goog_rdk_5"/>
        </w:sdtPr>
        <w:sdtContent>
          <w:r w:rsidDel="00000000" w:rsidR="00000000" w:rsidRPr="00000000">
            <w:rPr>
              <w:rFonts w:ascii="Cardo" w:cs="Cardo" w:eastAsia="Cardo" w:hAnsi="Cardo"/>
              <w:rtl w:val="0"/>
            </w:rPr>
            <w:t xml:space="preserve"> → Tier 2 &amp; export markets</w:t>
          </w:r>
        </w:sdtContent>
      </w:sdt>
    </w:p>
    <w:p w:rsidR="00000000" w:rsidDel="00000000" w:rsidP="00000000" w:rsidRDefault="00000000" w:rsidRPr="00000000" w14:paraId="0000002C">
      <w:pPr>
        <w:numPr>
          <w:ilvl w:val="1"/>
          <w:numId w:val="2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b w:val="1"/>
          <w:rtl w:val="0"/>
        </w:rPr>
        <w:t xml:space="preserve">B2C-first model</w:t>
      </w:r>
      <w:sdt>
        <w:sdtPr>
          <w:id w:val="-1416378727"/>
          <w:tag w:val="goog_rdk_6"/>
        </w:sdtPr>
        <w:sdtContent>
          <w:r w:rsidDel="00000000" w:rsidR="00000000" w:rsidRPr="00000000">
            <w:rPr>
              <w:rFonts w:ascii="Cardo" w:cs="Cardo" w:eastAsia="Cardo" w:hAnsi="Cardo"/>
              <w:rtl w:val="0"/>
            </w:rPr>
            <w:t xml:space="preserve"> → omnichannel presence with Quick Comm, Cafés, and Modern Trade eventually </w:t>
          </w:r>
        </w:sdtContent>
      </w:sdt>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creates a model where </w:t>
      </w:r>
      <w:r w:rsidDel="00000000" w:rsidR="00000000" w:rsidRPr="00000000">
        <w:rPr>
          <w:rFonts w:ascii="Times New Roman" w:cs="Times New Roman" w:eastAsia="Times New Roman" w:hAnsi="Times New Roman"/>
          <w:b w:val="1"/>
          <w:rtl w:val="0"/>
        </w:rPr>
        <w:t xml:space="preserve">growth in one area (community or product adoption) feeds into the next</w:t>
      </w:r>
      <w:r w:rsidDel="00000000" w:rsidR="00000000" w:rsidRPr="00000000">
        <w:rPr>
          <w:rFonts w:ascii="Times New Roman" w:cs="Times New Roman" w:eastAsia="Times New Roman" w:hAnsi="Times New Roman"/>
          <w:rtl w:val="0"/>
        </w:rPr>
        <w:t xml:space="preserve">, enabling revenue to grow </w:t>
      </w:r>
      <w:r w:rsidDel="00000000" w:rsidR="00000000" w:rsidRPr="00000000">
        <w:rPr>
          <w:rFonts w:ascii="Times New Roman" w:cs="Times New Roman" w:eastAsia="Times New Roman" w:hAnsi="Times New Roman"/>
          <w:b w:val="1"/>
          <w:rtl w:val="0"/>
        </w:rPr>
        <w:t xml:space="preserve">exponentially rather than linearly</w:t>
      </w:r>
      <w:r w:rsidDel="00000000" w:rsidR="00000000" w:rsidRPr="00000000">
        <w:rPr>
          <w:rFonts w:ascii="Times New Roman" w:cs="Times New Roman" w:eastAsia="Times New Roman" w:hAnsi="Times New Roman"/>
          <w:rtl w:val="0"/>
        </w:rPr>
        <w:t xml:space="preserve"> with scale.</w:t>
      </w:r>
    </w:p>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bgl931n6v6eu" w:id="6"/>
      <w:bookmarkEnd w:id="6"/>
      <w:r w:rsidDel="00000000" w:rsidR="00000000" w:rsidRPr="00000000">
        <w:rPr>
          <w:rFonts w:ascii="Times New Roman" w:cs="Times New Roman" w:eastAsia="Times New Roman" w:hAnsi="Times New Roman"/>
          <w:b w:val="1"/>
          <w:color w:val="000000"/>
          <w:sz w:val="22"/>
          <w:szCs w:val="22"/>
          <w:rtl w:val="0"/>
        </w:rPr>
        <w:t xml:space="preserve">Additional Revenue Opportunities </w:t>
      </w:r>
    </w:p>
    <w:p w:rsidR="00000000" w:rsidDel="00000000" w:rsidP="00000000" w:rsidRDefault="00000000" w:rsidRPr="00000000" w14:paraId="0000002F">
      <w:pPr>
        <w:numPr>
          <w:ilvl w:val="0"/>
          <w:numId w:val="18"/>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revenue streams the startup plans to explore. </w:t>
      </w:r>
    </w:p>
    <w:p w:rsidR="00000000" w:rsidDel="00000000" w:rsidP="00000000" w:rsidRDefault="00000000" w:rsidRPr="00000000" w14:paraId="0000003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Revenue Opportunities</w:t>
        <w:br w:type="textWrapping"/>
      </w:r>
      <w:r w:rsidDel="00000000" w:rsidR="00000000" w:rsidRPr="00000000">
        <w:rPr>
          <w:rFonts w:ascii="Times New Roman" w:cs="Times New Roman" w:eastAsia="Times New Roman" w:hAnsi="Times New Roman"/>
          <w:rtl w:val="0"/>
        </w:rPr>
        <w:t xml:space="preserve"> Beyond core D2C, retail, and B2B, we plan to unlock new revenue streams through:</w:t>
      </w:r>
    </w:p>
    <w:p w:rsidR="00000000" w:rsidDel="00000000" w:rsidP="00000000" w:rsidRDefault="00000000" w:rsidRPr="00000000" w14:paraId="00000031">
      <w:pPr>
        <w:numPr>
          <w:ilvl w:val="0"/>
          <w:numId w:val="23"/>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Exports:</w:t>
      </w:r>
      <w:r w:rsidDel="00000000" w:rsidR="00000000" w:rsidRPr="00000000">
        <w:rPr>
          <w:rFonts w:ascii="Times New Roman" w:cs="Times New Roman" w:eastAsia="Times New Roman" w:hAnsi="Times New Roman"/>
          <w:rtl w:val="0"/>
        </w:rPr>
        <w:t xml:space="preserve"> Tapping into global demand for Indian millets and clean-label products.</w:t>
      </w:r>
    </w:p>
    <w:p w:rsidR="00000000" w:rsidDel="00000000" w:rsidP="00000000" w:rsidRDefault="00000000" w:rsidRPr="00000000" w14:paraId="00000032">
      <w:pPr>
        <w:numPr>
          <w:ilvl w:val="0"/>
          <w:numId w:val="2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Women-led Micro-Distributors:</w:t>
      </w:r>
      <w:r w:rsidDel="00000000" w:rsidR="00000000" w:rsidRPr="00000000">
        <w:rPr>
          <w:rFonts w:ascii="Times New Roman" w:cs="Times New Roman" w:eastAsia="Times New Roman" w:hAnsi="Times New Roman"/>
          <w:rtl w:val="0"/>
        </w:rPr>
        <w:t xml:space="preserve"> Creating mini cafés/restaurant formats run by women partners to drive hyperlocal brand presence and sales.</w:t>
        <w:br w:type="textWrapping"/>
      </w:r>
    </w:p>
    <w:p w:rsidR="00000000" w:rsidDel="00000000" w:rsidP="00000000" w:rsidRDefault="00000000" w:rsidRPr="00000000" w14:paraId="00000033">
      <w:pPr>
        <w:pStyle w:val="Heading2"/>
        <w:keepNext w:val="0"/>
        <w:keepLines w:val="0"/>
        <w:spacing w:after="80" w:lineRule="auto"/>
        <w:rPr>
          <w:rFonts w:ascii="Times New Roman" w:cs="Times New Roman" w:eastAsia="Times New Roman" w:hAnsi="Times New Roman"/>
        </w:rPr>
      </w:pPr>
      <w:bookmarkStart w:colFirst="0" w:colLast="0" w:name="_heading=h.yu1us5qn61p7" w:id="7"/>
      <w:bookmarkEnd w:id="7"/>
      <w:r w:rsidDel="00000000" w:rsidR="00000000" w:rsidRPr="00000000">
        <w:rPr>
          <w:rFonts w:ascii="Times New Roman" w:cs="Times New Roman" w:eastAsia="Times New Roman" w:hAnsi="Times New Roman"/>
          <w:b w:val="1"/>
          <w:sz w:val="22"/>
          <w:szCs w:val="22"/>
          <w:u w:val="single"/>
          <w:rtl w:val="0"/>
        </w:rPr>
        <w:t xml:space="preserve">Competitor Analysis Framework</w:t>
      </w:r>
      <w:r w:rsidDel="00000000" w:rsidR="00000000" w:rsidRPr="00000000">
        <w:rPr>
          <w:rFonts w:ascii="Times New Roman" w:cs="Times New Roman" w:eastAsia="Times New Roman" w:hAnsi="Times New Roman"/>
          <w:b w:val="1"/>
          <w:sz w:val="22"/>
          <w:szCs w:val="22"/>
          <w:rtl w:val="0"/>
        </w:rPr>
        <w:t xml:space="preserve"> </w:t>
        <w:br w:type="textWrapping"/>
        <w:t xml:space="preserve">(cover 2-3 competitors operating in the similar revenue model or advanced revenue model in comparison to your company) </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115"/>
        <w:gridCol w:w="2235"/>
        <w:gridCol w:w="2235"/>
        <w:tblGridChange w:id="0">
          <w:tblGrid>
            <w:gridCol w:w="2355"/>
            <w:gridCol w:w="2115"/>
            <w:gridCol w:w="223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tcBorders>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Competitor 1</w:t>
            </w:r>
          </w:p>
        </w:tc>
        <w:tc>
          <w:tcPr>
            <w:tcBorders>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Competitor 2</w:t>
            </w:r>
          </w:p>
        </w:tc>
        <w:tc>
          <w:tcPr>
            <w:tcBorders>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Competitor 3</w:t>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Name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Tata Soulfull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Troo Good</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Mantra Organic</w:t>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Headquarters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(Bengaluru-based)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 / Andhra Pradesh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India-wide</w:t>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Founding Year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~2011 / Soulfull later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Niche establishment (pre-2020s)</w:t>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Funding Raised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 25 cr S-fund; $5.3 M Series 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cr Series A + $1M seed</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Promoter-funded/organic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Funding Rounds</w:t>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Avishkaar Bharat Fund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OAKS Asset Mgmt, Sashi Reddi</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Model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RTE breakfast cereals via retail + online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snacks, D2C, exports</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Organic millet grains &amp; mixes</w:t>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Streams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 (online + offline)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 bulk, exports</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 organic products</w:t>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Market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Health-conscious urban consumers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Children, schools, health seekers</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Organic-conscious premium segment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Margin</w:t>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Margin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EBITDA-positive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expense</w:t>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5" w:val="single"/>
              <w:bottom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ARR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public</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cr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public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MRR</w:t>
            </w:r>
          </w:p>
        </w:tc>
        <w:tc>
          <w:tcPr>
            <w:tcBorders>
              <w:top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 Growth Rate</w:t>
            </w:r>
          </w:p>
        </w:tc>
        <w:tc>
          <w:tcPr>
            <w:shd w:fill="auto" w:val="clea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Churn Rate</w:t>
            </w:r>
          </w:p>
        </w:tc>
        <w:tc>
          <w:tcPr>
            <w:shd w:fill="auto" w:val="clear"/>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Founders Profile: </w:t>
      </w:r>
    </w:p>
    <w:p w:rsidR="00000000" w:rsidDel="00000000" w:rsidP="00000000" w:rsidRDefault="00000000" w:rsidRPr="00000000" w14:paraId="0000007C">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B.Tech, NIT Warangal; MBA (enrolled)- The University of Chicago Booth School of Business, which I later dropped to pursue entrepreneurship full-time</w:t>
      </w:r>
    </w:p>
    <w:p w:rsidR="00000000" w:rsidDel="00000000" w:rsidP="00000000" w:rsidRDefault="00000000" w:rsidRPr="00000000" w14:paraId="0000007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experience- Head of New Initiatives, Bigbasket Daily, where I helped design and launch a new consumer-facing subscription model- BBDaily (BigBasket’s daily/ subscription delivery arm)</w:t>
      </w:r>
    </w:p>
    <w:p w:rsidR="00000000" w:rsidDel="00000000" w:rsidP="00000000" w:rsidRDefault="00000000" w:rsidRPr="00000000" w14:paraId="0000007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previously founded companies</w:t>
      </w:r>
    </w:p>
    <w:p w:rsidR="00000000" w:rsidDel="00000000" w:rsidP="00000000" w:rsidRDefault="00000000" w:rsidRPr="00000000" w14:paraId="00000081">
      <w:pPr>
        <w:numPr>
          <w:ilvl w:val="1"/>
          <w:numId w:val="1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of past founded companies -NA </w:t>
      </w:r>
    </w:p>
    <w:p w:rsidR="00000000" w:rsidDel="00000000" w:rsidP="00000000" w:rsidRDefault="00000000" w:rsidRPr="00000000" w14:paraId="00000082">
      <w:pPr>
        <w:numPr>
          <w:ilvl w:val="1"/>
          <w:numId w:val="1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ESOPs- NA</w:t>
      </w:r>
    </w:p>
    <w:p w:rsidR="00000000" w:rsidDel="00000000" w:rsidP="00000000" w:rsidRDefault="00000000" w:rsidRPr="00000000" w14:paraId="00000083">
      <w:pPr>
        <w:numPr>
          <w:ilvl w:val="1"/>
          <w:numId w:val="1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Investments done by Founder- in MFs - my personal MF portfolio gave me a return of ~25% in 2 years in 2019 </w:t>
      </w:r>
    </w:p>
    <w:p w:rsidR="00000000" w:rsidDel="00000000" w:rsidP="00000000" w:rsidRDefault="00000000" w:rsidRPr="00000000" w14:paraId="00000084">
      <w:pPr>
        <w:numPr>
          <w:ilvl w:val="1"/>
          <w:numId w:val="1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Litigations (Personal, Business &amp; Criminal)- NA </w:t>
      </w:r>
    </w:p>
    <w:p w:rsidR="00000000" w:rsidDel="00000000" w:rsidP="00000000" w:rsidRDefault="00000000" w:rsidRPr="00000000" w14:paraId="0000008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Financials: </w:t>
      </w:r>
    </w:p>
    <w:p w:rsidR="00000000" w:rsidDel="00000000" w:rsidP="00000000" w:rsidRDefault="00000000" w:rsidRPr="00000000" w14:paraId="0000008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MRR- ~INR 14 Lakhs </w:t>
      </w:r>
    </w:p>
    <w:p w:rsidR="00000000" w:rsidDel="00000000" w:rsidP="00000000" w:rsidRDefault="00000000" w:rsidRPr="00000000" w14:paraId="00000087">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 ~INR 1.5 Cr</w:t>
      </w:r>
    </w:p>
    <w:p w:rsidR="00000000" w:rsidDel="00000000" w:rsidP="00000000" w:rsidRDefault="00000000" w:rsidRPr="00000000" w14:paraId="0000008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Burn- ~INR 15k</w:t>
      </w:r>
    </w:p>
    <w:p w:rsidR="00000000" w:rsidDel="00000000" w:rsidP="00000000" w:rsidRDefault="00000000" w:rsidRPr="00000000" w14:paraId="0000008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Runway- 8 Months in realistic scenario </w:t>
      </w:r>
    </w:p>
    <w:p w:rsidR="00000000" w:rsidDel="00000000" w:rsidP="00000000" w:rsidRDefault="00000000" w:rsidRPr="00000000" w14:paraId="0000008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Margin- Avg - 64%, Ranges between 58-76% depending on category</w:t>
      </w:r>
    </w:p>
    <w:p w:rsidR="00000000" w:rsidDel="00000000" w:rsidP="00000000" w:rsidRDefault="00000000" w:rsidRPr="00000000" w14:paraId="0000008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CM1% - 64%</w:t>
      </w:r>
    </w:p>
    <w:p w:rsidR="00000000" w:rsidDel="00000000" w:rsidP="00000000" w:rsidRDefault="00000000" w:rsidRPr="00000000" w14:paraId="0000008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 2% - 29%</w:t>
      </w:r>
    </w:p>
    <w:p w:rsidR="00000000" w:rsidDel="00000000" w:rsidP="00000000" w:rsidRDefault="00000000" w:rsidRPr="00000000" w14:paraId="0000008D">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 3% - 18%</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Facilities:</w:t>
      </w:r>
    </w:p>
    <w:p w:rsidR="00000000" w:rsidDel="00000000" w:rsidP="00000000" w:rsidRDefault="00000000" w:rsidRPr="00000000" w14:paraId="00000090">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details- Registered- G98, Raptinagar phase 4, Gorakhpur, Virtual- Alt F Coworking </w:t>
      </w:r>
    </w:p>
    <w:p w:rsidR="00000000" w:rsidDel="00000000" w:rsidP="00000000" w:rsidRDefault="00000000" w:rsidRPr="00000000" w14:paraId="00000091">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 details- We work with 3 setups - 2 of which are cooperatives across Tamil Nadu, Gujarat and Delhi </w:t>
      </w:r>
    </w:p>
    <w:p w:rsidR="00000000" w:rsidDel="00000000" w:rsidP="00000000" w:rsidRDefault="00000000" w:rsidRPr="00000000" w14:paraId="00000092">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Warehouses- Chhatarpur, Delhi </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w:t>
      </w:r>
    </w:p>
    <w:p w:rsidR="00000000" w:rsidDel="00000000" w:rsidP="00000000" w:rsidRDefault="00000000" w:rsidRPr="00000000" w14:paraId="0000009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up on Tech stack - </w:t>
      </w:r>
    </w:p>
    <w:p w:rsidR="00000000" w:rsidDel="00000000" w:rsidP="00000000" w:rsidRDefault="00000000" w:rsidRPr="00000000" w14:paraId="00000096">
      <w:pPr>
        <w:numPr>
          <w:ilvl w:val="1"/>
          <w:numId w:val="4"/>
        </w:numPr>
        <w:spacing w:after="0" w:after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B2B2C (Partner) Distribution: Rupyz</w:t>
        <w:br w:type="textWrapping"/>
      </w:r>
      <w:r w:rsidDel="00000000" w:rsidR="00000000" w:rsidRPr="00000000">
        <w:rPr>
          <w:rFonts w:ascii="Times New Roman" w:cs="Times New Roman" w:eastAsia="Times New Roman" w:hAnsi="Times New Roman"/>
          <w:rtl w:val="0"/>
        </w:rPr>
        <w:t xml:space="preserve">We use </w:t>
      </w:r>
      <w:r w:rsidDel="00000000" w:rsidR="00000000" w:rsidRPr="00000000">
        <w:rPr>
          <w:rFonts w:ascii="Times New Roman" w:cs="Times New Roman" w:eastAsia="Times New Roman" w:hAnsi="Times New Roman"/>
          <w:b w:val="1"/>
          <w:rtl w:val="0"/>
        </w:rPr>
        <w:t xml:space="preserve">Rupyz</w:t>
      </w:r>
      <w:r w:rsidDel="00000000" w:rsidR="00000000" w:rsidRPr="00000000">
        <w:rPr>
          <w:rFonts w:ascii="Times New Roman" w:cs="Times New Roman" w:eastAsia="Times New Roman" w:hAnsi="Times New Roman"/>
          <w:rtl w:val="0"/>
        </w:rPr>
        <w:t xml:space="preserve">, an India-grown SaaS platform for B2B e-commerce and sales automation, to power our partner-facing backend.</w:t>
      </w:r>
    </w:p>
    <w:p w:rsidR="00000000" w:rsidDel="00000000" w:rsidP="00000000" w:rsidRDefault="00000000" w:rsidRPr="00000000" w14:paraId="00000097">
      <w:pPr>
        <w:numPr>
          <w:ilvl w:val="1"/>
          <w:numId w:val="4"/>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D2C Front-End: Shopify</w:t>
        <w:br w:type="textWrapping"/>
      </w:r>
      <w:r w:rsidDel="00000000" w:rsidR="00000000" w:rsidRPr="00000000">
        <w:rPr>
          <w:rFonts w:ascii="Times New Roman" w:cs="Times New Roman" w:eastAsia="Times New Roman" w:hAnsi="Times New Roman"/>
          <w:rtl w:val="0"/>
        </w:rPr>
        <w:t xml:space="preserve">Our consumer-facing store runs on </w:t>
      </w:r>
      <w:r w:rsidDel="00000000" w:rsidR="00000000" w:rsidRPr="00000000">
        <w:rPr>
          <w:rFonts w:ascii="Times New Roman" w:cs="Times New Roman" w:eastAsia="Times New Roman" w:hAnsi="Times New Roman"/>
          <w:b w:val="1"/>
          <w:rtl w:val="0"/>
        </w:rPr>
        <w:t xml:space="preserve">Shopify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numPr>
          <w:ilvl w:val="1"/>
          <w:numId w:val="4"/>
        </w:numPr>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Customer Connect &amp; Support: Helio </w:t>
      </w:r>
      <w:r w:rsidDel="00000000" w:rsidR="00000000" w:rsidRPr="00000000">
        <w:rPr>
          <w:rFonts w:ascii="Times New Roman" w:cs="Times New Roman" w:eastAsia="Times New Roman" w:hAnsi="Times New Roman"/>
          <w:rtl w:val="0"/>
        </w:rPr>
        <w:t xml:space="preserve">For CRM and customer service, we rely on </w:t>
      </w:r>
      <w:r w:rsidDel="00000000" w:rsidR="00000000" w:rsidRPr="00000000">
        <w:rPr>
          <w:rFonts w:ascii="Times New Roman" w:cs="Times New Roman" w:eastAsia="Times New Roman" w:hAnsi="Times New Roman"/>
          <w:b w:val="1"/>
          <w:rtl w:val="0"/>
        </w:rPr>
        <w:t xml:space="preserve">Helio</w:t>
      </w:r>
      <w:r w:rsidDel="00000000" w:rsidR="00000000" w:rsidRPr="00000000">
        <w:rPr>
          <w:rFonts w:ascii="Times New Roman" w:cs="Times New Roman" w:eastAsia="Times New Roman" w:hAnsi="Times New Roman"/>
          <w:rtl w:val="0"/>
        </w:rPr>
        <w:t xml:space="preserve">, which integrates deeply with </w:t>
      </w:r>
      <w:r w:rsidDel="00000000" w:rsidR="00000000" w:rsidRPr="00000000">
        <w:rPr>
          <w:rFonts w:ascii="Times New Roman" w:cs="Times New Roman" w:eastAsia="Times New Roman" w:hAnsi="Times New Roman"/>
          <w:b w:val="1"/>
          <w:rtl w:val="0"/>
        </w:rPr>
        <w:t xml:space="preserve">WhatsApp</w:t>
      </w:r>
      <w:r w:rsidDel="00000000" w:rsidR="00000000" w:rsidRPr="00000000">
        <w:rPr>
          <w:rFonts w:ascii="Times New Roman" w:cs="Times New Roman" w:eastAsia="Times New Roman" w:hAnsi="Times New Roman"/>
          <w:rtl w:val="0"/>
        </w:rPr>
        <w:t xml:space="preserve"> and Instagram to deliver fast, conversational support. </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Fundraiser:</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funding details till date- 1.85 Cr split into an Angel and a Pre Seed round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Valuation:</w:t>
      </w:r>
    </w:p>
    <w:p w:rsidR="00000000" w:rsidDel="00000000" w:rsidP="00000000" w:rsidRDefault="00000000" w:rsidRPr="00000000" w14:paraId="0000009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Valuation rationale-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sdt>
        <w:sdtPr>
          <w:id w:val="1355568290"/>
          <w:tag w:val="goog_rdk_7"/>
        </w:sdtPr>
        <w:sdtContent>
          <w:r w:rsidDel="00000000" w:rsidR="00000000" w:rsidRPr="00000000">
            <w:rPr>
              <w:rFonts w:ascii="Cardo" w:cs="Cardo" w:eastAsia="Cardo" w:hAnsi="Cardo"/>
              <w:rtl w:val="0"/>
            </w:rPr>
            <w:t xml:space="preserve">Community-led Growth → Low CAC</w:t>
            <w:br w:type="textWrapping"/>
            <w:t xml:space="preserve"> Built on a strong network of women entrepreneurs &amp; evangelists, making customer acquisition </w:t>
          </w:r>
        </w:sdtContent>
      </w:sdt>
      <w:r w:rsidDel="00000000" w:rsidR="00000000" w:rsidRPr="00000000">
        <w:rPr>
          <w:rFonts w:ascii="Times New Roman" w:cs="Times New Roman" w:eastAsia="Times New Roman" w:hAnsi="Times New Roman"/>
          <w:b w:val="1"/>
          <w:rtl w:val="0"/>
        </w:rPr>
        <w:t xml:space="preserve">capital-efficient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sdt>
        <w:sdtPr>
          <w:id w:val="-1589981757"/>
          <w:tag w:val="goog_rdk_8"/>
        </w:sdtPr>
        <w:sdtContent>
          <w:r w:rsidDel="00000000" w:rsidR="00000000" w:rsidRPr="00000000">
            <w:rPr>
              <w:rFonts w:ascii="Cardo" w:cs="Cardo" w:eastAsia="Cardo" w:hAnsi="Cardo"/>
              <w:rtl w:val="0"/>
            </w:rPr>
            <w:t xml:space="preserve">Lean Brand-building → Low Marketing Costs</w:t>
            <w:br w:type="textWrapping"/>
            <w:t xml:space="preserve"> Organic narrative + word of mouth replace expensive ad spends, driving </w:t>
          </w:r>
        </w:sdtContent>
      </w:sdt>
      <w:r w:rsidDel="00000000" w:rsidR="00000000" w:rsidRPr="00000000">
        <w:rPr>
          <w:rFonts w:ascii="Times New Roman" w:cs="Times New Roman" w:eastAsia="Times New Roman" w:hAnsi="Times New Roman"/>
          <w:b w:val="1"/>
          <w:rtl w:val="0"/>
        </w:rPr>
        <w:t xml:space="preserve">high ROI growth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Operational Efficiency</w:t>
      </w:r>
    </w:p>
    <w:p w:rsidR="00000000" w:rsidDel="00000000" w:rsidP="00000000" w:rsidRDefault="00000000" w:rsidRPr="00000000" w14:paraId="000000A3">
      <w:pPr>
        <w:numPr>
          <w:ilvl w:val="0"/>
          <w:numId w:val="1"/>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B2B entry</w:t>
      </w:r>
      <w:r w:rsidDel="00000000" w:rsidR="00000000" w:rsidRPr="00000000">
        <w:rPr>
          <w:rFonts w:ascii="Times New Roman" w:cs="Times New Roman" w:eastAsia="Times New Roman" w:hAnsi="Times New Roman"/>
          <w:rtl w:val="0"/>
        </w:rPr>
        <w:t xml:space="preserve"> unlocked via community trust, no heavy trade spends.</w:t>
      </w:r>
    </w:p>
    <w:p w:rsidR="00000000" w:rsidDel="00000000" w:rsidP="00000000" w:rsidRDefault="00000000" w:rsidRPr="00000000" w14:paraId="000000A4">
      <w:pPr>
        <w:numPr>
          <w:ilvl w:val="0"/>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Low-cost NPD</w:t>
      </w:r>
      <w:r w:rsidDel="00000000" w:rsidR="00000000" w:rsidRPr="00000000">
        <w:rPr>
          <w:rFonts w:ascii="Times New Roman" w:cs="Times New Roman" w:eastAsia="Times New Roman" w:hAnsi="Times New Roman"/>
          <w:rtl w:val="0"/>
        </w:rPr>
        <w:t xml:space="preserve">, with products co-created &amp; tested in-community.</w:t>
        <w:br w:type="textWrapping"/>
      </w:r>
    </w:p>
    <w:p w:rsidR="00000000" w:rsidDel="00000000" w:rsidP="00000000" w:rsidRDefault="00000000" w:rsidRPr="00000000" w14:paraId="000000A5">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Scalable Customer Success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 Community-driven service builds </w:t>
      </w:r>
      <w:r w:rsidDel="00000000" w:rsidR="00000000" w:rsidRPr="00000000">
        <w:rPr>
          <w:rFonts w:ascii="Times New Roman" w:cs="Times New Roman" w:eastAsia="Times New Roman" w:hAnsi="Times New Roman"/>
          <w:b w:val="1"/>
          <w:rtl w:val="0"/>
        </w:rPr>
        <w:t xml:space="preserve">trust, retention &amp; high LTV/CAC ratios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w:t>
      </w:r>
      <w:sdt>
        <w:sdtPr>
          <w:id w:val="669942328"/>
          <w:tag w:val="goog_rdk_9"/>
        </w:sdtPr>
        <w:sdtContent>
          <w:r w:rsidDel="00000000" w:rsidR="00000000" w:rsidRPr="00000000">
            <w:rPr>
              <w:rFonts w:ascii="Cardo" w:cs="Cardo" w:eastAsia="Cardo" w:hAnsi="Cardo"/>
              <w:rtl w:val="0"/>
            </w:rPr>
            <w:t xml:space="preserve">Strong Brand Equity from Day 1</w:t>
            <w:br w:type="textWrapping"/>
            <w:t xml:space="preserve"> Authentic storytelling → </w:t>
          </w:r>
        </w:sdtContent>
      </w:sdt>
      <w:r w:rsidDel="00000000" w:rsidR="00000000" w:rsidRPr="00000000">
        <w:rPr>
          <w:rFonts w:ascii="Times New Roman" w:cs="Times New Roman" w:eastAsia="Times New Roman" w:hAnsi="Times New Roman"/>
          <w:b w:val="1"/>
          <w:rtl w:val="0"/>
        </w:rPr>
        <w:t xml:space="preserve">fast adoption, high repeat rates, and brand love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Naario isn’t a burn-heavy FMCG play. Our </w:t>
      </w:r>
      <w:r w:rsidDel="00000000" w:rsidR="00000000" w:rsidRPr="00000000">
        <w:rPr>
          <w:rFonts w:ascii="Times New Roman" w:cs="Times New Roman" w:eastAsia="Times New Roman" w:hAnsi="Times New Roman"/>
          <w:b w:val="1"/>
          <w:rtl w:val="0"/>
        </w:rPr>
        <w:t xml:space="preserve">community-first model makes growth cheaper, stickier, and more defensible</w:t>
      </w:r>
      <w:r w:rsidDel="00000000" w:rsidR="00000000" w:rsidRPr="00000000">
        <w:rPr>
          <w:rFonts w:ascii="Times New Roman" w:cs="Times New Roman" w:eastAsia="Times New Roman" w:hAnsi="Times New Roman"/>
          <w:rtl w:val="0"/>
        </w:rPr>
        <w:t xml:space="preserve">, justifying a premium valuation multiple.</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Round structure:</w:t>
      </w:r>
    </w:p>
    <w:p w:rsidR="00000000" w:rsidDel="00000000" w:rsidP="00000000" w:rsidRDefault="00000000" w:rsidRPr="00000000" w14:paraId="000000AA">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 (Primary / Secondary) - Primary</w:t>
      </w:r>
    </w:p>
    <w:p w:rsidR="00000000" w:rsidDel="00000000" w:rsidP="00000000" w:rsidRDefault="00000000" w:rsidRPr="00000000" w14:paraId="000000AB">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Pre-Money- 23 Cr </w:t>
      </w:r>
    </w:p>
    <w:p w:rsidR="00000000" w:rsidDel="00000000" w:rsidP="00000000" w:rsidRDefault="00000000" w:rsidRPr="00000000" w14:paraId="000000AC">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TSUV- The step up ventures </w:t>
      </w:r>
    </w:p>
    <w:p w:rsidR="00000000" w:rsidDel="00000000" w:rsidP="00000000" w:rsidRDefault="00000000" w:rsidRPr="00000000" w14:paraId="000000AD">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Incoming Investors- TSUV, </w:t>
      </w:r>
    </w:p>
    <w:p w:rsidR="00000000" w:rsidDel="00000000" w:rsidP="00000000" w:rsidRDefault="00000000" w:rsidRPr="00000000" w14:paraId="000000AE">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Investors- Angelist, HEM Angels, Supermorpheus, Yourstory, Prashant Pitti (EaseMyTrip)</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Following the above information, we request you to provide a detailed business note for reference in the format below: </w:t>
      </w:r>
    </w:p>
    <w:p w:rsidR="00000000" w:rsidDel="00000000" w:rsidP="00000000" w:rsidRDefault="00000000" w:rsidRPr="00000000" w14:paraId="000000B2">
      <w:pPr>
        <w:numPr>
          <w:ilvl w:val="0"/>
          <w:numId w:val="17"/>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Key Problem Solved</w:t>
      </w:r>
      <w:r w:rsidDel="00000000" w:rsidR="00000000" w:rsidRPr="00000000">
        <w:rPr>
          <w:rFonts w:ascii="Times New Roman" w:cs="Times New Roman" w:eastAsia="Times New Roman" w:hAnsi="Times New Roman"/>
          <w:highlight w:val="white"/>
          <w:rtl w:val="0"/>
        </w:rPr>
        <w:t xml:space="preserve"> - </w:t>
      </w:r>
      <w:r w:rsidDel="00000000" w:rsidR="00000000" w:rsidRPr="00000000">
        <w:rPr>
          <w:rFonts w:ascii="Times New Roman" w:cs="Times New Roman" w:eastAsia="Times New Roman" w:hAnsi="Times New Roman"/>
          <w:highlight w:val="white"/>
          <w:rtl w:val="0"/>
        </w:rPr>
        <w:t xml:space="preserve">The Indian kitchen today is caught in a tug-of-war. Between hyper-processed "modern" food that is harmful in the long run, and traditional food that is healthy but inconvenient and time-consuming to prepare. For the conscious Indian woman trying to feed her family better, there are few brands that make </w:t>
      </w:r>
      <w:r w:rsidDel="00000000" w:rsidR="00000000" w:rsidRPr="00000000">
        <w:rPr>
          <w:rFonts w:ascii="Times New Roman" w:cs="Times New Roman" w:eastAsia="Times New Roman" w:hAnsi="Times New Roman"/>
          <w:highlight w:val="white"/>
          <w:rtl w:val="0"/>
        </w:rPr>
        <w:t xml:space="preserve">clean eating easy and trusting</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B3">
      <w:pPr>
        <w:spacing w:after="240" w:before="240" w:line="276"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Naario solves this by reimagining what Indian FMCG would look like a decade from now. We create Indian pantry staples from gut-friendly multigrain atta to millet-based snacks that are 100% clean-label, often millet-powered, and rooted in Indian taste and culture. Our products are built for everyday use- convenient, shelf-stable, and delicious-  making them easy to adopt and even easier to stick with.</w:t>
      </w:r>
    </w:p>
    <w:p w:rsidR="00000000" w:rsidDel="00000000" w:rsidP="00000000" w:rsidRDefault="00000000" w:rsidRPr="00000000" w14:paraId="000000B4">
      <w:pPr>
        <w:spacing w:after="240" w:before="240" w:line="276"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And we don’t just sell healthy food. We build habits by leveraging a trusted community of 8,000+ women across India. It’s clean food, with a built-in support system.</w:t>
      </w:r>
      <w:r w:rsidDel="00000000" w:rsidR="00000000" w:rsidRPr="00000000">
        <w:rPr>
          <w:rtl w:val="0"/>
        </w:rPr>
      </w:r>
    </w:p>
    <w:p w:rsidR="00000000" w:rsidDel="00000000" w:rsidP="00000000" w:rsidRDefault="00000000" w:rsidRPr="00000000" w14:paraId="000000B5">
      <w:pPr>
        <w:numPr>
          <w:ilvl w:val="0"/>
          <w:numId w:val="17"/>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Business Model-</w:t>
      </w:r>
      <w:r w:rsidDel="00000000" w:rsidR="00000000" w:rsidRPr="00000000">
        <w:rPr>
          <w:rFonts w:ascii="Times New Roman" w:cs="Times New Roman" w:eastAsia="Times New Roman" w:hAnsi="Times New Roman"/>
          <w:b w:val="1"/>
          <w:highlight w:val="white"/>
          <w:rtl w:val="0"/>
        </w:rPr>
        <w:t xml:space="preserve">Naario’s business model is built on a flywheel powered by its community and women partners.</w:t>
      </w:r>
      <w:r w:rsidDel="00000000" w:rsidR="00000000" w:rsidRPr="00000000">
        <w:rPr>
          <w:rFonts w:ascii="Times New Roman" w:cs="Times New Roman" w:eastAsia="Times New Roman" w:hAnsi="Times New Roman"/>
          <w:highlight w:val="white"/>
          <w:rtl w:val="0"/>
        </w:rPr>
        <w:t xml:space="preserve"> Our community drives product co-creation, feedback, and early adoption, while our network of women partners amplifies trust and grassroots distribution. This creates pull for our D2C and e-commerce channels, where clean, everyday food products gain traction. As demand scales, B2B partnerships (institutions, cafés) further expand reach, reinforcing brand visibility and community growth. The more the community and partners engage, the stronger the demand loop becomes, creating a self-sustaining growth engine.</w:t>
      </w:r>
    </w:p>
    <w:p w:rsidR="00000000" w:rsidDel="00000000" w:rsidP="00000000" w:rsidRDefault="00000000" w:rsidRPr="00000000" w14:paraId="000000B6">
      <w:pPr>
        <w:spacing w:after="24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Pipeline</w:t>
      </w:r>
    </w:p>
    <w:p w:rsidR="00000000" w:rsidDel="00000000" w:rsidP="00000000" w:rsidRDefault="00000000" w:rsidRPr="00000000" w14:paraId="000000B8">
      <w:pPr>
        <w:numPr>
          <w:ilvl w:val="0"/>
          <w:numId w:val="2"/>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Sales Pipeline Value- INR 15-20 Lakhs per month with Blinkit and B2B, with Quick Commerce revenue increasing at a minimum of 10% Month on Month </w:t>
      </w:r>
    </w:p>
    <w:p w:rsidR="00000000" w:rsidDel="00000000" w:rsidP="00000000" w:rsidRDefault="00000000" w:rsidRPr="00000000" w14:paraId="000000B9">
      <w:pPr>
        <w:numPr>
          <w:ilvl w:val="0"/>
          <w:numId w:val="2"/>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Projected Growth Opportunities - Quick Commerce,  B2B Pipeline spanning across Chaayos, PVR, Cinepolis and Akasa Air</w:t>
      </w:r>
      <w:r w:rsidDel="00000000" w:rsidR="00000000" w:rsidRPr="00000000">
        <w:rPr>
          <w:rFonts w:ascii="Times New Roman" w:cs="Times New Roman" w:eastAsia="Times New Roman" w:hAnsi="Times New Roman"/>
          <w:b w:val="1"/>
          <w:highlight w:val="white"/>
          <w:rtl w:val="0"/>
        </w:rPr>
        <w:br w:type="textWrapping"/>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rtl w:val="0"/>
        </w:rPr>
        <w:t xml:space="preserve">Why Now</w:t>
      </w:r>
    </w:p>
    <w:p w:rsidR="00000000" w:rsidDel="00000000" w:rsidP="00000000" w:rsidRDefault="00000000" w:rsidRPr="00000000" w14:paraId="000000BA">
      <w:pPr>
        <w:numPr>
          <w:ilvl w:val="0"/>
          <w:numId w:val="13"/>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 Trends - India’s packaged food and healthy snacking market is undergoing a massive shift, driven by rising health consciousness, urban lifestyles, and growing disposable incomes. The Indian healthy foods market is expected to cross </w:t>
      </w:r>
      <w:r w:rsidDel="00000000" w:rsidR="00000000" w:rsidRPr="00000000">
        <w:rPr>
          <w:rFonts w:ascii="Times New Roman" w:cs="Times New Roman" w:eastAsia="Times New Roman" w:hAnsi="Times New Roman"/>
          <w:b w:val="1"/>
          <w:highlight w:val="white"/>
          <w:rtl w:val="0"/>
        </w:rPr>
        <w:t xml:space="preserve">₹1.5 lakh crore by 2027</w:t>
      </w:r>
      <w:r w:rsidDel="00000000" w:rsidR="00000000" w:rsidRPr="00000000">
        <w:rPr>
          <w:rFonts w:ascii="Times New Roman" w:cs="Times New Roman" w:eastAsia="Times New Roman" w:hAnsi="Times New Roman"/>
          <w:highlight w:val="white"/>
          <w:rtl w:val="0"/>
        </w:rPr>
        <w:t xml:space="preserve">, growing at over </w:t>
      </w:r>
      <w:r w:rsidDel="00000000" w:rsidR="00000000" w:rsidRPr="00000000">
        <w:rPr>
          <w:rFonts w:ascii="Times New Roman" w:cs="Times New Roman" w:eastAsia="Times New Roman" w:hAnsi="Times New Roman"/>
          <w:b w:val="1"/>
          <w:highlight w:val="white"/>
          <w:rtl w:val="0"/>
        </w:rPr>
        <w:t xml:space="preserve">15–20% CAGR</w:t>
      </w:r>
      <w:r w:rsidDel="00000000" w:rsidR="00000000" w:rsidRPr="00000000">
        <w:rPr>
          <w:rFonts w:ascii="Times New Roman" w:cs="Times New Roman" w:eastAsia="Times New Roman" w:hAnsi="Times New Roman"/>
          <w:highlight w:val="white"/>
          <w:rtl w:val="0"/>
        </w:rPr>
        <w:t xml:space="preserve">, with millet-based products gaining traction. </w:t>
      </w:r>
    </w:p>
    <w:p w:rsidR="00000000" w:rsidDel="00000000" w:rsidP="00000000" w:rsidRDefault="00000000" w:rsidRPr="00000000" w14:paraId="000000BB">
      <w:pPr>
        <w:spacing w:before="24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At the same time, over </w:t>
      </w:r>
      <w:r w:rsidDel="00000000" w:rsidR="00000000" w:rsidRPr="00000000">
        <w:rPr>
          <w:rFonts w:ascii="Times New Roman" w:cs="Times New Roman" w:eastAsia="Times New Roman" w:hAnsi="Times New Roman"/>
          <w:b w:val="1"/>
          <w:highlight w:val="white"/>
          <w:rtl w:val="0"/>
        </w:rPr>
        <w:t xml:space="preserve">65% of consumers in urban India actively check labels</w:t>
      </w:r>
      <w:r w:rsidDel="00000000" w:rsidR="00000000" w:rsidRPr="00000000">
        <w:rPr>
          <w:rFonts w:ascii="Times New Roman" w:cs="Times New Roman" w:eastAsia="Times New Roman" w:hAnsi="Times New Roman"/>
          <w:highlight w:val="white"/>
          <w:rtl w:val="0"/>
        </w:rPr>
        <w:t xml:space="preserve"> for natural ingredients and low sugar, showing demand for “clean” and “trustworthy” products. Beyond just food trends, there’s a </w:t>
      </w:r>
      <w:r w:rsidDel="00000000" w:rsidR="00000000" w:rsidRPr="00000000">
        <w:rPr>
          <w:rFonts w:ascii="Times New Roman" w:cs="Times New Roman" w:eastAsia="Times New Roman" w:hAnsi="Times New Roman"/>
          <w:b w:val="1"/>
          <w:highlight w:val="white"/>
          <w:rtl w:val="0"/>
        </w:rPr>
        <w:t xml:space="preserve">trust deficit in big FMCG brands</w:t>
      </w:r>
      <w:r w:rsidDel="00000000" w:rsidR="00000000" w:rsidRPr="00000000">
        <w:rPr>
          <w:rFonts w:ascii="Times New Roman" w:cs="Times New Roman" w:eastAsia="Times New Roman" w:hAnsi="Times New Roman"/>
          <w:highlight w:val="white"/>
          <w:rtl w:val="0"/>
        </w:rPr>
        <w:t xml:space="preserve">, creating a unique window for women-led, community-first brands like Naario to capture loyalty. </w:t>
      </w:r>
    </w:p>
    <w:p w:rsidR="00000000" w:rsidDel="00000000" w:rsidP="00000000" w:rsidRDefault="00000000" w:rsidRPr="00000000" w14:paraId="000000BC">
      <w:pPr>
        <w:spacing w:before="24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D">
      <w:pPr>
        <w:numPr>
          <w:ilvl w:val="0"/>
          <w:numId w:val="13"/>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Competitive Edge- On one hand, our </w:t>
      </w:r>
      <w:r w:rsidDel="00000000" w:rsidR="00000000" w:rsidRPr="00000000">
        <w:rPr>
          <w:rFonts w:ascii="Times New Roman" w:cs="Times New Roman" w:eastAsia="Times New Roman" w:hAnsi="Times New Roman"/>
          <w:b w:val="1"/>
          <w:highlight w:val="white"/>
          <w:rtl w:val="0"/>
        </w:rPr>
        <w:t xml:space="preserve">community-first approach</w:t>
      </w:r>
      <w:r w:rsidDel="00000000" w:rsidR="00000000" w:rsidRPr="00000000">
        <w:rPr>
          <w:rFonts w:ascii="Times New Roman" w:cs="Times New Roman" w:eastAsia="Times New Roman" w:hAnsi="Times New Roman"/>
          <w:highlight w:val="white"/>
          <w:rtl w:val="0"/>
        </w:rPr>
        <w:t xml:space="preserve"> builds strong trust and organic advocacy with women, the core decision-makers in households. On the other hand, our </w:t>
      </w:r>
      <w:r w:rsidDel="00000000" w:rsidR="00000000" w:rsidRPr="00000000">
        <w:rPr>
          <w:rFonts w:ascii="Times New Roman" w:cs="Times New Roman" w:eastAsia="Times New Roman" w:hAnsi="Times New Roman"/>
          <w:b w:val="1"/>
          <w:highlight w:val="white"/>
          <w:rtl w:val="0"/>
        </w:rPr>
        <w:t xml:space="preserve">efficient, women-powered supply chain</w:t>
      </w:r>
      <w:r w:rsidDel="00000000" w:rsidR="00000000" w:rsidRPr="00000000">
        <w:rPr>
          <w:rFonts w:ascii="Times New Roman" w:cs="Times New Roman" w:eastAsia="Times New Roman" w:hAnsi="Times New Roman"/>
          <w:highlight w:val="white"/>
          <w:rtl w:val="0"/>
        </w:rPr>
        <w:t xml:space="preserve"> ensures agility, cost-effectiveness, and scalability while maintaining the transparency that traditional players lack.</w:t>
      </w:r>
    </w:p>
    <w:p w:rsidR="00000000" w:rsidDel="00000000" w:rsidP="00000000" w:rsidRDefault="00000000" w:rsidRPr="00000000" w14:paraId="000000BE">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F">
      <w:pPr>
        <w:numPr>
          <w:ilvl w:val="0"/>
          <w:numId w:val="13"/>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Urgency/Opportunity- The next 3 to 5 years are critical for capturing consumer loyalty as new eating and shopping habits are forming. Entering and scaling now (especially B2B ecosystem creation) allows us to become the go-to brand for mindful, everyday essentials before larger incumbents catch up.</w:t>
      </w:r>
    </w:p>
    <w:p w:rsidR="00000000" w:rsidDel="00000000" w:rsidP="00000000" w:rsidRDefault="00000000" w:rsidRPr="00000000" w14:paraId="000000C0">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Financials</w:t>
      </w:r>
    </w:p>
    <w:p w:rsidR="00000000" w:rsidDel="00000000" w:rsidP="00000000" w:rsidRDefault="00000000" w:rsidRPr="00000000" w14:paraId="000000C1">
      <w:pPr>
        <w:numPr>
          <w:ilvl w:val="0"/>
          <w:numId w:val="20"/>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Funding Ask- 50 Lakhs to 1 Cr via LV</w:t>
      </w:r>
    </w:p>
    <w:p w:rsidR="00000000" w:rsidDel="00000000" w:rsidP="00000000" w:rsidRDefault="00000000" w:rsidRPr="00000000" w14:paraId="000000C2">
      <w:pPr>
        <w:numPr>
          <w:ilvl w:val="0"/>
          <w:numId w:val="20"/>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Structure (e.g., SAFE, Convertible Note)- CCPS </w:t>
      </w:r>
    </w:p>
    <w:p w:rsidR="00000000" w:rsidDel="00000000" w:rsidP="00000000" w:rsidRDefault="00000000" w:rsidRPr="00000000" w14:paraId="000000C3">
      <w:pPr>
        <w:numPr>
          <w:ilvl w:val="0"/>
          <w:numId w:val="20"/>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Valuation Cap and Floor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23 Cr is the floor, 29 Cr is the cap </w:t>
      </w:r>
    </w:p>
    <w:p w:rsidR="00000000" w:rsidDel="00000000" w:rsidP="00000000" w:rsidRDefault="00000000" w:rsidRPr="00000000" w14:paraId="000000C4">
      <w:pPr>
        <w:numPr>
          <w:ilvl w:val="0"/>
          <w:numId w:val="20"/>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Current Commitments- </w:t>
      </w:r>
      <w:r w:rsidDel="00000000" w:rsidR="00000000" w:rsidRPr="00000000">
        <w:rPr>
          <w:rFonts w:ascii="Times New Roman" w:cs="Times New Roman" w:eastAsia="Times New Roman" w:hAnsi="Times New Roman"/>
          <w:rtl w:val="0"/>
        </w:rPr>
        <w:t xml:space="preserve">~40% including soft and hard commitments</w:t>
      </w:r>
    </w:p>
    <w:p w:rsidR="00000000" w:rsidDel="00000000" w:rsidP="00000000" w:rsidRDefault="00000000" w:rsidRPr="00000000" w14:paraId="000000C5">
      <w:pPr>
        <w:spacing w:after="24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Risks and Mitigation</w:t>
      </w:r>
    </w:p>
    <w:p w:rsidR="00000000" w:rsidDel="00000000" w:rsidP="00000000" w:rsidRDefault="00000000" w:rsidRPr="00000000" w14:paraId="000000C7">
      <w:pPr>
        <w:numPr>
          <w:ilvl w:val="0"/>
          <w:numId w:val="7"/>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Identified Risks- </w:t>
      </w:r>
    </w:p>
    <w:p w:rsidR="00000000" w:rsidDel="00000000" w:rsidP="00000000" w:rsidRDefault="00000000" w:rsidRPr="00000000" w14:paraId="000000C8">
      <w:pPr>
        <w:numPr>
          <w:ilvl w:val="0"/>
          <w:numId w:val="7"/>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Proposed Mitigation Strategies</w:t>
      </w:r>
    </w:p>
    <w:tbl>
      <w:tblPr>
        <w:tblStyle w:val="Table2"/>
        <w:tblW w:w="813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265"/>
        <w:tblGridChange w:id="0">
          <w:tblGrid>
            <w:gridCol w:w="2865"/>
            <w:gridCol w:w="5265"/>
          </w:tblGrid>
        </w:tblGridChange>
      </w:tblGrid>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sz w:val="20"/>
                <w:szCs w:val="20"/>
              </w:rPr>
            </w:pPr>
            <w:r w:rsidDel="00000000" w:rsidR="00000000" w:rsidRPr="00000000">
              <w:rPr>
                <w:b w:val="1"/>
                <w:sz w:val="20"/>
                <w:szCs w:val="20"/>
                <w:rtl w:val="0"/>
              </w:rPr>
              <w:t xml:space="preserve">Identified Risks</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A">
            <w:pPr>
              <w:widowControl w:val="0"/>
              <w:spacing w:line="276" w:lineRule="auto"/>
              <w:ind w:left="-9020" w:right="-9020" w:firstLine="0"/>
              <w:jc w:val="center"/>
              <w:rPr>
                <w:b w:val="1"/>
                <w:sz w:val="20"/>
                <w:szCs w:val="20"/>
              </w:rPr>
            </w:pPr>
            <w:r w:rsidDel="00000000" w:rsidR="00000000" w:rsidRPr="00000000">
              <w:rPr>
                <w:b w:val="1"/>
                <w:sz w:val="20"/>
                <w:szCs w:val="20"/>
                <w:rtl w:val="0"/>
              </w:rPr>
              <w:t xml:space="preserve">Proposed Mitigation Strategies</w:t>
            </w:r>
          </w:p>
        </w:tc>
      </w:tr>
      <w:tr>
        <w:trPr>
          <w:cantSplit w:val="0"/>
          <w:trHeight w:val="10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sz w:val="20"/>
                <w:szCs w:val="20"/>
              </w:rPr>
            </w:pPr>
            <w:r w:rsidDel="00000000" w:rsidR="00000000" w:rsidRPr="00000000">
              <w:rPr>
                <w:sz w:val="20"/>
                <w:szCs w:val="20"/>
                <w:rtl w:val="0"/>
              </w:rPr>
              <w:t xml:space="preserve">Competition from established FMCG brands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C">
            <w:pPr>
              <w:widowControl w:val="0"/>
              <w:spacing w:line="276" w:lineRule="auto"/>
              <w:rPr>
                <w:sz w:val="20"/>
                <w:szCs w:val="20"/>
              </w:rPr>
            </w:pPr>
            <w:r w:rsidDel="00000000" w:rsidR="00000000" w:rsidRPr="00000000">
              <w:rPr>
                <w:sz w:val="20"/>
                <w:szCs w:val="20"/>
                <w:rtl w:val="0"/>
              </w:rPr>
              <w:t xml:space="preserve">Differentiate with a women-led narrative, community-driven brand trust, and authentic, clean-label products that large FMCGs lack.</w:t>
            </w:r>
          </w:p>
        </w:tc>
      </w:tr>
      <w:tr>
        <w:trPr>
          <w:cantSplit w:val="0"/>
          <w:trHeight w:val="12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sz w:val="20"/>
                <w:szCs w:val="20"/>
              </w:rPr>
            </w:pPr>
            <w:r w:rsidDel="00000000" w:rsidR="00000000" w:rsidRPr="00000000">
              <w:rPr>
                <w:sz w:val="20"/>
                <w:szCs w:val="20"/>
                <w:rtl w:val="0"/>
              </w:rPr>
              <w:t xml:space="preserve">Consumer education gap about millets and healthy alternatives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E">
            <w:pPr>
              <w:widowControl w:val="0"/>
              <w:spacing w:line="276" w:lineRule="auto"/>
              <w:rPr>
                <w:sz w:val="20"/>
                <w:szCs w:val="20"/>
              </w:rPr>
            </w:pPr>
            <w:r w:rsidDel="00000000" w:rsidR="00000000" w:rsidRPr="00000000">
              <w:rPr>
                <w:sz w:val="20"/>
                <w:szCs w:val="20"/>
                <w:rtl w:val="0"/>
              </w:rPr>
              <w:t xml:space="preserve">Invest in storytelling-led marketing, sampling, and community events to drive awareness and adoption.</w:t>
            </w:r>
          </w:p>
        </w:tc>
      </w:tr>
      <w:tr>
        <w:trPr>
          <w:cantSplit w:val="0"/>
          <w:trHeight w:val="10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sz w:val="20"/>
                <w:szCs w:val="20"/>
              </w:rPr>
            </w:pPr>
            <w:r w:rsidDel="00000000" w:rsidR="00000000" w:rsidRPr="00000000">
              <w:rPr>
                <w:sz w:val="20"/>
                <w:szCs w:val="20"/>
                <w:rtl w:val="0"/>
              </w:rPr>
              <w:t xml:space="preserve">Scaling the supply chain with consistent quality</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0">
            <w:pPr>
              <w:widowControl w:val="0"/>
              <w:spacing w:line="276" w:lineRule="auto"/>
              <w:rPr>
                <w:sz w:val="20"/>
                <w:szCs w:val="20"/>
              </w:rPr>
            </w:pPr>
            <w:r w:rsidDel="00000000" w:rsidR="00000000" w:rsidRPr="00000000">
              <w:rPr>
                <w:sz w:val="20"/>
                <w:szCs w:val="20"/>
                <w:rtl w:val="0"/>
              </w:rPr>
              <w:t xml:space="preserve">Build long-term supplier partnerships with women-led units, implement strict QC checks, and gradually digitize procurement for transparency.</w:t>
            </w:r>
          </w:p>
        </w:tc>
      </w:tr>
      <w:tr>
        <w:trPr>
          <w:cantSplit w:val="0"/>
          <w:trHeight w:val="12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sz w:val="20"/>
                <w:szCs w:val="20"/>
              </w:rPr>
            </w:pPr>
            <w:r w:rsidDel="00000000" w:rsidR="00000000" w:rsidRPr="00000000">
              <w:rPr>
                <w:sz w:val="20"/>
                <w:szCs w:val="20"/>
                <w:rtl w:val="0"/>
              </w:rPr>
              <w:t xml:space="preserve">Customer acquisition costs (CAC) are increasing with digital clutter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2">
            <w:pPr>
              <w:widowControl w:val="0"/>
              <w:spacing w:line="276" w:lineRule="auto"/>
              <w:rPr>
                <w:sz w:val="20"/>
                <w:szCs w:val="20"/>
              </w:rPr>
            </w:pPr>
            <w:r w:rsidDel="00000000" w:rsidR="00000000" w:rsidRPr="00000000">
              <w:rPr>
                <w:sz w:val="20"/>
                <w:szCs w:val="20"/>
                <w:rtl w:val="0"/>
              </w:rPr>
              <w:t xml:space="preserve">Leverage organic community-led growth, word of mouth, and retail presence to reduce over-dependence on paid ads.</w:t>
            </w:r>
          </w:p>
        </w:tc>
      </w:tr>
      <w:tr>
        <w:trPr>
          <w:cantSplit w:val="0"/>
          <w:trHeight w:val="10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sz w:val="20"/>
                <w:szCs w:val="20"/>
              </w:rPr>
            </w:pPr>
            <w:r w:rsidDel="00000000" w:rsidR="00000000" w:rsidRPr="00000000">
              <w:rPr>
                <w:sz w:val="20"/>
                <w:szCs w:val="20"/>
                <w:rtl w:val="0"/>
              </w:rPr>
              <w:t xml:space="preserve">Risk of being perceived as a niche/urban-only brand</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4">
            <w:pPr>
              <w:widowControl w:val="0"/>
              <w:spacing w:line="276" w:lineRule="auto"/>
              <w:rPr>
                <w:sz w:val="20"/>
                <w:szCs w:val="20"/>
              </w:rPr>
            </w:pPr>
            <w:r w:rsidDel="00000000" w:rsidR="00000000" w:rsidRPr="00000000">
              <w:rPr>
                <w:sz w:val="20"/>
                <w:szCs w:val="20"/>
                <w:rtl w:val="0"/>
              </w:rPr>
              <w:t xml:space="preserve">Expand product portfolio with accessible SKUs, strengthen presence in Tier 2/3 cities, and communicate affordability along with health.</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sz w:val="20"/>
                <w:szCs w:val="20"/>
              </w:rPr>
            </w:pPr>
            <w:r w:rsidDel="00000000" w:rsidR="00000000" w:rsidRPr="00000000">
              <w:rPr>
                <w:sz w:val="20"/>
                <w:szCs w:val="20"/>
                <w:rtl w:val="0"/>
              </w:rPr>
              <w:t xml:space="preserve">Operational strain during rapid scaling</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6">
            <w:pPr>
              <w:widowControl w:val="0"/>
              <w:spacing w:line="276" w:lineRule="auto"/>
              <w:rPr>
                <w:sz w:val="20"/>
                <w:szCs w:val="20"/>
              </w:rPr>
            </w:pPr>
            <w:r w:rsidDel="00000000" w:rsidR="00000000" w:rsidRPr="00000000">
              <w:rPr>
                <w:sz w:val="20"/>
                <w:szCs w:val="20"/>
                <w:rtl w:val="0"/>
              </w:rPr>
              <w:t xml:space="preserve">Phase-wise scaling of operations, strong governance processes, and building a lean but capable team structure.</w:t>
            </w:r>
          </w:p>
        </w:tc>
      </w:tr>
    </w:tbl>
    <w:p w:rsidR="00000000" w:rsidDel="00000000" w:rsidP="00000000" w:rsidRDefault="00000000" w:rsidRPr="00000000" w14:paraId="000000D7">
      <w:pPr>
        <w:spacing w:after="240" w:lineRule="auto"/>
        <w:ind w:left="720" w:firstLine="0"/>
        <w:jc w:val="both"/>
        <w:rPr>
          <w:rFonts w:ascii="Times New Roman" w:cs="Times New Roman" w:eastAsia="Times New Roman" w:hAnsi="Times New Roman"/>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ielseniq.com/global/en/info/ai-for-consumer-packaged-goods-cpg/" TargetMode="External"/><Relationship Id="rId10" Type="http://schemas.openxmlformats.org/officeDocument/2006/relationships/hyperlink" Target="https://www.marketwatch.com/story/yum-brands-stock-rises-as-taco-bell-and-kfc-fuel-profit-and-revenue-beats-f25db4b4" TargetMode="External"/><Relationship Id="rId9" Type="http://schemas.openxmlformats.org/officeDocument/2006/relationships/hyperlink" Target="https://www.wsj.com/articles/oreo-owner-mondelez-taps-ai-to-tweak-its-classic-snacks-6fa4c4c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uturemarketinsights.com/reports/millet-market?utm_source=chatgpt.com" TargetMode="External"/><Relationship Id="rId8" Type="http://schemas.openxmlformats.org/officeDocument/2006/relationships/hyperlink" Target="https://www.mordorintelligence.com/industry-reports/millets-market?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Z9CgCrHlAJ3mwO86dnEXz4yEwA==">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Mg5oLm5lcTAybnd2NWxmZDIOaC4xYWJxeGg5eXYzNnQyDmgucGFzb3RicGlkYTZhMg5oLng3aDlpeTVpNmxjeTIOaC5laWZjcG90bW5saHIyDmguM2k4YzJkcm50Y3BlMg5oLmJnbDkzMW42djZldTIOaC55dTF1czVxbjYxcDc4AHIhMUVTSjlqTlNrc2lWM0xjZnNfMGdmVm04Z2Q3RTh3Mm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2024-12-06T03:56:00Z</dcterms:created>
</cp:coreProperties>
</file>