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Excel Fire Protection</w:t>
      </w:r>
    </w:p>
    <w:p>
      <w:pPr>
        <w:jc w:val="center"/>
      </w:pPr>
      <w:r>
        <w:rPr>
          <w:b/>
          <w:sz w:val="32"/>
        </w:rPr>
        <w:t>Modernization Plan &amp; Roadmap</w:t>
      </w:r>
    </w:p>
    <w:p>
      <w:pPr>
        <w:jc w:val="center"/>
      </w:pPr>
      <w:r>
        <w:t>Draft scaffold for Predictive Lines consulting engagement</w:t>
      </w:r>
    </w:p>
    <w:p>
      <w:r>
        <w:rPr>
          <w:b/>
        </w:rPr>
        <w:t xml:space="preserve">Prepared for: </w:t>
      </w:r>
      <w:r>
        <w:t>Excel Fire Protection / Kevin Masich</w:t>
      </w:r>
    </w:p>
    <w:p>
      <w:r>
        <w:rPr>
          <w:b/>
        </w:rPr>
        <w:t xml:space="preserve">Prepared by: </w:t>
      </w:r>
      <w:r>
        <w:t>Predictive Lines / Justin Miller</w:t>
      </w:r>
    </w:p>
    <w:p>
      <w:r>
        <w:rPr>
          <w:b/>
        </w:rPr>
        <w:t xml:space="preserve">Draft date: </w:t>
      </w:r>
      <w:r>
        <w:t>May 2026</w:t>
      </w:r>
    </w:p>
    <w:p>
      <w:r>
        <w:rPr>
          <w:b/>
        </w:rPr>
        <w:t xml:space="preserve">Source documents: </w:t>
      </w:r>
      <w:r>
        <w:t>Current-State Process Documentation; Gap Analysis &amp; Risk Assessment; SOW_Excel_Fire.docx; EFP-Site-Visit-May-2026 task list</w:t>
      </w:r>
    </w:p>
    <w:p>
      <w:r>
        <w:rPr>
          <w:b/>
        </w:rPr>
        <w:t xml:space="preserve">Draft status: </w:t>
      </w:r>
      <w:r>
        <w:t>Scaffold — includes roadmap structure, dependency model, and three fully worked sample entries. Remaining findings are intentionally templated pending Justin review and/or source-document rehydration.</w:t>
      </w:r>
    </w:p>
    <w:p>
      <w:pPr>
        <w:pStyle w:val="Heading1"/>
      </w:pPr>
      <w:r>
        <w:t>1. Purpose &amp; Scope</w:t>
      </w:r>
    </w:p>
    <w:p>
      <w:r>
        <w:t>This Modernization Plan converts the diagnostic findings in the Gap Analysis &amp; Risk Assessment into an action-oriented roadmap. It does not re-diagnose the business or replace the Current-State Process Documentation. The gap analysis remains the dated assessment snapshot; this plan is the moving execution document used to sequence remediation, assign owners, define success criteria, and track milestones.</w:t>
      </w:r>
    </w:p>
    <w:p>
      <w:r>
        <w:t>The plan is organized around the same workstreams used in the current-state and gap-analysis deliverables: Financial Operations &amp; Controls; Revenue Generation &amp; Customer Management; Project Delivery &amp; Operations; People &amp; Administration; Institutional Knowledge &amp; Key Relationships; Regulatory &amp; Compliance; and Transaction-Specific Items where applicable.</w:t>
      </w:r>
    </w:p>
    <w:p>
      <w:pPr>
        <w:pStyle w:val="Heading1"/>
      </w:pPr>
      <w:r>
        <w:t>2. Roadmap Overview</w:t>
      </w:r>
    </w:p>
    <w:p>
      <w:r>
        <w:t>The roadmap groups remediation work by horizon. The horizon is not simply a calendar label: it indicates when the work can be responsibly started based on deal mechanics, dependency gates, staff capacity, and whether remediation requires new owner authority after close.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Finding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Horizon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Modernization Plan Treatment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#1 — Banking signature-stamp / spending authority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Pre-close / close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Deal Mechanics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Jaclyn / legal / bank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Deal close and new banking relationships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Resolve through shareholders or operating agreement, bank signature authority, and spending tiers.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#2 — Missing I-9/W-4/MI-W4 employee records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Pre-close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Scheduled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HR agent / Kevin / Betty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On-site records review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Collect, audit, and retain required employee paperwork; create repeatable onboarding evidence trail.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#6 — Inspection delivery concentration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0–90 days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Sequenced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Kevin / Keith / hiring owner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Inspection-delivery hire decision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Assign NFPA 25 inspection delivery capacity to Konner or a new hire; unlocks multi-year agreements and inspection growth work.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#8 — Multi-year inspection agreements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0–90 days / Year 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Sequenced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inspection owner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Inspection delivery capacity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Move after delivery capacity is clear; standardize agreement templates and renewal cadence.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#9 — Internal controls / segregation of duties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Close / 0–90 days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Deal Mechanics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Jaclyn / Kevin / Betty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Ownership transition and banking changes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Replace legacy informal controls with authority matrix, approval workflow, and bank/accounting permissions.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#11 — Estimating methodology not documented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Pre-close / 0–90 days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Scheduled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Kevin / Keith / Scott input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May 11 and May 18 estimating sessions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Document estimating process sufficiently for someone other than Kevin or Keith to follow.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#12 — Declining inspection volume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Year 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Sequenced / Open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inspection owner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Inspection-delivery hire decision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Rebuild inspection pipeline after delivery owner is chosen; likely tied to agreement renewals and declined inbound follow-up.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#14 — QA/QC program absent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0–90 days / Year 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Owner and scope decision needed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Define inspection/project QA standard, review cadence, and evidence retained.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#15 — Declined inspection-adjacent inbound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Year 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Sequenced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inspection owner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Inspection-delivery hire decision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intake/referral/callback path once capacity exists.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#17 — Field workforce recruiting &amp; retention process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0–90 days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 Flight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StangDS / HR agent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Notion process page pending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Document StangDS posting process and EFP Interviews funnel; publish human-readable recruiting process.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#18 — Field leadership succession / Keith dependency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Pre-close / 0–90 days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Scheduled / Sequenced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Kevin / Keith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Week of May 11 conversations; hiring path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Clarify near-term field leadership coverage and medium-term successor development.</w:t>
            </w:r>
          </w:p>
        </w:tc>
      </w:tr>
    </w:tbl>
    <w:p/>
    <w:p>
      <w:r>
        <w:t>Roadmap summary: pre-close work should prioritize legal/compliance records, estimating documentation, field leadership conversations, and deal-mechanics controls. The first 90 days should convert the most fragile owner-dependent routines into documented processes and assign durable owners. Year 1 work should focus on revenue-side segmentation, inspection growth, payroll/timekeeping migration, QA/QC, budgeting, and IT/security hardening. Strategic items should remain explicitly parked unless they support the core acquisition thesis or remove a dependency from the operating company.</w:t>
      </w:r>
    </w:p>
    <w:p>
      <w:pPr>
        <w:pStyle w:val="Heading1"/>
      </w:pPr>
      <w:r>
        <w:t>3. Sequencing &amp; Dependencies</w:t>
      </w:r>
    </w:p>
    <w:p>
      <w:r>
        <w:t>The plan should be managed by dependency chain, not by a flat list of findings. Several findings cannot be solved cleanly until a related owner, hire, or transaction event is resolved.</w:t>
      </w:r>
    </w:p>
    <w:p>
      <w:pPr>
        <w:pStyle w:val="Heading2"/>
      </w:pPr>
      <w:r>
        <w:t>3.1 Critical dependency chains</w:t>
      </w:r>
    </w:p>
    <w:p>
      <w:pPr>
        <w:pStyle w:val="ListBullet"/>
      </w:pPr>
      <w:r>
        <w:t>Inspection-delivery hire decision unlocks Finding #6, Finding #8, Finding #12, Finding #15, and part of Finding #18. Until Excel decides whether Konner, a new NFPA 25-capable hire, or another resource will own inspection delivery, inspection-growth remediation should stay sequenced rather than over-engineered.</w:t>
      </w:r>
    </w:p>
    <w:p>
      <w:pPr>
        <w:pStyle w:val="ListBullet"/>
      </w:pPr>
      <w:r>
        <w:t>Deal close unlocks Finding #1 and Finding #9. The signature-stamp practice and informal control environment are serious, but the durable fix is tied to new ownership, new banking relationships, and shareholders/operating agreement authority tiers.</w:t>
      </w:r>
    </w:p>
    <w:p>
      <w:pPr>
        <w:pStyle w:val="ListBullet"/>
      </w:pPr>
      <w:r>
        <w:t>Estimating documentation is on the near-term critical path because it directly reduces Kevin/Keith dependency and supports continuity of quoted work. The success test is whether the process can be followed without Kevin or Keith’s assistance.</w:t>
      </w:r>
    </w:p>
    <w:p>
      <w:pPr>
        <w:pStyle w:val="ListBullet"/>
      </w:pPr>
      <w:r>
        <w:t>Payroll and timekeeping modernization should follow the QuickBooks Desktop to QuickBooks Online path with QuickBooks Payroll and a practical digital timecard capture method. Early-state digitization can be as simple as crews texting photos of paper timesheets, provided retention and approval evidence are reliable.</w:t>
      </w:r>
    </w:p>
    <w:p>
      <w:pPr>
        <w:pStyle w:val="Heading2"/>
      </w:pPr>
      <w:r>
        <w:t>3.2 Critical path items</w:t>
      </w:r>
    </w:p>
    <w:p>
      <w:pPr>
        <w:pStyle w:val="ListBullet"/>
      </w:pPr>
      <w:r>
        <w:t>Pre-close compliance record audit: I-9, W-4, MI-W4, UIA, BFS Act 144, and any employee-license/training evidence that must be retained.</w:t>
      </w:r>
    </w:p>
    <w:p>
      <w:pPr>
        <w:pStyle w:val="ListBullet"/>
      </w:pPr>
      <w:r>
        <w:t>Week of May 11 field leadership and inspection-capacity conversations with Kevin, Keith, Justin, and candidates in the EFP Interviews funnel.</w:t>
      </w:r>
    </w:p>
    <w:p>
      <w:pPr>
        <w:pStyle w:val="ListBullet"/>
      </w:pPr>
      <w:r>
        <w:t>Weeks of May 11 and May 18 estimating process documentation, including Scott’s larger-shop estimating method as a comparison point.</w:t>
      </w:r>
    </w:p>
    <w:p>
      <w:pPr>
        <w:pStyle w:val="ListBullet"/>
      </w:pPr>
      <w:r>
        <w:t>Deal-mechanics controls: authority tiers, check-signing/banking permissions, approval thresholds, and accounting access after close.</w:t>
      </w:r>
    </w:p>
    <w:p>
      <w:pPr>
        <w:pStyle w:val="ListBullet"/>
      </w:pPr>
      <w:r>
        <w:t>QA/QC scoping decision: whether the first system is inspection-focused, project-focused, or both.</w:t>
      </w:r>
    </w:p>
    <w:p>
      <w:pPr>
        <w:pStyle w:val="Heading1"/>
      </w:pPr>
      <w:r>
        <w:t>4. Resource &amp; Effort Summary</w:t>
      </w:r>
    </w:p>
    <w:p>
      <w:r>
        <w:t>This section is intended to keep the plan honest about capacity. The highest-value remediation is not the longest list of improvements; it is the smallest sequence of actions that removes key-person risk, closes legal/compliance gaps, and creates enough operating visibility for Justin and Jaclyn to manage the company after close.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Finding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Horizon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Modernization Plan Treatment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Predictive Lines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Roadmap owner; process documentation; interviews; operating-design decisions; vendor coordination.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Highest constraint. Protect for critical path and owner-only decisions.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Jaclyn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Financial controls, accounting visibility, budgeting/forecasting, approval authority, payroll/accounting modernization input.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 for finance/control decisions rather than broad project administration.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Kevin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Source knowledge for estimating, customers, field leadership, vendor/customer relationships, safety history.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High leverage but time-limited; use structured extraction sessions.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Keith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Field operations, estimating assumptions, inspection delivery, QA/QC practices, crew management.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Key-person risk; documentation sessions should be concrete and process-tested.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Betty / AT&amp;C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Payroll, records, accounting process, UIA/tax filings, transition history.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 for source-data extraction and verification; avoid assigning modernization ownership without explicit buy-in.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External vendors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StangDS, Gauthier/cyber insurance, IT/MDM, bank/legal, potential Scott estimating visit.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 where specialized capacity beats building from scratch.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5. Workstream-Aligned Remediation Plans</w:t>
      </w:r>
    </w:p>
    <w:p>
      <w:r>
        <w:t>Each entry below should be short enough to manage but specific enough to test. The goal is not prose completeness; the goal is operational closure.</w:t>
      </w:r>
    </w:p>
    <w:p>
      <w:pPr>
        <w:pStyle w:val="Heading2"/>
      </w:pPr>
      <w:r>
        <w:t>5.1 People &amp; Administration</w:t>
      </w:r>
    </w:p>
    <w:p>
      <w:pPr>
        <w:pStyle w:val="Heading3"/>
      </w:pPr>
      <w:r>
        <w:t>Finding #2 — Missing I-9/W-4/MI-W4 Employee Records (Critical)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§3.4; Current-State §2.4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Scheduled — on-site records review and employee-file cleanup identified for the May 11 site-visit workstream.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HR agent, with Kevin and Betty supplying existing records and employee roster confirmation.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Pre-close compliance item. Predecessors: current employee roster and physical/digital record access. Successors: repeatable onboarding checklist, termination checklist, and HR evidence-retention process.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 every active employee, Excel has either retained the required I-9, W-4, and MI-W4 documentation or a documented remediation note identifying the missing item, responsible party, and completion date. Going forward, the onboarding checklist prevents a worker from reaching “paperwork complete” without these records.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Small to medium. Most effort is records retrieval and exception handling; documentation update is straightforward once gaps are known.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May 11–15: inventory existing files and identify gaps. Week of May 18: collect missing paperwork or document remediation path. 0–90 days: fold into New Employee Onboarding Checklist and HR Compliance Guide.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Confirm who is authorized to request corrected paperwork; confirm where final employee-file records will live; confirm whether historical gaps require counsel/accountant review.</w:t>
            </w:r>
          </w:p>
        </w:tc>
      </w:tr>
    </w:tbl>
    <w:p/>
    <w:p>
      <w:pPr>
        <w:pStyle w:val="Heading3"/>
      </w:pPr>
      <w:r>
        <w:t>Finding #17 — Field Workforce Recruiting &amp; Retention Process Documentation (High)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§3.4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 Flight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StangDS / HR agent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0–90 days.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2"/>
      </w:pPr>
      <w:r>
        <w:t>5.2 Revenue Generation &amp; Customer Management</w:t>
      </w:r>
    </w:p>
    <w:p>
      <w:pPr>
        <w:pStyle w:val="Heading3"/>
      </w:pPr>
      <w:r>
        <w:t>Finding #8 — Multi-Year Inspection Agreements (High)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§3.2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Sequenced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inspection owner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0–90 days / Year 1.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3"/>
      </w:pPr>
      <w:r>
        <w:t>Finding #12 — Declining Inspection Volume (High)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§3.2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Sequenced / Open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inspection owner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Year 1.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3"/>
      </w:pPr>
      <w:r>
        <w:t>Finding #15 — Declined Inspection-Adjacent Inbound (High)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§3.2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Sequenced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inspection owner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Year 1.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2"/>
      </w:pPr>
      <w:r>
        <w:t>5.3 Project Delivery &amp; Operations</w:t>
      </w:r>
    </w:p>
    <w:p>
      <w:pPr>
        <w:pStyle w:val="Heading3"/>
      </w:pPr>
      <w:r>
        <w:t>Finding #11 — Estimating Methodology Not Documented (High)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§3.3; Current-State §2.2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Scheduled — focus weeks of May 11 and May 18; includes Kevin/Keith working sessions and Scott comparison visit if scheduled.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Justin, with Kevin and Keith as source experts; Scott as external comparison input if the Wisconsin visit occurs.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Near-term key-person-risk reduction. Predecessors: access to recent estimates, rate/cost-buildup assumptions, and Kevin/Keith availability. Successors: estimating training, review checklist, and eventual delegation to a non-owner estimator or operations lead.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documented estimating process can be followed without Kevin or Keith’s assistance. A test user can take a representative bid opportunity, identify required inputs, apply labor/material/subcontractor/equipment assumptions, produce a quote package, and explain review/approval checkpoints.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Medium. Requires structured interviews and process testing, not just transcription. Expect multiple working sessions and one validation run against a real or historical estimate.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Week of May 11: capture current Kevin/Keith methodology and open questions. Week of May 18: draft v0 and validate against at least one estimate. 0–90 days: convert to maintained procedure with sample estimate package and approval checklist.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Confirm whether Excel uses any stable labor-unit assumptions, historical job-cost feedback, vendor quote standards, or margin targets. Confirm how Scott’s method should influence Excel’s process versus simply serving as a benchmark.</w:t>
            </w:r>
          </w:p>
        </w:tc>
      </w:tr>
    </w:tbl>
    <w:p/>
    <w:p>
      <w:pPr>
        <w:pStyle w:val="Heading3"/>
      </w:pPr>
      <w:r>
        <w:t>Finding #14 — QA/QC Program Absent (High)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§3.3; Current-State §3 summary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— no modernization workstream assigned yet.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TBD. Candidate owners include Justin for design, Keith or future field leader for execution, and inspection/project delivery owner depending on scope.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Decision needed before execution. Predecessors: scope decision on whether QA/QC starts with inspections, installation projects, service work, or all field delivery. Successors: QA checklists, photo/evidence retention, corrective-action loop, and training cadence.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Excel has a defined QA/QC standard with evidence retained. A sample job or inspection can be reviewed after completion and show who checked it, what standard was used, what evidence was captured, and how exceptions were corrected.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Medium to large depending on scope. A narrow inspection-first QA process is much smaller than a full project-delivery QA program.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Decision trigger: assign owner and first-scope by end of 0–90 day planning. After decision: draft checklist, pilot on 2–3 jobs/inspections, revise, then incorporate into field operating rhythm.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What is the first QA/QC surface: NFPA 25 inspections, installation closeout, service calls, or all three? Who has authority to stop/rework field output? What evidence is useful without creating paperwork theater?</w:t>
            </w:r>
          </w:p>
        </w:tc>
      </w:tr>
    </w:tbl>
    <w:p/>
    <w:p>
      <w:pPr>
        <w:pStyle w:val="Heading2"/>
      </w:pPr>
      <w:r>
        <w:t>5.4 Financial Operations &amp; Controls</w:t>
      </w:r>
    </w:p>
    <w:p>
      <w:pPr>
        <w:pStyle w:val="Heading3"/>
      </w:pPr>
      <w:r>
        <w:t>Finding #1 — Banking Signature-Stamp Practice / Spending Authority (Critical)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§3.1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Deal Mechanics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Jaclyn / legal / bank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Pre-close / close.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3"/>
      </w:pPr>
      <w:r>
        <w:t>Finding #9 — Internal Controls &amp; Segregation of Duties (Critical)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§3.1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Deal Mechanics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Jaclyn / Kevin / Betty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Close / 0–90 days.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3"/>
      </w:pPr>
      <w:r>
        <w:t>Finding #[TBD] — Payroll and Timekeeping Modernization (High)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§3.1 / §3.4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 Flight / Sequenced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Jaclyn / AT&amp;C / payroll vendor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0–90 days / Year 1.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2"/>
      </w:pPr>
      <w:r>
        <w:t>5.5 Institutional Knowledge &amp; Key Relationships</w:t>
      </w:r>
    </w:p>
    <w:p>
      <w:pPr>
        <w:pStyle w:val="Heading3"/>
      </w:pPr>
      <w:r>
        <w:t>Finding #18 — Field Leadership Succession / Keith Dependency (Critical / 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§4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Scheduled / Sequenced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Kevin / Keith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Pre-close / 0–90 days.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3"/>
      </w:pPr>
      <w:r>
        <w:t>Finding #6 — Inspection Delivery Concentration (Critical / 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§3.3 / §4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Sequenced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Kevin / Keith / hiring owner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0–90 days.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2"/>
      </w:pPr>
      <w:r>
        <w:t>5.6 Regulatory &amp; Compliance</w:t>
      </w:r>
    </w:p>
    <w:p>
      <w:pPr>
        <w:pStyle w:val="Heading3"/>
      </w:pPr>
      <w:r>
        <w:t>Finding #[TBD] — BFS Act 144 Certification Verification (High)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§3.6; Current-State §2.6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Scheduled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Justin / Kevin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Pre-close.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3"/>
      </w:pPr>
      <w:r>
        <w:t>Finding #[TBD] — Michigan UIA Filing Cleanup (High)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§3.6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Scheduled / In Flight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AT&amp;C / Justin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Pre-close / 0–90 days.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3"/>
      </w:pPr>
      <w:r>
        <w:t>Finding #[TBD] — Safety Program Documentation and Calendar (High)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Analysis Cross-Reference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Gap Analysis §3.6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 Flight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HR agent / Justin / Kevin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Horizon: 0–90 days. Predecessors: [TBD]. Successors / unlocked findings: [TBD].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Success Criteria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[Write a testable end state. Example: “Process can be performed by a non-owner using the documented procedure and retained evidence.”]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[T-shirt size or rough hours; identify whether effort is consultant, company, AT&amp;C, or vendor time.]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Milestones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[Dates or gates. Use “decision trigger” if no date exists yet.]</w:t>
            </w:r>
          </w:p>
        </w:tc>
      </w:tr>
      <w:tr>
        <w:tc>
          <w:tcPr>
            <w:tcW w:type="dxa" w:w="5112"/>
            <w:vAlign w:val="top"/>
            <w:shd w:fill="F2F2F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 Questions / Decisions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[Open questions, owner assignment, cost approval, policy decision, or source document needed.]</w:t>
            </w:r>
          </w:p>
        </w:tc>
      </w:tr>
    </w:tbl>
    <w:p/>
    <w:p>
      <w:pPr>
        <w:pStyle w:val="Heading1"/>
      </w:pPr>
      <w:r>
        <w:t>6. Items Not Yet Scoped</w:t>
      </w:r>
    </w:p>
    <w:p>
      <w:r>
        <w:t>The following items are intentionally not converted into detailed workplans until a decision trigger is met. This keeps the modernization plan from pretending to have ownership where no owner has been named.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Decision Trigger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QA/QC program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Assign first-scope and operating owner.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ISN compliance calendar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Decide whether customer-specific compliance tracking sits in HR, operations, or customer management.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Customer-specific compliance tracking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Inventory customer portals/requirements and assign maintenance owner.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Fleet maintenance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Confirm current maintenance records and whether fleet process belongs with field operations or finance/admin.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 tracking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Choose tracking system and renewal owner.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Budgeting / forecasting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Wait for post-close accounting visibility and Jaclyn/Justin operating cadence.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MDM / device management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Decide company-device policy after M365 and field communication architecture stabilize.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Chart of accounts cleanup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Sequence with QuickBooks Online migration and reporting design.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Revenue-side segmentation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Sequence with customer/job database maturity and inspection/service strategy.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Stale AR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Requires AR aging review and customer-specific collection decisions.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Requires physical inventory practice decision and accounting treatment.</w:t>
            </w:r>
          </w:p>
        </w:tc>
      </w:tr>
    </w:tbl>
    <w:p>
      <w:pPr>
        <w:pStyle w:val="Heading1"/>
      </w:pPr>
      <w:r>
        <w:t>7. Out-of-Scope Items</w:t>
      </w:r>
    </w:p>
    <w:p>
      <w:r>
        <w:t>The following work may be valuable but should not be treated as gap-analysis remediation unless and until Justin explicitly brings it into scope. Keeping this boundary clean prevents the modernization plan from absorbing every attractive adjacent idea.</w:t>
      </w:r>
    </w:p>
    <w:p>
      <w:pPr>
        <w:pStyle w:val="ListBullet"/>
      </w:pPr>
      <w:r>
        <w:t>New product-line investigations, including portable fire extinguisher service or fire alarm inspection expansion, unless tied to the acquisition thesis and separately scoped.</w:t>
      </w:r>
    </w:p>
    <w:p>
      <w:pPr>
        <w:pStyle w:val="ListBullet"/>
      </w:pPr>
      <w:r>
        <w:t>Marquette warehouse or real-estate options beyond what is required for operational continuity.</w:t>
      </w:r>
    </w:p>
    <w:p>
      <w:pPr>
        <w:pStyle w:val="ListBullet"/>
      </w:pPr>
      <w:r>
        <w:t>Sister-company or non-union entity design, except as a separate strategic project with legal/tax review.</w:t>
      </w:r>
    </w:p>
    <w:p>
      <w:pPr>
        <w:pStyle w:val="ListBullet"/>
      </w:pPr>
      <w:r>
        <w:t>Broad brand/marketing redesign not directly required to address inspection volume, recruiting, or customer-management gaps.</w:t>
      </w:r>
    </w:p>
    <w:p>
      <w:pPr>
        <w:pStyle w:val="Heading1"/>
      </w:pPr>
      <w:r>
        <w:t>Appendix A — Source-Document Update Notes</w:t>
      </w:r>
    </w:p>
    <w:p>
      <w:r>
        <w:t>This scaffold was prepared from the May 2026 rehydration brief because the original ai-team source folder was not mounted in the OpenClaw host at build time. Before finalizing the engagement packet, update the current-state and gap-analysis documents directly from their source DOCX files and reconcile any finding numbers/titles against the actual 44-finding table.</w:t>
      </w:r>
    </w:p>
    <w:p>
      <w:pPr>
        <w:pStyle w:val="ListBullet"/>
      </w:pPr>
      <w:r>
        <w:t>Current-State Process Documentation updates to confirm: estimating rates/cost-buildup, BFS Act 144 certification verification, QA/QC verification, and First Bank LOC limit.</w:t>
      </w:r>
    </w:p>
    <w:p>
      <w:pPr>
        <w:pStyle w:val="ListBullet"/>
      </w:pPr>
      <w:r>
        <w:t>Gap Analysis updates to confirm: remediation status text remains paired to the correct finding; Certified Payroll / Banking Signature-Stamp mismatch bug does not recur; summary table status column matches per-finding remediation tags.</w:t>
      </w:r>
    </w:p>
    <w:p>
      <w:pPr>
        <w:pStyle w:val="ListBullet"/>
      </w:pPr>
      <w:r>
        <w:t>Modernization Plan updates to confirm: all 44 findings are represented or deliberately excluded; roadmap table uses final finding titles and cross-references from the current gap-analysis draft.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